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0D07F" w14:textId="00BECF5E" w:rsidR="002522D4" w:rsidRDefault="002232EA" w:rsidP="00D810FB">
      <w:pPr>
        <w:rPr>
          <w:rFonts w:ascii="Verdana" w:hAnsi="Verdana"/>
          <w:b/>
          <w:sz w:val="72"/>
          <w:szCs w:val="72"/>
          <w:lang w:val="en-AU"/>
        </w:rPr>
      </w:pPr>
      <w:bookmarkStart w:id="0" w:name="_Toc8915948"/>
      <w:bookmarkStart w:id="1" w:name="_Toc5357600"/>
      <w:bookmarkStart w:id="2" w:name="_Toc494190269"/>
      <w:r>
        <w:rPr>
          <w:noProof/>
        </w:rPr>
        <w:drawing>
          <wp:anchor distT="0" distB="0" distL="114300" distR="114300" simplePos="0" relativeHeight="251680777" behindDoc="0" locked="0" layoutInCell="1" allowOverlap="1" wp14:anchorId="4C479E99" wp14:editId="04B6C80C">
            <wp:simplePos x="0" y="0"/>
            <wp:positionH relativeFrom="margin">
              <wp:posOffset>-866140</wp:posOffset>
            </wp:positionH>
            <wp:positionV relativeFrom="margin">
              <wp:posOffset>531495</wp:posOffset>
            </wp:positionV>
            <wp:extent cx="7477760" cy="3568700"/>
            <wp:effectExtent l="0" t="0" r="889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477760" cy="3568700"/>
                    </a:xfrm>
                    <a:prstGeom prst="rect">
                      <a:avLst/>
                    </a:prstGeom>
                  </pic:spPr>
                </pic:pic>
              </a:graphicData>
            </a:graphic>
            <wp14:sizeRelH relativeFrom="margin">
              <wp14:pctWidth>0</wp14:pctWidth>
            </wp14:sizeRelH>
            <wp14:sizeRelV relativeFrom="margin">
              <wp14:pctHeight>0</wp14:pctHeight>
            </wp14:sizeRelV>
          </wp:anchor>
        </w:drawing>
      </w:r>
      <w:r w:rsidR="007D1D26">
        <w:rPr>
          <w:rFonts w:ascii="Verdana" w:hAnsi="Verdana"/>
          <w:b/>
          <w:sz w:val="72"/>
          <w:szCs w:val="72"/>
          <w:lang w:val="en-AU"/>
        </w:rPr>
        <w:tab/>
      </w:r>
    </w:p>
    <w:p w14:paraId="14EB8D41" w14:textId="77777777" w:rsidR="00D810FB" w:rsidRPr="006C5958" w:rsidRDefault="002522D4" w:rsidP="00F91C2F">
      <w:pPr>
        <w:jc w:val="left"/>
        <w:rPr>
          <w:b/>
          <w:color w:val="18235B"/>
          <w:sz w:val="48"/>
          <w:szCs w:val="48"/>
          <w:lang w:val="en-AU"/>
        </w:rPr>
      </w:pPr>
      <w:r w:rsidRPr="006C5958">
        <w:rPr>
          <w:b/>
          <w:color w:val="18235B"/>
          <w:sz w:val="48"/>
          <w:szCs w:val="48"/>
          <w:lang w:val="en-AU"/>
        </w:rPr>
        <w:t xml:space="preserve">Northamptonshire </w:t>
      </w:r>
      <w:r w:rsidR="00D810FB" w:rsidRPr="006C5958">
        <w:rPr>
          <w:b/>
          <w:color w:val="18235B"/>
          <w:sz w:val="48"/>
          <w:szCs w:val="48"/>
          <w:lang w:val="en-AU"/>
        </w:rPr>
        <w:t>Chief Constable</w:t>
      </w:r>
    </w:p>
    <w:p w14:paraId="2B96A66B" w14:textId="77777777" w:rsidR="002522D4" w:rsidRPr="00A14CAC" w:rsidRDefault="00D810FB" w:rsidP="00F91C2F">
      <w:pPr>
        <w:jc w:val="left"/>
        <w:rPr>
          <w:b/>
          <w:sz w:val="32"/>
          <w:szCs w:val="32"/>
          <w:lang w:val="en-AU"/>
        </w:rPr>
      </w:pPr>
      <w:r w:rsidRPr="00A14CAC">
        <w:rPr>
          <w:b/>
          <w:sz w:val="32"/>
          <w:szCs w:val="32"/>
          <w:lang w:val="en-AU"/>
        </w:rPr>
        <w:t>Single Entity</w:t>
      </w:r>
    </w:p>
    <w:p w14:paraId="4D7B2C5D" w14:textId="76D53C7D" w:rsidR="002522D4" w:rsidRPr="00F91C2F" w:rsidRDefault="002522D4" w:rsidP="00F91C2F">
      <w:pPr>
        <w:jc w:val="left"/>
        <w:rPr>
          <w:b/>
          <w:sz w:val="32"/>
          <w:szCs w:val="32"/>
          <w:lang w:val="en-AU"/>
        </w:rPr>
      </w:pPr>
      <w:r w:rsidRPr="00F91C2F">
        <w:rPr>
          <w:b/>
          <w:sz w:val="32"/>
          <w:szCs w:val="32"/>
          <w:lang w:val="en-AU"/>
        </w:rPr>
        <w:t>Stateme</w:t>
      </w:r>
      <w:r w:rsidR="006164DC">
        <w:rPr>
          <w:b/>
          <w:sz w:val="32"/>
          <w:szCs w:val="32"/>
          <w:lang w:val="en-AU"/>
        </w:rPr>
        <w:t>nt of Accounts for the year 202</w:t>
      </w:r>
      <w:r w:rsidR="00443841">
        <w:rPr>
          <w:b/>
          <w:sz w:val="32"/>
          <w:szCs w:val="32"/>
          <w:lang w:val="en-AU"/>
        </w:rPr>
        <w:t>3</w:t>
      </w:r>
      <w:r w:rsidR="006164DC">
        <w:rPr>
          <w:b/>
          <w:sz w:val="32"/>
          <w:szCs w:val="32"/>
          <w:lang w:val="en-AU"/>
        </w:rPr>
        <w:t>/2</w:t>
      </w:r>
      <w:r w:rsidR="00443841">
        <w:rPr>
          <w:b/>
          <w:sz w:val="32"/>
          <w:szCs w:val="32"/>
          <w:lang w:val="en-AU"/>
        </w:rPr>
        <w:t>4</w:t>
      </w:r>
    </w:p>
    <w:p w14:paraId="0961CF4B" w14:textId="5C0AE2B8" w:rsidR="002522D4" w:rsidRDefault="002522D4" w:rsidP="002522D4">
      <w:pPr>
        <w:rPr>
          <w:sz w:val="22"/>
          <w:szCs w:val="22"/>
          <w:lang w:val="en-AU"/>
        </w:rPr>
      </w:pPr>
    </w:p>
    <w:p w14:paraId="15267F47" w14:textId="77777777" w:rsidR="00EE3574" w:rsidRPr="00F91C2F" w:rsidRDefault="00EE3574" w:rsidP="002522D4">
      <w:pPr>
        <w:rPr>
          <w:sz w:val="22"/>
          <w:szCs w:val="22"/>
          <w:lang w:val="en-AU"/>
        </w:rPr>
      </w:pPr>
    </w:p>
    <w:p w14:paraId="085A2C1E" w14:textId="4AA4F2EF" w:rsidR="002522D4" w:rsidRDefault="002522D4" w:rsidP="002522D4">
      <w:pPr>
        <w:rPr>
          <w:sz w:val="22"/>
          <w:szCs w:val="22"/>
          <w:lang w:val="en-AU"/>
        </w:rPr>
      </w:pPr>
    </w:p>
    <w:p w14:paraId="35089198" w14:textId="24C634BC" w:rsidR="00C01107" w:rsidRDefault="00C01107" w:rsidP="002522D4">
      <w:pPr>
        <w:rPr>
          <w:sz w:val="22"/>
          <w:szCs w:val="22"/>
          <w:lang w:val="en-AU"/>
        </w:rPr>
      </w:pPr>
    </w:p>
    <w:p w14:paraId="62E1D2D5" w14:textId="0C621A9C" w:rsidR="00C01107" w:rsidRDefault="00C01107" w:rsidP="002522D4">
      <w:pPr>
        <w:rPr>
          <w:sz w:val="22"/>
          <w:szCs w:val="22"/>
          <w:lang w:val="en-AU"/>
        </w:rPr>
      </w:pPr>
    </w:p>
    <w:p w14:paraId="4617E9A5" w14:textId="77777777" w:rsidR="00DD4B78" w:rsidRDefault="00DD4B78" w:rsidP="002522D4">
      <w:pPr>
        <w:rPr>
          <w:sz w:val="22"/>
          <w:szCs w:val="22"/>
          <w:lang w:val="en-AU"/>
        </w:rPr>
      </w:pPr>
    </w:p>
    <w:p w14:paraId="150BE433" w14:textId="77777777" w:rsidR="00DD4B78" w:rsidRDefault="00DD4B78" w:rsidP="002522D4">
      <w:pPr>
        <w:rPr>
          <w:sz w:val="22"/>
          <w:szCs w:val="22"/>
          <w:lang w:val="en-AU"/>
        </w:rPr>
      </w:pPr>
    </w:p>
    <w:p w14:paraId="5FEE96C0" w14:textId="77777777" w:rsidR="00DD4B78" w:rsidRDefault="00DD4B78" w:rsidP="002522D4">
      <w:pPr>
        <w:rPr>
          <w:sz w:val="22"/>
          <w:szCs w:val="22"/>
          <w:lang w:val="en-AU"/>
        </w:rPr>
      </w:pPr>
    </w:p>
    <w:p w14:paraId="09554B5E" w14:textId="77777777" w:rsidR="00DD4B78" w:rsidRDefault="00DD4B78" w:rsidP="002522D4">
      <w:pPr>
        <w:rPr>
          <w:sz w:val="22"/>
          <w:szCs w:val="22"/>
          <w:lang w:val="en-AU"/>
        </w:rPr>
      </w:pPr>
    </w:p>
    <w:p w14:paraId="63D4E91A" w14:textId="77777777" w:rsidR="00DD4B78" w:rsidRDefault="00DD4B78" w:rsidP="002522D4">
      <w:pPr>
        <w:rPr>
          <w:sz w:val="22"/>
          <w:szCs w:val="22"/>
          <w:lang w:val="en-AU"/>
        </w:rPr>
      </w:pPr>
    </w:p>
    <w:p w14:paraId="195FD3E0" w14:textId="360E4DE1" w:rsidR="00D4241D" w:rsidRPr="003B359B" w:rsidRDefault="00D4241D" w:rsidP="00D4241D">
      <w:pPr>
        <w:rPr>
          <w:rFonts w:cs="Calibri"/>
          <w:szCs w:val="20"/>
          <w:lang w:val="en-AU"/>
        </w:rPr>
      </w:pPr>
      <w:r w:rsidRPr="00054718">
        <w:rPr>
          <w:rFonts w:cs="Calibri"/>
          <w:szCs w:val="20"/>
          <w:lang w:val="en-AU"/>
        </w:rPr>
        <w:t>Date Published</w:t>
      </w:r>
      <w:r w:rsidR="00443841" w:rsidRPr="00054718">
        <w:rPr>
          <w:rFonts w:cs="Calibri"/>
          <w:szCs w:val="20"/>
          <w:lang w:val="en-AU"/>
        </w:rPr>
        <w:t>:</w:t>
      </w:r>
      <w:r w:rsidR="00714802" w:rsidRPr="00054718">
        <w:rPr>
          <w:rFonts w:cs="Calibri"/>
          <w:szCs w:val="20"/>
          <w:lang w:val="en-AU"/>
        </w:rPr>
        <w:t xml:space="preserve">    </w:t>
      </w:r>
      <w:r w:rsidR="00054718" w:rsidRPr="00054718">
        <w:rPr>
          <w:rFonts w:cs="Calibri"/>
          <w:szCs w:val="20"/>
          <w:lang w:val="en-AU"/>
        </w:rPr>
        <w:t>2</w:t>
      </w:r>
      <w:r w:rsidR="00871E78">
        <w:rPr>
          <w:rFonts w:cs="Calibri"/>
          <w:szCs w:val="20"/>
          <w:lang w:val="en-AU"/>
        </w:rPr>
        <w:t>7</w:t>
      </w:r>
      <w:r w:rsidR="00714802" w:rsidRPr="00054718">
        <w:rPr>
          <w:rFonts w:cs="Calibri"/>
          <w:szCs w:val="20"/>
          <w:lang w:val="en-AU"/>
        </w:rPr>
        <w:t>th February 2025</w:t>
      </w:r>
    </w:p>
    <w:p w14:paraId="2AA3955C" w14:textId="77777777" w:rsidR="00C01107" w:rsidRPr="00F91C2F" w:rsidRDefault="00C01107" w:rsidP="002522D4">
      <w:pPr>
        <w:rPr>
          <w:sz w:val="22"/>
          <w:szCs w:val="22"/>
          <w:lang w:val="en-AU"/>
        </w:rPr>
      </w:pPr>
    </w:p>
    <w:p w14:paraId="065B3366" w14:textId="2D36BB35" w:rsidR="002522D4" w:rsidRPr="00F91C2F" w:rsidRDefault="002522D4" w:rsidP="002522D4">
      <w:pPr>
        <w:rPr>
          <w:sz w:val="22"/>
          <w:szCs w:val="22"/>
          <w:lang w:val="en-AU"/>
        </w:rPr>
      </w:pPr>
    </w:p>
    <w:p w14:paraId="73CF81E1" w14:textId="00C56E97" w:rsidR="002522D4" w:rsidRPr="00430DF5" w:rsidRDefault="002522D4" w:rsidP="002522D4">
      <w:pPr>
        <w:rPr>
          <w:rFonts w:ascii="Verdana" w:hAnsi="Verdana"/>
          <w:sz w:val="22"/>
          <w:szCs w:val="22"/>
          <w:lang w:val="en-AU"/>
        </w:rPr>
      </w:pPr>
    </w:p>
    <w:p w14:paraId="7AB68CEC" w14:textId="6FEE3872" w:rsidR="002522D4" w:rsidRPr="00430DF5" w:rsidRDefault="002522D4" w:rsidP="002522D4">
      <w:pPr>
        <w:rPr>
          <w:rFonts w:ascii="Verdana" w:hAnsi="Verdana"/>
          <w:sz w:val="22"/>
          <w:szCs w:val="22"/>
          <w:lang w:val="en-AU"/>
        </w:rPr>
      </w:pPr>
    </w:p>
    <w:p w14:paraId="4849210F" w14:textId="313047B6" w:rsidR="002522D4" w:rsidRPr="00430DF5" w:rsidRDefault="00845CA8" w:rsidP="002522D4">
      <w:pPr>
        <w:rPr>
          <w:rFonts w:ascii="Verdana" w:hAnsi="Verdana"/>
          <w:sz w:val="22"/>
          <w:szCs w:val="22"/>
          <w:lang w:val="en-AU"/>
        </w:rPr>
      </w:pPr>
      <w:r>
        <w:rPr>
          <w:noProof/>
        </w:rPr>
        <w:drawing>
          <wp:anchor distT="0" distB="0" distL="114300" distR="114300" simplePos="0" relativeHeight="251682825" behindDoc="0" locked="0" layoutInCell="1" allowOverlap="1" wp14:anchorId="3CF7531D" wp14:editId="73252E6D">
            <wp:simplePos x="0" y="0"/>
            <wp:positionH relativeFrom="page">
              <wp:align>right</wp:align>
            </wp:positionH>
            <wp:positionV relativeFrom="margin">
              <wp:posOffset>7693684</wp:posOffset>
            </wp:positionV>
            <wp:extent cx="3108960" cy="2050415"/>
            <wp:effectExtent l="0" t="0" r="0" b="6985"/>
            <wp:wrapSquare wrapText="bothSides"/>
            <wp:docPr id="1088023736" name="Picture 1088023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3736" name="Picture 1088023736">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C67C" w14:textId="77777777" w:rsidR="002522D4" w:rsidRDefault="002522D4" w:rsidP="002522D4">
      <w:pPr>
        <w:rPr>
          <w:rFonts w:ascii="Verdana" w:hAnsi="Verdana"/>
          <w:sz w:val="22"/>
          <w:szCs w:val="22"/>
          <w:lang w:val="en-AU"/>
        </w:rPr>
      </w:pPr>
    </w:p>
    <w:p w14:paraId="1CFD43DD" w14:textId="77777777" w:rsidR="002522D4" w:rsidRPr="00430DF5" w:rsidRDefault="002522D4" w:rsidP="002522D4">
      <w:pPr>
        <w:rPr>
          <w:rFonts w:ascii="Verdana" w:hAnsi="Verdana"/>
          <w:sz w:val="22"/>
          <w:szCs w:val="22"/>
          <w:lang w:val="en-AU"/>
        </w:rPr>
        <w:sectPr w:rsidR="002522D4" w:rsidRPr="00430DF5" w:rsidSect="006C5958">
          <w:headerReference w:type="default" r:id="rId10"/>
          <w:type w:val="continuous"/>
          <w:pgSz w:w="11900" w:h="16840" w:code="9"/>
          <w:pgMar w:top="1418" w:right="1418" w:bottom="1418" w:left="1418" w:header="709" w:footer="0" w:gutter="0"/>
          <w:pgNumType w:start="1"/>
          <w:cols w:space="708"/>
          <w:titlePg/>
          <w:docGrid w:linePitch="360"/>
        </w:sectPr>
      </w:pPr>
    </w:p>
    <w:bookmarkStart w:id="3" w:name="_Toc9272488" w:displacedByCustomXml="next"/>
    <w:bookmarkStart w:id="4" w:name="Main_Statements" w:displacedByCustomXml="next"/>
    <w:sdt>
      <w:sdtPr>
        <w:id w:val="-1243104553"/>
        <w:docPartObj>
          <w:docPartGallery w:val="Table of Contents"/>
          <w:docPartUnique/>
        </w:docPartObj>
      </w:sdtPr>
      <w:sdtEndPr>
        <w:rPr>
          <w:rFonts w:asciiTheme="minorHAnsi" w:hAnsiTheme="minorHAnsi"/>
          <w:b/>
          <w:noProof/>
          <w:szCs w:val="20"/>
        </w:rPr>
      </w:sdtEndPr>
      <w:sdtContent>
        <w:p w14:paraId="2005A374" w14:textId="77777777" w:rsidR="00EE3574" w:rsidRDefault="00EE3574" w:rsidP="00091D9C"/>
        <w:p w14:paraId="3B212D55" w14:textId="42396940" w:rsidR="001C5C21" w:rsidRPr="00413957" w:rsidRDefault="001C5C21" w:rsidP="00413957">
          <w:pPr>
            <w:spacing w:line="240" w:lineRule="auto"/>
            <w:jc w:val="left"/>
          </w:pPr>
          <w:r w:rsidRPr="00AE32D7">
            <w:rPr>
              <w:b/>
              <w:sz w:val="36"/>
            </w:rPr>
            <w:t>Contents</w:t>
          </w:r>
        </w:p>
        <w:p w14:paraId="02D4EAA0" w14:textId="77777777" w:rsidR="00C07530" w:rsidRPr="00D1102D" w:rsidRDefault="00C07530" w:rsidP="00C07530">
          <w:pPr>
            <w:rPr>
              <w:rFonts w:asciiTheme="minorHAnsi" w:hAnsiTheme="minorHAnsi" w:cstheme="minorHAnsi"/>
              <w:szCs w:val="20"/>
            </w:rPr>
          </w:pPr>
        </w:p>
        <w:p w14:paraId="0B17137D" w14:textId="5F57BF7B" w:rsidR="00DD1BD6" w:rsidRDefault="00F833B1">
          <w:pPr>
            <w:pStyle w:val="TOC1"/>
            <w:rPr>
              <w:rFonts w:asciiTheme="minorHAnsi" w:eastAsiaTheme="minorEastAsia" w:hAnsiTheme="minorHAnsi"/>
              <w:color w:val="auto"/>
              <w:kern w:val="2"/>
              <w:sz w:val="24"/>
              <w:szCs w:val="24"/>
              <w:lang w:val="en-GB" w:eastAsia="en-GB"/>
              <w14:ligatures w14:val="standardContextual"/>
            </w:rPr>
          </w:pPr>
          <w:r w:rsidRPr="00D1102D">
            <w:rPr>
              <w:rFonts w:asciiTheme="minorHAnsi" w:hAnsiTheme="minorHAnsi" w:cstheme="minorHAnsi"/>
              <w:sz w:val="20"/>
              <w:szCs w:val="20"/>
            </w:rPr>
            <w:fldChar w:fldCharType="begin"/>
          </w:r>
          <w:r w:rsidRPr="00D1102D">
            <w:rPr>
              <w:rFonts w:asciiTheme="minorHAnsi" w:hAnsiTheme="minorHAnsi" w:cstheme="minorHAnsi"/>
              <w:sz w:val="20"/>
              <w:szCs w:val="20"/>
            </w:rPr>
            <w:instrText xml:space="preserve"> TOC \o "1-1" \f \h \z \t "Heading 2,1,Chapter Heading,1" </w:instrText>
          </w:r>
          <w:r w:rsidRPr="00D1102D">
            <w:rPr>
              <w:rFonts w:asciiTheme="minorHAnsi" w:hAnsiTheme="minorHAnsi" w:cstheme="minorHAnsi"/>
              <w:sz w:val="20"/>
              <w:szCs w:val="20"/>
            </w:rPr>
            <w:fldChar w:fldCharType="separate"/>
          </w:r>
          <w:hyperlink w:anchor="_Toc191281422" w:history="1">
            <w:r w:rsidR="00DD1BD6" w:rsidRPr="009215EB">
              <w:rPr>
                <w:rStyle w:val="Hyperlink"/>
              </w:rPr>
              <w:t>Narrative Statement</w:t>
            </w:r>
            <w:r w:rsidR="00DD1BD6">
              <w:rPr>
                <w:webHidden/>
              </w:rPr>
              <w:tab/>
            </w:r>
            <w:r w:rsidR="00DD1BD6">
              <w:rPr>
                <w:webHidden/>
              </w:rPr>
              <w:fldChar w:fldCharType="begin"/>
            </w:r>
            <w:r w:rsidR="00DD1BD6">
              <w:rPr>
                <w:webHidden/>
              </w:rPr>
              <w:instrText xml:space="preserve"> PAGEREF _Toc191281422 \h </w:instrText>
            </w:r>
            <w:r w:rsidR="00DD1BD6">
              <w:rPr>
                <w:webHidden/>
              </w:rPr>
            </w:r>
            <w:r w:rsidR="00DD1BD6">
              <w:rPr>
                <w:webHidden/>
              </w:rPr>
              <w:fldChar w:fldCharType="separate"/>
            </w:r>
            <w:r w:rsidR="00945E9C">
              <w:rPr>
                <w:webHidden/>
              </w:rPr>
              <w:t>2</w:t>
            </w:r>
            <w:r w:rsidR="00DD1BD6">
              <w:rPr>
                <w:webHidden/>
              </w:rPr>
              <w:fldChar w:fldCharType="end"/>
            </w:r>
          </w:hyperlink>
        </w:p>
        <w:p w14:paraId="0F53652D" w14:textId="3ECF5EBF"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3" w:history="1">
            <w:r w:rsidR="00DD1BD6" w:rsidRPr="009215EB">
              <w:rPr>
                <w:rStyle w:val="Hyperlink"/>
              </w:rPr>
              <w:t>Statement of Responsibilities</w:t>
            </w:r>
            <w:r w:rsidR="00DD1BD6">
              <w:rPr>
                <w:webHidden/>
              </w:rPr>
              <w:tab/>
            </w:r>
            <w:r w:rsidR="00DD1BD6">
              <w:rPr>
                <w:webHidden/>
              </w:rPr>
              <w:fldChar w:fldCharType="begin"/>
            </w:r>
            <w:r w:rsidR="00DD1BD6">
              <w:rPr>
                <w:webHidden/>
              </w:rPr>
              <w:instrText xml:space="preserve"> PAGEREF _Toc191281423 \h </w:instrText>
            </w:r>
            <w:r w:rsidR="00DD1BD6">
              <w:rPr>
                <w:webHidden/>
              </w:rPr>
            </w:r>
            <w:r w:rsidR="00DD1BD6">
              <w:rPr>
                <w:webHidden/>
              </w:rPr>
              <w:fldChar w:fldCharType="separate"/>
            </w:r>
            <w:r w:rsidR="00945E9C">
              <w:rPr>
                <w:webHidden/>
              </w:rPr>
              <w:t>19</w:t>
            </w:r>
            <w:r w:rsidR="00DD1BD6">
              <w:rPr>
                <w:webHidden/>
              </w:rPr>
              <w:fldChar w:fldCharType="end"/>
            </w:r>
          </w:hyperlink>
        </w:p>
        <w:p w14:paraId="0D5D1CC2" w14:textId="2D86D7E8"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4" w:history="1">
            <w:r w:rsidR="00DD1BD6" w:rsidRPr="009215EB">
              <w:rPr>
                <w:rStyle w:val="Hyperlink"/>
              </w:rPr>
              <w:t>Expenditure and Funding Analysis</w:t>
            </w:r>
            <w:r w:rsidR="00DD1BD6">
              <w:rPr>
                <w:webHidden/>
              </w:rPr>
              <w:tab/>
            </w:r>
            <w:r w:rsidR="00DD1BD6">
              <w:rPr>
                <w:webHidden/>
              </w:rPr>
              <w:fldChar w:fldCharType="begin"/>
            </w:r>
            <w:r w:rsidR="00DD1BD6">
              <w:rPr>
                <w:webHidden/>
              </w:rPr>
              <w:instrText xml:space="preserve"> PAGEREF _Toc191281424 \h </w:instrText>
            </w:r>
            <w:r w:rsidR="00DD1BD6">
              <w:rPr>
                <w:webHidden/>
              </w:rPr>
            </w:r>
            <w:r w:rsidR="00DD1BD6">
              <w:rPr>
                <w:webHidden/>
              </w:rPr>
              <w:fldChar w:fldCharType="separate"/>
            </w:r>
            <w:r w:rsidR="00945E9C">
              <w:rPr>
                <w:webHidden/>
              </w:rPr>
              <w:t>25</w:t>
            </w:r>
            <w:r w:rsidR="00DD1BD6">
              <w:rPr>
                <w:webHidden/>
              </w:rPr>
              <w:fldChar w:fldCharType="end"/>
            </w:r>
          </w:hyperlink>
        </w:p>
        <w:p w14:paraId="4824F4CD" w14:textId="3E832D6E"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5" w:history="1">
            <w:r w:rsidR="00DD1BD6" w:rsidRPr="009215EB">
              <w:rPr>
                <w:rStyle w:val="Hyperlink"/>
                <w:lang w:val="pt-BR"/>
              </w:rPr>
              <w:t>Movement in Reserves Statement</w:t>
            </w:r>
            <w:r w:rsidR="00DD1BD6">
              <w:rPr>
                <w:webHidden/>
              </w:rPr>
              <w:tab/>
            </w:r>
            <w:r w:rsidR="00DD1BD6">
              <w:rPr>
                <w:webHidden/>
              </w:rPr>
              <w:fldChar w:fldCharType="begin"/>
            </w:r>
            <w:r w:rsidR="00DD1BD6">
              <w:rPr>
                <w:webHidden/>
              </w:rPr>
              <w:instrText xml:space="preserve"> PAGEREF _Toc191281425 \h </w:instrText>
            </w:r>
            <w:r w:rsidR="00DD1BD6">
              <w:rPr>
                <w:webHidden/>
              </w:rPr>
            </w:r>
            <w:r w:rsidR="00DD1BD6">
              <w:rPr>
                <w:webHidden/>
              </w:rPr>
              <w:fldChar w:fldCharType="separate"/>
            </w:r>
            <w:r w:rsidR="00945E9C">
              <w:rPr>
                <w:webHidden/>
              </w:rPr>
              <w:t>20</w:t>
            </w:r>
            <w:r w:rsidR="00DD1BD6">
              <w:rPr>
                <w:webHidden/>
              </w:rPr>
              <w:fldChar w:fldCharType="end"/>
            </w:r>
          </w:hyperlink>
        </w:p>
        <w:p w14:paraId="4CD02A66" w14:textId="4E91ECB0"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6" w:history="1">
            <w:r w:rsidR="00DD1BD6" w:rsidRPr="009215EB">
              <w:rPr>
                <w:rStyle w:val="Hyperlink"/>
              </w:rPr>
              <w:t>Comprehensive Income and Expenditure Statement</w:t>
            </w:r>
            <w:r w:rsidR="00DD1BD6">
              <w:rPr>
                <w:webHidden/>
              </w:rPr>
              <w:tab/>
            </w:r>
            <w:r w:rsidR="00DD1BD6">
              <w:rPr>
                <w:webHidden/>
              </w:rPr>
              <w:fldChar w:fldCharType="begin"/>
            </w:r>
            <w:r w:rsidR="00DD1BD6">
              <w:rPr>
                <w:webHidden/>
              </w:rPr>
              <w:instrText xml:space="preserve"> PAGEREF _Toc191281426 \h </w:instrText>
            </w:r>
            <w:r w:rsidR="00DD1BD6">
              <w:rPr>
                <w:webHidden/>
              </w:rPr>
            </w:r>
            <w:r w:rsidR="00DD1BD6">
              <w:rPr>
                <w:webHidden/>
              </w:rPr>
              <w:fldChar w:fldCharType="separate"/>
            </w:r>
            <w:r w:rsidR="00945E9C">
              <w:rPr>
                <w:webHidden/>
              </w:rPr>
              <w:t>21</w:t>
            </w:r>
            <w:r w:rsidR="00DD1BD6">
              <w:rPr>
                <w:webHidden/>
              </w:rPr>
              <w:fldChar w:fldCharType="end"/>
            </w:r>
          </w:hyperlink>
        </w:p>
        <w:p w14:paraId="68F7614C" w14:textId="4D0769EF"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7" w:history="1">
            <w:r w:rsidR="00DD1BD6" w:rsidRPr="009215EB">
              <w:rPr>
                <w:rStyle w:val="Hyperlink"/>
                <w:lang w:val="pt-BR"/>
              </w:rPr>
              <w:t>Balance Sheet</w:t>
            </w:r>
            <w:r w:rsidR="00DD1BD6">
              <w:rPr>
                <w:webHidden/>
              </w:rPr>
              <w:tab/>
            </w:r>
            <w:r w:rsidR="00DD1BD6">
              <w:rPr>
                <w:webHidden/>
              </w:rPr>
              <w:fldChar w:fldCharType="begin"/>
            </w:r>
            <w:r w:rsidR="00DD1BD6">
              <w:rPr>
                <w:webHidden/>
              </w:rPr>
              <w:instrText xml:space="preserve"> PAGEREF _Toc191281427 \h </w:instrText>
            </w:r>
            <w:r w:rsidR="00DD1BD6">
              <w:rPr>
                <w:webHidden/>
              </w:rPr>
            </w:r>
            <w:r w:rsidR="00DD1BD6">
              <w:rPr>
                <w:webHidden/>
              </w:rPr>
              <w:fldChar w:fldCharType="separate"/>
            </w:r>
            <w:r w:rsidR="00945E9C">
              <w:rPr>
                <w:webHidden/>
              </w:rPr>
              <w:t>22</w:t>
            </w:r>
            <w:r w:rsidR="00DD1BD6">
              <w:rPr>
                <w:webHidden/>
              </w:rPr>
              <w:fldChar w:fldCharType="end"/>
            </w:r>
          </w:hyperlink>
        </w:p>
        <w:p w14:paraId="755C7D11" w14:textId="027CFADE"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8" w:history="1">
            <w:r w:rsidR="00DD1BD6" w:rsidRPr="009215EB">
              <w:rPr>
                <w:rStyle w:val="Hyperlink"/>
                <w:lang w:val="pt-BR"/>
              </w:rPr>
              <w:t>Cash Flow Statement</w:t>
            </w:r>
            <w:r w:rsidR="00DD1BD6">
              <w:rPr>
                <w:webHidden/>
              </w:rPr>
              <w:tab/>
            </w:r>
            <w:r w:rsidR="00DD1BD6">
              <w:rPr>
                <w:webHidden/>
              </w:rPr>
              <w:fldChar w:fldCharType="begin"/>
            </w:r>
            <w:r w:rsidR="00DD1BD6">
              <w:rPr>
                <w:webHidden/>
              </w:rPr>
              <w:instrText xml:space="preserve"> PAGEREF _Toc191281428 \h </w:instrText>
            </w:r>
            <w:r w:rsidR="00DD1BD6">
              <w:rPr>
                <w:webHidden/>
              </w:rPr>
            </w:r>
            <w:r w:rsidR="00DD1BD6">
              <w:rPr>
                <w:webHidden/>
              </w:rPr>
              <w:fldChar w:fldCharType="separate"/>
            </w:r>
            <w:r w:rsidR="00945E9C">
              <w:rPr>
                <w:webHidden/>
              </w:rPr>
              <w:t>23</w:t>
            </w:r>
            <w:r w:rsidR="00DD1BD6">
              <w:rPr>
                <w:webHidden/>
              </w:rPr>
              <w:fldChar w:fldCharType="end"/>
            </w:r>
          </w:hyperlink>
        </w:p>
        <w:p w14:paraId="7836FAEB" w14:textId="0ED941B0"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29" w:history="1">
            <w:r w:rsidR="00DD1BD6" w:rsidRPr="009215EB">
              <w:rPr>
                <w:rStyle w:val="Hyperlink"/>
              </w:rPr>
              <w:t>Notes to the Accounts</w:t>
            </w:r>
            <w:r w:rsidR="00DD1BD6">
              <w:rPr>
                <w:webHidden/>
              </w:rPr>
              <w:tab/>
            </w:r>
            <w:r w:rsidR="00DD1BD6">
              <w:rPr>
                <w:webHidden/>
              </w:rPr>
              <w:fldChar w:fldCharType="begin"/>
            </w:r>
            <w:r w:rsidR="00DD1BD6">
              <w:rPr>
                <w:webHidden/>
              </w:rPr>
              <w:instrText xml:space="preserve"> PAGEREF _Toc191281429 \h </w:instrText>
            </w:r>
            <w:r w:rsidR="00DD1BD6">
              <w:rPr>
                <w:webHidden/>
              </w:rPr>
            </w:r>
            <w:r w:rsidR="00DD1BD6">
              <w:rPr>
                <w:webHidden/>
              </w:rPr>
              <w:fldChar w:fldCharType="separate"/>
            </w:r>
            <w:r w:rsidR="00945E9C">
              <w:rPr>
                <w:webHidden/>
              </w:rPr>
              <w:t>24</w:t>
            </w:r>
            <w:r w:rsidR="00DD1BD6">
              <w:rPr>
                <w:webHidden/>
              </w:rPr>
              <w:fldChar w:fldCharType="end"/>
            </w:r>
          </w:hyperlink>
        </w:p>
        <w:p w14:paraId="7045126A" w14:textId="51A064F4"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30" w:history="1">
            <w:r w:rsidR="00DD1BD6" w:rsidRPr="009215EB">
              <w:rPr>
                <w:rStyle w:val="Hyperlink"/>
              </w:rPr>
              <w:t>Accounting Policies</w:t>
            </w:r>
            <w:r w:rsidR="00DD1BD6">
              <w:rPr>
                <w:webHidden/>
              </w:rPr>
              <w:tab/>
            </w:r>
            <w:r w:rsidR="00DD1BD6">
              <w:rPr>
                <w:webHidden/>
              </w:rPr>
              <w:fldChar w:fldCharType="begin"/>
            </w:r>
            <w:r w:rsidR="00DD1BD6">
              <w:rPr>
                <w:webHidden/>
              </w:rPr>
              <w:instrText xml:space="preserve"> PAGEREF _Toc191281430 \h </w:instrText>
            </w:r>
            <w:r w:rsidR="00DD1BD6">
              <w:rPr>
                <w:webHidden/>
              </w:rPr>
            </w:r>
            <w:r w:rsidR="00DD1BD6">
              <w:rPr>
                <w:webHidden/>
              </w:rPr>
              <w:fldChar w:fldCharType="separate"/>
            </w:r>
            <w:r w:rsidR="00945E9C">
              <w:rPr>
                <w:webHidden/>
              </w:rPr>
              <w:t>50</w:t>
            </w:r>
            <w:r w:rsidR="00DD1BD6">
              <w:rPr>
                <w:webHidden/>
              </w:rPr>
              <w:fldChar w:fldCharType="end"/>
            </w:r>
          </w:hyperlink>
        </w:p>
        <w:p w14:paraId="24E04EE4" w14:textId="72349C73"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31" w:history="1">
            <w:r w:rsidR="00DD1BD6" w:rsidRPr="009215EB">
              <w:rPr>
                <w:rStyle w:val="Hyperlink"/>
              </w:rPr>
              <w:t>Annual Governance Statement (OCC)</w:t>
            </w:r>
            <w:r w:rsidR="00DD1BD6">
              <w:rPr>
                <w:webHidden/>
              </w:rPr>
              <w:tab/>
            </w:r>
            <w:r w:rsidR="00DD1BD6">
              <w:rPr>
                <w:webHidden/>
              </w:rPr>
              <w:fldChar w:fldCharType="begin"/>
            </w:r>
            <w:r w:rsidR="00DD1BD6">
              <w:rPr>
                <w:webHidden/>
              </w:rPr>
              <w:instrText xml:space="preserve"> PAGEREF _Toc191281431 \h </w:instrText>
            </w:r>
            <w:r w:rsidR="00DD1BD6">
              <w:rPr>
                <w:webHidden/>
              </w:rPr>
            </w:r>
            <w:r w:rsidR="00DD1BD6">
              <w:rPr>
                <w:webHidden/>
              </w:rPr>
              <w:fldChar w:fldCharType="separate"/>
            </w:r>
            <w:r w:rsidR="00945E9C">
              <w:rPr>
                <w:webHidden/>
              </w:rPr>
              <w:t>58</w:t>
            </w:r>
            <w:r w:rsidR="00DD1BD6">
              <w:rPr>
                <w:webHidden/>
              </w:rPr>
              <w:fldChar w:fldCharType="end"/>
            </w:r>
          </w:hyperlink>
        </w:p>
        <w:p w14:paraId="4C3F4756" w14:textId="59788DC6"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32" w:history="1">
            <w:r w:rsidR="00DD1BD6" w:rsidRPr="009215EB">
              <w:rPr>
                <w:rStyle w:val="Hyperlink"/>
              </w:rPr>
              <w:t>Annual Governance Statement (Collaboration)</w:t>
            </w:r>
            <w:r w:rsidR="00DD1BD6">
              <w:rPr>
                <w:webHidden/>
              </w:rPr>
              <w:tab/>
            </w:r>
            <w:r w:rsidR="00DD1BD6">
              <w:rPr>
                <w:webHidden/>
              </w:rPr>
              <w:fldChar w:fldCharType="begin"/>
            </w:r>
            <w:r w:rsidR="00DD1BD6">
              <w:rPr>
                <w:webHidden/>
              </w:rPr>
              <w:instrText xml:space="preserve"> PAGEREF _Toc191281432 \h </w:instrText>
            </w:r>
            <w:r w:rsidR="00DD1BD6">
              <w:rPr>
                <w:webHidden/>
              </w:rPr>
            </w:r>
            <w:r w:rsidR="00DD1BD6">
              <w:rPr>
                <w:webHidden/>
              </w:rPr>
              <w:fldChar w:fldCharType="separate"/>
            </w:r>
            <w:r w:rsidR="00945E9C">
              <w:rPr>
                <w:webHidden/>
              </w:rPr>
              <w:t>70</w:t>
            </w:r>
            <w:r w:rsidR="00DD1BD6">
              <w:rPr>
                <w:webHidden/>
              </w:rPr>
              <w:fldChar w:fldCharType="end"/>
            </w:r>
          </w:hyperlink>
        </w:p>
        <w:p w14:paraId="32A08529" w14:textId="3C84B874"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33" w:history="1">
            <w:r w:rsidR="00DD1BD6" w:rsidRPr="009215EB">
              <w:rPr>
                <w:rStyle w:val="Hyperlink"/>
              </w:rPr>
              <w:t>Glossary of Terms</w:t>
            </w:r>
            <w:r w:rsidR="00DD1BD6">
              <w:rPr>
                <w:webHidden/>
              </w:rPr>
              <w:tab/>
            </w:r>
            <w:r w:rsidR="00DD1BD6">
              <w:rPr>
                <w:webHidden/>
              </w:rPr>
              <w:fldChar w:fldCharType="begin"/>
            </w:r>
            <w:r w:rsidR="00DD1BD6">
              <w:rPr>
                <w:webHidden/>
              </w:rPr>
              <w:instrText xml:space="preserve"> PAGEREF _Toc191281433 \h </w:instrText>
            </w:r>
            <w:r w:rsidR="00DD1BD6">
              <w:rPr>
                <w:webHidden/>
              </w:rPr>
            </w:r>
            <w:r w:rsidR="00DD1BD6">
              <w:rPr>
                <w:webHidden/>
              </w:rPr>
              <w:fldChar w:fldCharType="separate"/>
            </w:r>
            <w:r w:rsidR="00945E9C">
              <w:rPr>
                <w:webHidden/>
              </w:rPr>
              <w:t>71</w:t>
            </w:r>
            <w:r w:rsidR="00DD1BD6">
              <w:rPr>
                <w:webHidden/>
              </w:rPr>
              <w:fldChar w:fldCharType="end"/>
            </w:r>
          </w:hyperlink>
        </w:p>
        <w:p w14:paraId="53214458" w14:textId="3A10806A" w:rsidR="00DD1BD6"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281434" w:history="1">
            <w:r w:rsidR="00DD1BD6" w:rsidRPr="009215EB">
              <w:rPr>
                <w:rStyle w:val="Hyperlink"/>
              </w:rPr>
              <w:t>Audit Report</w:t>
            </w:r>
            <w:r w:rsidR="00DD1BD6">
              <w:rPr>
                <w:webHidden/>
              </w:rPr>
              <w:tab/>
            </w:r>
            <w:r w:rsidR="00DD1BD6">
              <w:rPr>
                <w:webHidden/>
              </w:rPr>
              <w:fldChar w:fldCharType="begin"/>
            </w:r>
            <w:r w:rsidR="00DD1BD6">
              <w:rPr>
                <w:webHidden/>
              </w:rPr>
              <w:instrText xml:space="preserve"> PAGEREF _Toc191281434 \h </w:instrText>
            </w:r>
            <w:r w:rsidR="00DD1BD6">
              <w:rPr>
                <w:webHidden/>
              </w:rPr>
            </w:r>
            <w:r w:rsidR="00DD1BD6">
              <w:rPr>
                <w:webHidden/>
              </w:rPr>
              <w:fldChar w:fldCharType="separate"/>
            </w:r>
            <w:r w:rsidR="00945E9C">
              <w:rPr>
                <w:webHidden/>
              </w:rPr>
              <w:t>75</w:t>
            </w:r>
            <w:r w:rsidR="00DD1BD6">
              <w:rPr>
                <w:webHidden/>
              </w:rPr>
              <w:fldChar w:fldCharType="end"/>
            </w:r>
          </w:hyperlink>
        </w:p>
        <w:p w14:paraId="16B827FD" w14:textId="3E47C4A0" w:rsidR="001C5C21" w:rsidRPr="005433C7" w:rsidRDefault="00F833B1">
          <w:pPr>
            <w:rPr>
              <w:rFonts w:asciiTheme="minorHAnsi" w:hAnsiTheme="minorHAnsi"/>
              <w:szCs w:val="20"/>
            </w:rPr>
          </w:pPr>
          <w:r w:rsidRPr="00D1102D">
            <w:rPr>
              <w:rFonts w:asciiTheme="minorHAnsi" w:hAnsiTheme="minorHAnsi" w:cstheme="minorHAnsi"/>
              <w:noProof/>
              <w:szCs w:val="20"/>
              <w:lang w:val="en-AU"/>
            </w:rPr>
            <w:fldChar w:fldCharType="end"/>
          </w:r>
        </w:p>
      </w:sdtContent>
    </w:sdt>
    <w:p w14:paraId="31E2C4F1" w14:textId="77777777" w:rsidR="001C5C21" w:rsidRDefault="001C5C21">
      <w:pPr>
        <w:spacing w:line="240" w:lineRule="auto"/>
        <w:jc w:val="left"/>
        <w:rPr>
          <w:rFonts w:eastAsia="Times New Roman" w:cs="Times New Roman"/>
          <w:b/>
          <w:bCs/>
          <w:smallCaps/>
          <w:color w:val="C00000"/>
          <w:sz w:val="36"/>
        </w:rPr>
      </w:pPr>
      <w:r>
        <w:br w:type="page"/>
      </w:r>
    </w:p>
    <w:p w14:paraId="63AA1595" w14:textId="5B03BD68" w:rsidR="00874085" w:rsidRDefault="00874085" w:rsidP="00F833B1">
      <w:pPr>
        <w:pStyle w:val="ChapterHeading"/>
        <w:sectPr w:rsidR="00874085" w:rsidSect="00B57879">
          <w:footerReference w:type="default" r:id="rId11"/>
          <w:type w:val="continuous"/>
          <w:pgSz w:w="11900" w:h="16840"/>
          <w:pgMar w:top="1440" w:right="1440" w:bottom="1440" w:left="1440" w:header="709" w:footer="283" w:gutter="0"/>
          <w:pgNumType w:start="1"/>
          <w:cols w:space="708"/>
          <w:titlePg/>
          <w:docGrid w:linePitch="360"/>
        </w:sectPr>
      </w:pPr>
    </w:p>
    <w:p w14:paraId="15EB5B15" w14:textId="77777777" w:rsidR="00C311FE" w:rsidRPr="00B617A5" w:rsidRDefault="00C311FE" w:rsidP="00C311FE">
      <w:pPr>
        <w:pStyle w:val="ChapterHeading"/>
      </w:pPr>
      <w:bookmarkStart w:id="5" w:name="_Toc109631094"/>
      <w:bookmarkStart w:id="6" w:name="_Toc191281422"/>
      <w:bookmarkStart w:id="7" w:name="_Toc486605881"/>
      <w:bookmarkStart w:id="8" w:name="_Toc9272491"/>
      <w:bookmarkEnd w:id="3"/>
      <w:r w:rsidRPr="00B617A5">
        <w:lastRenderedPageBreak/>
        <w:t>Narrative Statement</w:t>
      </w:r>
      <w:bookmarkEnd w:id="5"/>
      <w:bookmarkEnd w:id="6"/>
    </w:p>
    <w:p w14:paraId="0111FD2A" w14:textId="77777777" w:rsidR="00C311FE" w:rsidRDefault="00C311FE" w:rsidP="00C311FE">
      <w:bookmarkStart w:id="9" w:name="_Toc517077264"/>
    </w:p>
    <w:p w14:paraId="2A29E124" w14:textId="77777777" w:rsidR="00C311FE" w:rsidRDefault="00C311FE" w:rsidP="00C311FE"/>
    <w:p w14:paraId="23AEF45A" w14:textId="77777777" w:rsidR="00C311FE" w:rsidRPr="00C61BD7" w:rsidRDefault="00C311FE" w:rsidP="00C311FE">
      <w:pPr>
        <w:pStyle w:val="VAHeading"/>
      </w:pPr>
      <w:r w:rsidRPr="00C61BD7">
        <w:t>Contents</w:t>
      </w:r>
    </w:p>
    <w:p w14:paraId="318802DF" w14:textId="0A35CF0C" w:rsidR="00CD5B31" w:rsidRDefault="00C311FE">
      <w:pPr>
        <w:pStyle w:val="TOC2"/>
        <w:rPr>
          <w:rFonts w:asciiTheme="minorHAnsi" w:eastAsiaTheme="minorEastAsia" w:hAnsiTheme="minorHAnsi"/>
          <w:noProof/>
          <w:color w:val="auto"/>
          <w:kern w:val="2"/>
          <w:sz w:val="22"/>
          <w:szCs w:val="22"/>
          <w:lang w:eastAsia="en-GB"/>
          <w14:ligatures w14:val="standardContextual"/>
        </w:rPr>
      </w:pPr>
      <w:r w:rsidRPr="00C61BD7">
        <w:rPr>
          <w:bCs/>
          <w:smallCaps/>
        </w:rPr>
        <w:fldChar w:fldCharType="begin"/>
      </w:r>
      <w:r w:rsidRPr="00C61BD7">
        <w:rPr>
          <w:bCs/>
          <w:smallCaps/>
        </w:rPr>
        <w:instrText xml:space="preserve"> TOC \b Narrative \* MERGEFORMAT </w:instrText>
      </w:r>
      <w:r w:rsidRPr="00C61BD7">
        <w:rPr>
          <w:bCs/>
          <w:smallCaps/>
        </w:rPr>
        <w:fldChar w:fldCharType="separate"/>
      </w:r>
      <w:r w:rsidR="00CD5B31">
        <w:rPr>
          <w:noProof/>
        </w:rPr>
        <w:t>Foreword by Chief Finance Officer</w:t>
      </w:r>
      <w:r w:rsidR="00CD5B31">
        <w:rPr>
          <w:noProof/>
        </w:rPr>
        <w:tab/>
      </w:r>
      <w:r w:rsidR="00CD5B31">
        <w:rPr>
          <w:noProof/>
        </w:rPr>
        <w:fldChar w:fldCharType="begin"/>
      </w:r>
      <w:r w:rsidR="00CD5B31">
        <w:rPr>
          <w:noProof/>
        </w:rPr>
        <w:instrText xml:space="preserve"> PAGEREF _Toc167964110 \h </w:instrText>
      </w:r>
      <w:r w:rsidR="00CD5B31">
        <w:rPr>
          <w:noProof/>
        </w:rPr>
      </w:r>
      <w:r w:rsidR="00CD5B31">
        <w:rPr>
          <w:noProof/>
        </w:rPr>
        <w:fldChar w:fldCharType="separate"/>
      </w:r>
      <w:r w:rsidR="00945E9C">
        <w:rPr>
          <w:noProof/>
        </w:rPr>
        <w:t>2</w:t>
      </w:r>
      <w:r w:rsidR="00CD5B31">
        <w:rPr>
          <w:noProof/>
        </w:rPr>
        <w:fldChar w:fldCharType="end"/>
      </w:r>
    </w:p>
    <w:p w14:paraId="49E3049F" w14:textId="461B44E1"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Northamptonshire</w:t>
      </w:r>
      <w:r>
        <w:rPr>
          <w:noProof/>
        </w:rPr>
        <w:tab/>
      </w:r>
      <w:r>
        <w:rPr>
          <w:noProof/>
        </w:rPr>
        <w:fldChar w:fldCharType="begin"/>
      </w:r>
      <w:r>
        <w:rPr>
          <w:noProof/>
        </w:rPr>
        <w:instrText xml:space="preserve"> PAGEREF _Toc167964111 \h </w:instrText>
      </w:r>
      <w:r>
        <w:rPr>
          <w:noProof/>
        </w:rPr>
      </w:r>
      <w:r>
        <w:rPr>
          <w:noProof/>
        </w:rPr>
        <w:fldChar w:fldCharType="separate"/>
      </w:r>
      <w:r w:rsidR="00945E9C">
        <w:rPr>
          <w:noProof/>
        </w:rPr>
        <w:t>3</w:t>
      </w:r>
      <w:r>
        <w:rPr>
          <w:noProof/>
        </w:rPr>
        <w:fldChar w:fldCharType="end"/>
      </w:r>
    </w:p>
    <w:p w14:paraId="253518E9" w14:textId="4C9A9729"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The Chief Constable’s Strategic Plan</w:t>
      </w:r>
      <w:r>
        <w:rPr>
          <w:noProof/>
        </w:rPr>
        <w:tab/>
      </w:r>
      <w:r>
        <w:rPr>
          <w:noProof/>
        </w:rPr>
        <w:fldChar w:fldCharType="begin"/>
      </w:r>
      <w:r>
        <w:rPr>
          <w:noProof/>
        </w:rPr>
        <w:instrText xml:space="preserve"> PAGEREF _Toc167964112 \h </w:instrText>
      </w:r>
      <w:r>
        <w:rPr>
          <w:noProof/>
        </w:rPr>
      </w:r>
      <w:r>
        <w:rPr>
          <w:noProof/>
        </w:rPr>
        <w:fldChar w:fldCharType="separate"/>
      </w:r>
      <w:r w:rsidR="00945E9C">
        <w:rPr>
          <w:noProof/>
        </w:rPr>
        <w:t>4</w:t>
      </w:r>
      <w:r>
        <w:rPr>
          <w:noProof/>
        </w:rPr>
        <w:fldChar w:fldCharType="end"/>
      </w:r>
    </w:p>
    <w:p w14:paraId="010971A0" w14:textId="35EBECF3"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Police, Fire &amp; Crime Plan 2021-2026</w:t>
      </w:r>
      <w:r>
        <w:rPr>
          <w:noProof/>
        </w:rPr>
        <w:tab/>
      </w:r>
      <w:r>
        <w:rPr>
          <w:noProof/>
        </w:rPr>
        <w:fldChar w:fldCharType="begin"/>
      </w:r>
      <w:r>
        <w:rPr>
          <w:noProof/>
        </w:rPr>
        <w:instrText xml:space="preserve"> PAGEREF _Toc167964113 \h </w:instrText>
      </w:r>
      <w:r>
        <w:rPr>
          <w:noProof/>
        </w:rPr>
      </w:r>
      <w:r>
        <w:rPr>
          <w:noProof/>
        </w:rPr>
        <w:fldChar w:fldCharType="separate"/>
      </w:r>
      <w:r w:rsidR="00945E9C">
        <w:rPr>
          <w:noProof/>
        </w:rPr>
        <w:t>5</w:t>
      </w:r>
      <w:r>
        <w:rPr>
          <w:noProof/>
        </w:rPr>
        <w:fldChar w:fldCharType="end"/>
      </w:r>
    </w:p>
    <w:p w14:paraId="6258A578" w14:textId="601D77E2"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Statutory Framework</w:t>
      </w:r>
      <w:r>
        <w:rPr>
          <w:noProof/>
        </w:rPr>
        <w:tab/>
      </w:r>
      <w:r>
        <w:rPr>
          <w:noProof/>
        </w:rPr>
        <w:fldChar w:fldCharType="begin"/>
      </w:r>
      <w:r>
        <w:rPr>
          <w:noProof/>
        </w:rPr>
        <w:instrText xml:space="preserve"> PAGEREF _Toc167964114 \h </w:instrText>
      </w:r>
      <w:r>
        <w:rPr>
          <w:noProof/>
        </w:rPr>
      </w:r>
      <w:r>
        <w:rPr>
          <w:noProof/>
        </w:rPr>
        <w:fldChar w:fldCharType="separate"/>
      </w:r>
      <w:r w:rsidR="00945E9C">
        <w:rPr>
          <w:noProof/>
        </w:rPr>
        <w:t>5</w:t>
      </w:r>
      <w:r>
        <w:rPr>
          <w:noProof/>
        </w:rPr>
        <w:fldChar w:fldCharType="end"/>
      </w:r>
    </w:p>
    <w:p w14:paraId="7DD0DC16" w14:textId="6F056E8B"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Group Boundary</w:t>
      </w:r>
      <w:r>
        <w:rPr>
          <w:noProof/>
        </w:rPr>
        <w:tab/>
      </w:r>
      <w:r>
        <w:rPr>
          <w:noProof/>
        </w:rPr>
        <w:fldChar w:fldCharType="begin"/>
      </w:r>
      <w:r>
        <w:rPr>
          <w:noProof/>
        </w:rPr>
        <w:instrText xml:space="preserve"> PAGEREF _Toc167964115 \h </w:instrText>
      </w:r>
      <w:r>
        <w:rPr>
          <w:noProof/>
        </w:rPr>
      </w:r>
      <w:r>
        <w:rPr>
          <w:noProof/>
        </w:rPr>
        <w:fldChar w:fldCharType="separate"/>
      </w:r>
      <w:r w:rsidR="00945E9C">
        <w:rPr>
          <w:noProof/>
        </w:rPr>
        <w:t>6</w:t>
      </w:r>
      <w:r>
        <w:rPr>
          <w:noProof/>
        </w:rPr>
        <w:fldChar w:fldCharType="end"/>
      </w:r>
    </w:p>
    <w:p w14:paraId="50982816" w14:textId="38BCA54C"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Responsibilities</w:t>
      </w:r>
      <w:r>
        <w:rPr>
          <w:noProof/>
        </w:rPr>
        <w:tab/>
      </w:r>
      <w:r>
        <w:rPr>
          <w:noProof/>
        </w:rPr>
        <w:fldChar w:fldCharType="begin"/>
      </w:r>
      <w:r>
        <w:rPr>
          <w:noProof/>
        </w:rPr>
        <w:instrText xml:space="preserve"> PAGEREF _Toc167964116 \h </w:instrText>
      </w:r>
      <w:r>
        <w:rPr>
          <w:noProof/>
        </w:rPr>
      </w:r>
      <w:r>
        <w:rPr>
          <w:noProof/>
        </w:rPr>
        <w:fldChar w:fldCharType="separate"/>
      </w:r>
      <w:r w:rsidR="00945E9C">
        <w:rPr>
          <w:noProof/>
        </w:rPr>
        <w:t>6</w:t>
      </w:r>
      <w:r>
        <w:rPr>
          <w:noProof/>
        </w:rPr>
        <w:fldChar w:fldCharType="end"/>
      </w:r>
    </w:p>
    <w:p w14:paraId="7846A3A3" w14:textId="76288322"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Operational Model</w:t>
      </w:r>
      <w:r>
        <w:rPr>
          <w:noProof/>
        </w:rPr>
        <w:tab/>
      </w:r>
      <w:r>
        <w:rPr>
          <w:noProof/>
        </w:rPr>
        <w:fldChar w:fldCharType="begin"/>
      </w:r>
      <w:r>
        <w:rPr>
          <w:noProof/>
        </w:rPr>
        <w:instrText xml:space="preserve"> PAGEREF _Toc167964117 \h </w:instrText>
      </w:r>
      <w:r>
        <w:rPr>
          <w:noProof/>
        </w:rPr>
      </w:r>
      <w:r>
        <w:rPr>
          <w:noProof/>
        </w:rPr>
        <w:fldChar w:fldCharType="separate"/>
      </w:r>
      <w:r w:rsidR="00945E9C">
        <w:rPr>
          <w:noProof/>
        </w:rPr>
        <w:t>7</w:t>
      </w:r>
      <w:r>
        <w:rPr>
          <w:noProof/>
        </w:rPr>
        <w:fldChar w:fldCharType="end"/>
      </w:r>
    </w:p>
    <w:p w14:paraId="4900A7A4" w14:textId="07CE3A2C"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Strategy and Resources</w:t>
      </w:r>
      <w:r>
        <w:rPr>
          <w:noProof/>
        </w:rPr>
        <w:tab/>
      </w:r>
      <w:r>
        <w:rPr>
          <w:noProof/>
        </w:rPr>
        <w:fldChar w:fldCharType="begin"/>
      </w:r>
      <w:r>
        <w:rPr>
          <w:noProof/>
        </w:rPr>
        <w:instrText xml:space="preserve"> PAGEREF _Toc167964118 \h </w:instrText>
      </w:r>
      <w:r>
        <w:rPr>
          <w:noProof/>
        </w:rPr>
      </w:r>
      <w:r>
        <w:rPr>
          <w:noProof/>
        </w:rPr>
        <w:fldChar w:fldCharType="separate"/>
      </w:r>
      <w:r w:rsidR="00945E9C">
        <w:rPr>
          <w:noProof/>
        </w:rPr>
        <w:t>7</w:t>
      </w:r>
      <w:r>
        <w:rPr>
          <w:noProof/>
        </w:rPr>
        <w:fldChar w:fldCharType="end"/>
      </w:r>
    </w:p>
    <w:p w14:paraId="392C0922" w14:textId="76B56163"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Financial Performance</w:t>
      </w:r>
      <w:r>
        <w:rPr>
          <w:noProof/>
        </w:rPr>
        <w:tab/>
      </w:r>
      <w:r>
        <w:rPr>
          <w:noProof/>
        </w:rPr>
        <w:fldChar w:fldCharType="begin"/>
      </w:r>
      <w:r>
        <w:rPr>
          <w:noProof/>
        </w:rPr>
        <w:instrText xml:space="preserve"> PAGEREF _Toc167964119 \h </w:instrText>
      </w:r>
      <w:r>
        <w:rPr>
          <w:noProof/>
        </w:rPr>
      </w:r>
      <w:r>
        <w:rPr>
          <w:noProof/>
        </w:rPr>
        <w:fldChar w:fldCharType="separate"/>
      </w:r>
      <w:r w:rsidR="00945E9C">
        <w:rPr>
          <w:noProof/>
        </w:rPr>
        <w:t>9</w:t>
      </w:r>
      <w:r>
        <w:rPr>
          <w:noProof/>
        </w:rPr>
        <w:fldChar w:fldCharType="end"/>
      </w:r>
    </w:p>
    <w:p w14:paraId="69672CEC" w14:textId="133EFBAF"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Force Operational Performance</w:t>
      </w:r>
      <w:r>
        <w:rPr>
          <w:noProof/>
        </w:rPr>
        <w:tab/>
      </w:r>
      <w:r>
        <w:rPr>
          <w:noProof/>
        </w:rPr>
        <w:fldChar w:fldCharType="begin"/>
      </w:r>
      <w:r>
        <w:rPr>
          <w:noProof/>
        </w:rPr>
        <w:instrText xml:space="preserve"> PAGEREF _Toc167964120 \h </w:instrText>
      </w:r>
      <w:r>
        <w:rPr>
          <w:noProof/>
        </w:rPr>
      </w:r>
      <w:r>
        <w:rPr>
          <w:noProof/>
        </w:rPr>
        <w:fldChar w:fldCharType="separate"/>
      </w:r>
      <w:r w:rsidR="00945E9C">
        <w:rPr>
          <w:noProof/>
        </w:rPr>
        <w:t>11</w:t>
      </w:r>
      <w:r>
        <w:rPr>
          <w:noProof/>
        </w:rPr>
        <w:fldChar w:fldCharType="end"/>
      </w:r>
    </w:p>
    <w:p w14:paraId="36335631" w14:textId="1F459A5B"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External Factors</w:t>
      </w:r>
      <w:r>
        <w:rPr>
          <w:noProof/>
        </w:rPr>
        <w:tab/>
      </w:r>
      <w:r>
        <w:rPr>
          <w:noProof/>
        </w:rPr>
        <w:fldChar w:fldCharType="begin"/>
      </w:r>
      <w:r>
        <w:rPr>
          <w:noProof/>
        </w:rPr>
        <w:instrText xml:space="preserve"> PAGEREF _Toc167964121 \h </w:instrText>
      </w:r>
      <w:r>
        <w:rPr>
          <w:noProof/>
        </w:rPr>
      </w:r>
      <w:r>
        <w:rPr>
          <w:noProof/>
        </w:rPr>
        <w:fldChar w:fldCharType="separate"/>
      </w:r>
      <w:r w:rsidR="00945E9C">
        <w:rPr>
          <w:noProof/>
        </w:rPr>
        <w:t>14</w:t>
      </w:r>
      <w:r>
        <w:rPr>
          <w:noProof/>
        </w:rPr>
        <w:fldChar w:fldCharType="end"/>
      </w:r>
    </w:p>
    <w:p w14:paraId="6A7E6453" w14:textId="344FB01D"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Outlook</w:t>
      </w:r>
      <w:r>
        <w:rPr>
          <w:noProof/>
        </w:rPr>
        <w:tab/>
      </w:r>
      <w:r>
        <w:rPr>
          <w:noProof/>
        </w:rPr>
        <w:fldChar w:fldCharType="begin"/>
      </w:r>
      <w:r>
        <w:rPr>
          <w:noProof/>
        </w:rPr>
        <w:instrText xml:space="preserve"> PAGEREF _Toc167964122 \h </w:instrText>
      </w:r>
      <w:r>
        <w:rPr>
          <w:noProof/>
        </w:rPr>
      </w:r>
      <w:r>
        <w:rPr>
          <w:noProof/>
        </w:rPr>
        <w:fldChar w:fldCharType="separate"/>
      </w:r>
      <w:r w:rsidR="00945E9C">
        <w:rPr>
          <w:noProof/>
        </w:rPr>
        <w:t>15</w:t>
      </w:r>
      <w:r>
        <w:rPr>
          <w:noProof/>
        </w:rPr>
        <w:fldChar w:fldCharType="end"/>
      </w:r>
    </w:p>
    <w:p w14:paraId="0DDBABC8" w14:textId="32F1A973"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The Financial Statements</w:t>
      </w:r>
      <w:r>
        <w:rPr>
          <w:noProof/>
        </w:rPr>
        <w:tab/>
      </w:r>
      <w:r>
        <w:rPr>
          <w:noProof/>
        </w:rPr>
        <w:fldChar w:fldCharType="begin"/>
      </w:r>
      <w:r>
        <w:rPr>
          <w:noProof/>
        </w:rPr>
        <w:instrText xml:space="preserve"> PAGEREF _Toc167964123 \h </w:instrText>
      </w:r>
      <w:r>
        <w:rPr>
          <w:noProof/>
        </w:rPr>
      </w:r>
      <w:r>
        <w:rPr>
          <w:noProof/>
        </w:rPr>
        <w:fldChar w:fldCharType="separate"/>
      </w:r>
      <w:r w:rsidR="00945E9C">
        <w:rPr>
          <w:noProof/>
        </w:rPr>
        <w:t>16</w:t>
      </w:r>
      <w:r>
        <w:rPr>
          <w:noProof/>
        </w:rPr>
        <w:fldChar w:fldCharType="end"/>
      </w:r>
    </w:p>
    <w:p w14:paraId="3F59D326" w14:textId="68E17D0A" w:rsidR="00CD5B31" w:rsidRDefault="00CD5B31">
      <w:pPr>
        <w:pStyle w:val="TOC2"/>
        <w:rPr>
          <w:rFonts w:asciiTheme="minorHAnsi" w:eastAsiaTheme="minorEastAsia" w:hAnsiTheme="minorHAnsi"/>
          <w:noProof/>
          <w:color w:val="auto"/>
          <w:kern w:val="2"/>
          <w:sz w:val="22"/>
          <w:szCs w:val="22"/>
          <w:lang w:eastAsia="en-GB"/>
          <w14:ligatures w14:val="standardContextual"/>
        </w:rPr>
      </w:pPr>
      <w:r>
        <w:rPr>
          <w:noProof/>
        </w:rPr>
        <w:t>Summary and Conclusion</w:t>
      </w:r>
      <w:r>
        <w:rPr>
          <w:noProof/>
        </w:rPr>
        <w:tab/>
      </w:r>
      <w:r>
        <w:rPr>
          <w:noProof/>
        </w:rPr>
        <w:fldChar w:fldCharType="begin"/>
      </w:r>
      <w:r>
        <w:rPr>
          <w:noProof/>
        </w:rPr>
        <w:instrText xml:space="preserve"> PAGEREF _Toc167964124 \h </w:instrText>
      </w:r>
      <w:r>
        <w:rPr>
          <w:noProof/>
        </w:rPr>
      </w:r>
      <w:r>
        <w:rPr>
          <w:noProof/>
        </w:rPr>
        <w:fldChar w:fldCharType="separate"/>
      </w:r>
      <w:r w:rsidR="00945E9C">
        <w:rPr>
          <w:noProof/>
        </w:rPr>
        <w:t>18</w:t>
      </w:r>
      <w:r>
        <w:rPr>
          <w:noProof/>
        </w:rPr>
        <w:fldChar w:fldCharType="end"/>
      </w:r>
    </w:p>
    <w:p w14:paraId="02176632" w14:textId="74063B2F" w:rsidR="00C311FE" w:rsidRPr="00C930FA" w:rsidRDefault="00C311FE" w:rsidP="00C311FE">
      <w:pPr>
        <w:tabs>
          <w:tab w:val="right" w:pos="4253"/>
        </w:tabs>
        <w:rPr>
          <w:sz w:val="16"/>
          <w:highlight w:val="yellow"/>
        </w:rPr>
      </w:pPr>
      <w:r w:rsidRPr="00C61BD7">
        <w:rPr>
          <w:bCs/>
          <w:smallCaps/>
        </w:rPr>
        <w:fldChar w:fldCharType="end"/>
      </w:r>
      <w:r w:rsidRPr="00C930FA">
        <w:rPr>
          <w:highlight w:val="yellow"/>
        </w:rPr>
        <w:br w:type="column"/>
      </w:r>
      <w:bookmarkStart w:id="10" w:name="_Toc9493437"/>
      <w:bookmarkStart w:id="11" w:name="Narrative"/>
    </w:p>
    <w:p w14:paraId="56B84688" w14:textId="77777777" w:rsidR="00C311FE" w:rsidRPr="00C930FA" w:rsidRDefault="00C311FE" w:rsidP="00C311FE">
      <w:pPr>
        <w:rPr>
          <w:sz w:val="16"/>
          <w:highlight w:val="yellow"/>
        </w:rPr>
      </w:pPr>
    </w:p>
    <w:p w14:paraId="7676BC5A" w14:textId="77777777" w:rsidR="00C311FE" w:rsidRPr="00C930FA" w:rsidRDefault="00C311FE" w:rsidP="00C311FE">
      <w:pPr>
        <w:rPr>
          <w:highlight w:val="yellow"/>
        </w:rPr>
      </w:pPr>
    </w:p>
    <w:p w14:paraId="4424BD95" w14:textId="77777777" w:rsidR="00C311FE" w:rsidRPr="007E6F83" w:rsidRDefault="00C311FE" w:rsidP="00C311FE">
      <w:pPr>
        <w:pStyle w:val="VAHeading"/>
      </w:pPr>
      <w:bookmarkStart w:id="12" w:name="_Toc106968606"/>
      <w:bookmarkStart w:id="13" w:name="_Toc167964110"/>
      <w:r w:rsidRPr="007E6F83">
        <w:t>Foreword by Chief Finance Officer</w:t>
      </w:r>
      <w:bookmarkEnd w:id="12"/>
      <w:bookmarkEnd w:id="13"/>
    </w:p>
    <w:p w14:paraId="5089E4C1" w14:textId="77777777" w:rsidR="00C311FE" w:rsidRPr="008E2B9F" w:rsidRDefault="00C311FE" w:rsidP="00C311FE"/>
    <w:bookmarkEnd w:id="9"/>
    <w:bookmarkEnd w:id="10"/>
    <w:p w14:paraId="5519A1F8" w14:textId="18D38A07" w:rsidR="00C311FE" w:rsidRPr="008E2B9F" w:rsidRDefault="00C311FE" w:rsidP="00C311FE">
      <w:pPr>
        <w:rPr>
          <w:rFonts w:cs="Arial"/>
          <w:bCs/>
          <w:szCs w:val="20"/>
        </w:rPr>
      </w:pPr>
      <w:r w:rsidRPr="008E2B9F">
        <w:rPr>
          <w:szCs w:val="20"/>
        </w:rPr>
        <w:t>These accounts are produced annually to give local taxpayers, employees and other interested parties clear information about Northamptonshire Police finances.  They</w:t>
      </w:r>
      <w:r w:rsidRPr="008E2B9F">
        <w:rPr>
          <w:rFonts w:cs="Arial"/>
          <w:szCs w:val="20"/>
        </w:rPr>
        <w:t xml:space="preserve"> reflect the financial performance of the Office of the Chief Constable for Northamptonshire (OCC) and are in accordance with the Police Reform and Social Responsibility Act 2011.</w:t>
      </w:r>
      <w:r w:rsidRPr="008E2B9F">
        <w:rPr>
          <w:rFonts w:cs="Arial"/>
          <w:bCs/>
          <w:szCs w:val="20"/>
        </w:rPr>
        <w:t xml:space="preserve">  They should be read in conjunction with the accounts produced by the</w:t>
      </w:r>
      <w:r w:rsidR="00F3350C">
        <w:rPr>
          <w:rFonts w:cs="Arial"/>
          <w:bCs/>
          <w:szCs w:val="20"/>
        </w:rPr>
        <w:t xml:space="preserve"> </w:t>
      </w:r>
      <w:r w:rsidR="00F3350C" w:rsidRPr="008E2B9F">
        <w:rPr>
          <w:rFonts w:cs="Arial"/>
          <w:szCs w:val="20"/>
        </w:rPr>
        <w:t xml:space="preserve">Office of the </w:t>
      </w:r>
      <w:r w:rsidR="00F3350C">
        <w:rPr>
          <w:rFonts w:cs="Arial"/>
          <w:szCs w:val="20"/>
        </w:rPr>
        <w:t>Police, Fire and Crime Commissioner</w:t>
      </w:r>
      <w:r w:rsidR="00F3350C" w:rsidRPr="008E2B9F">
        <w:rPr>
          <w:rFonts w:cs="Arial"/>
          <w:szCs w:val="20"/>
        </w:rPr>
        <w:t xml:space="preserve"> for Northamptonshire</w:t>
      </w:r>
      <w:r w:rsidRPr="008E2B9F">
        <w:rPr>
          <w:rFonts w:cs="Arial"/>
          <w:bCs/>
          <w:szCs w:val="20"/>
        </w:rPr>
        <w:t xml:space="preserve"> </w:t>
      </w:r>
      <w:r w:rsidR="00F3350C">
        <w:rPr>
          <w:rFonts w:cs="Arial"/>
          <w:bCs/>
          <w:szCs w:val="20"/>
        </w:rPr>
        <w:t>(</w:t>
      </w:r>
      <w:r w:rsidRPr="008E2B9F">
        <w:rPr>
          <w:rFonts w:cs="Arial"/>
          <w:bCs/>
          <w:szCs w:val="20"/>
        </w:rPr>
        <w:t>OPFCC</w:t>
      </w:r>
      <w:r w:rsidR="00F3350C">
        <w:rPr>
          <w:rFonts w:cs="Arial"/>
          <w:bCs/>
          <w:szCs w:val="20"/>
        </w:rPr>
        <w:t>)</w:t>
      </w:r>
      <w:r w:rsidRPr="008E2B9F">
        <w:rPr>
          <w:rFonts w:cs="Arial"/>
          <w:bCs/>
          <w:szCs w:val="20"/>
        </w:rPr>
        <w:t xml:space="preserve"> and the Group accounts into which they are consolidated.</w:t>
      </w:r>
    </w:p>
    <w:p w14:paraId="53678979" w14:textId="77777777" w:rsidR="00C311FE" w:rsidRPr="008E2B9F" w:rsidRDefault="00C311FE" w:rsidP="00C311FE">
      <w:pPr>
        <w:rPr>
          <w:rFonts w:cs="Arial"/>
          <w:bCs/>
          <w:szCs w:val="20"/>
        </w:rPr>
      </w:pPr>
    </w:p>
    <w:p w14:paraId="4611D3C1" w14:textId="4DFEC229" w:rsidR="00C311FE" w:rsidRPr="007F2679" w:rsidRDefault="00C311FE" w:rsidP="00C311FE">
      <w:pPr>
        <w:rPr>
          <w:rFonts w:cs="Arial"/>
          <w:highlight w:val="yellow"/>
        </w:rPr>
      </w:pPr>
      <w:r w:rsidRPr="3C1DD911">
        <w:rPr>
          <w:rFonts w:cs="Arial"/>
        </w:rPr>
        <w:t>They are prepared on a going concern basis, assuming</w:t>
      </w:r>
      <w:r w:rsidR="00CF0F81">
        <w:rPr>
          <w:rFonts w:cs="Arial"/>
        </w:rPr>
        <w:t xml:space="preserve"> </w:t>
      </w:r>
      <w:r w:rsidRPr="3C1DD911">
        <w:rPr>
          <w:rFonts w:cs="Arial"/>
        </w:rPr>
        <w:t>that the Chief Constable (OCC) will continue in operation for the foreseeable future.  They have been prepared in accordance with the Accounts and Audit Regulations 2015, the CIPFA Code of Practice on Local Authority Accounting and the Service Reporting Code of Practice 202</w:t>
      </w:r>
      <w:r>
        <w:rPr>
          <w:rFonts w:cs="Arial"/>
        </w:rPr>
        <w:t>3</w:t>
      </w:r>
      <w:r w:rsidRPr="3C1DD911">
        <w:rPr>
          <w:rFonts w:cs="Arial"/>
        </w:rPr>
        <w:t>/2</w:t>
      </w:r>
      <w:r>
        <w:rPr>
          <w:rFonts w:cs="Arial"/>
        </w:rPr>
        <w:t>4</w:t>
      </w:r>
      <w:r w:rsidRPr="3C1DD911">
        <w:rPr>
          <w:rFonts w:cs="Arial"/>
        </w:rPr>
        <w:t>.</w:t>
      </w:r>
    </w:p>
    <w:p w14:paraId="34F56310" w14:textId="77777777" w:rsidR="00C311FE" w:rsidRPr="003129F3" w:rsidRDefault="00C311FE" w:rsidP="00C311FE">
      <w:pPr>
        <w:rPr>
          <w:rFonts w:cs="Arial"/>
          <w:bCs/>
          <w:szCs w:val="20"/>
        </w:rPr>
      </w:pPr>
    </w:p>
    <w:p w14:paraId="44E62F62" w14:textId="77777777" w:rsidR="00C311FE" w:rsidRPr="003129F3" w:rsidRDefault="00C311FE" w:rsidP="00C311FE">
      <w:pPr>
        <w:rPr>
          <w:rFonts w:cs="Arial"/>
          <w:szCs w:val="20"/>
        </w:rPr>
      </w:pPr>
      <w:r w:rsidRPr="003129F3">
        <w:rPr>
          <w:rFonts w:cs="Arial"/>
          <w:bCs/>
          <w:szCs w:val="20"/>
        </w:rPr>
        <w:t xml:space="preserve">The information provided also allows for an assessment of the Chief’s performance in terms of stewardship and the management of the resources entrusted to </w:t>
      </w:r>
      <w:r>
        <w:rPr>
          <w:rFonts w:cs="Arial"/>
          <w:bCs/>
          <w:szCs w:val="20"/>
        </w:rPr>
        <w:t>them</w:t>
      </w:r>
      <w:r w:rsidRPr="003129F3">
        <w:rPr>
          <w:rFonts w:cs="Arial"/>
          <w:bCs/>
          <w:szCs w:val="20"/>
        </w:rPr>
        <w:t>.  The accounts are, therefore, necessarily detailed and technical and explanatory notes are included.</w:t>
      </w:r>
    </w:p>
    <w:p w14:paraId="4DB4A2E2" w14:textId="77777777" w:rsidR="00C311FE" w:rsidRPr="003129F3" w:rsidRDefault="00C311FE" w:rsidP="00C311FE">
      <w:pPr>
        <w:rPr>
          <w:rFonts w:cs="Arial"/>
          <w:szCs w:val="20"/>
        </w:rPr>
      </w:pPr>
    </w:p>
    <w:p w14:paraId="25D9A19A" w14:textId="1365853A" w:rsidR="00C311FE" w:rsidRPr="000737CA" w:rsidRDefault="00C311FE" w:rsidP="00C311FE">
      <w:r w:rsidRPr="000737CA">
        <w:t>The purpose of this narrative report is to offer a guide on the most important matters reported in the accounts as well as providing information about the strategic direction of the Force.  It provides an explanation of the financial position and assists in the interpretation of the financial statements.  It contains information about the activities of the OCC and the main influences on the financial statements to provide a link between the Police activities</w:t>
      </w:r>
      <w:r w:rsidR="00211463">
        <w:t>,</w:t>
      </w:r>
      <w:r w:rsidRPr="000737CA">
        <w:t xml:space="preserve"> Police and Crime Plan</w:t>
      </w:r>
      <w:r w:rsidR="00211463">
        <w:t>,</w:t>
      </w:r>
      <w:r w:rsidRPr="000737CA">
        <w:t xml:space="preserve"> future challenges and how these impact on its financial resources. </w:t>
      </w:r>
    </w:p>
    <w:p w14:paraId="29196132" w14:textId="77777777" w:rsidR="00C311FE" w:rsidRPr="000737CA" w:rsidRDefault="00C311FE" w:rsidP="00C311FE">
      <w:pPr>
        <w:rPr>
          <w:rFonts w:cs="Arial"/>
          <w:bCs/>
          <w:szCs w:val="20"/>
        </w:rPr>
      </w:pPr>
    </w:p>
    <w:p w14:paraId="5461D7AF" w14:textId="33710348" w:rsidR="00C311FE" w:rsidRDefault="00C311FE" w:rsidP="00166BA7">
      <w:pPr>
        <w:rPr>
          <w:rFonts w:cs="Arial"/>
          <w:bCs/>
          <w:szCs w:val="20"/>
        </w:rPr>
      </w:pPr>
      <w:r w:rsidRPr="000737CA">
        <w:rPr>
          <w:rFonts w:cs="Arial"/>
          <w:bCs/>
          <w:szCs w:val="20"/>
        </w:rPr>
        <w:t>It includes information on the budget preparation process, final accounts, performance information, medium term financial plans and other contextual information such as workforce numbers and strategic risks.</w:t>
      </w:r>
    </w:p>
    <w:p w14:paraId="76761E78" w14:textId="77777777" w:rsidR="00166BA7" w:rsidRPr="00166BA7" w:rsidRDefault="00166BA7" w:rsidP="00166BA7">
      <w:pPr>
        <w:rPr>
          <w:rFonts w:cs="Arial"/>
          <w:bCs/>
          <w:szCs w:val="20"/>
        </w:rPr>
      </w:pPr>
    </w:p>
    <w:p w14:paraId="489C3F92" w14:textId="77777777" w:rsidR="00C311FE" w:rsidRPr="005C711D" w:rsidRDefault="00C311FE" w:rsidP="00C311FE">
      <w:pPr>
        <w:pStyle w:val="VAHeading"/>
        <w:rPr>
          <w:noProof/>
          <w:lang w:eastAsia="en-GB"/>
        </w:rPr>
      </w:pPr>
      <w:bookmarkStart w:id="14" w:name="_Toc106968607"/>
      <w:bookmarkStart w:id="15" w:name="_Toc167964111"/>
      <w:r w:rsidRPr="005C711D">
        <w:lastRenderedPageBreak/>
        <w:t>Northamptonshire</w:t>
      </w:r>
      <w:bookmarkEnd w:id="14"/>
      <w:bookmarkEnd w:id="15"/>
    </w:p>
    <w:p w14:paraId="2D3FAC91" w14:textId="77777777" w:rsidR="00C311FE" w:rsidRPr="005C711D" w:rsidRDefault="00C311FE" w:rsidP="00C311FE"/>
    <w:p w14:paraId="7ECBF90F" w14:textId="77777777" w:rsidR="00C311FE" w:rsidRPr="005C711D" w:rsidRDefault="00C311FE" w:rsidP="00C311FE">
      <w:r w:rsidRPr="005C711D">
        <w:t xml:space="preserve">The county of Northamptonshire covers an area of 913 </w:t>
      </w:r>
      <w:r w:rsidRPr="00B617A5">
        <w:t>square miles and has an estimated population of over 7</w:t>
      </w:r>
      <w:r>
        <w:t>90</w:t>
      </w:r>
      <w:r w:rsidRPr="00B617A5">
        <w:t>,000 people.  It is the southern-most county in the East Midlands</w:t>
      </w:r>
      <w:r w:rsidRPr="005C711D">
        <w:t xml:space="preserve"> region and its most populated towns are Northampton, Kettering, Corby and Wellingborough.  There has been a notable increase in population in recent years with some major new housing development projects and more to come.</w:t>
      </w:r>
    </w:p>
    <w:p w14:paraId="721EB21A" w14:textId="77777777" w:rsidR="00C311FE" w:rsidRPr="005C711D" w:rsidRDefault="00C311FE" w:rsidP="00C311FE">
      <w:pPr>
        <w:rPr>
          <w:szCs w:val="20"/>
        </w:rPr>
      </w:pPr>
    </w:p>
    <w:p w14:paraId="1EA380D0" w14:textId="77777777" w:rsidR="00C311FE" w:rsidRDefault="00C311FE" w:rsidP="00C311FE">
      <w:pPr>
        <w:rPr>
          <w:szCs w:val="20"/>
        </w:rPr>
      </w:pPr>
      <w:r w:rsidRPr="00B617A5">
        <w:rPr>
          <w:szCs w:val="20"/>
        </w:rPr>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p>
    <w:p w14:paraId="01917EAA" w14:textId="77777777" w:rsidR="00C311FE" w:rsidRPr="005C711D" w:rsidRDefault="00C311FE" w:rsidP="00C311FE">
      <w:pPr>
        <w:rPr>
          <w:szCs w:val="20"/>
        </w:rPr>
      </w:pPr>
    </w:p>
    <w:p w14:paraId="45B4DDBB" w14:textId="77777777" w:rsidR="00C311FE" w:rsidRPr="005C711D" w:rsidRDefault="00C311FE" w:rsidP="00C311FE">
      <w:pPr>
        <w:rPr>
          <w:szCs w:val="20"/>
        </w:rPr>
      </w:pPr>
      <w:r>
        <w:rPr>
          <w:noProof/>
        </w:rPr>
        <w:drawing>
          <wp:anchor distT="0" distB="0" distL="114300" distR="114300" simplePos="0" relativeHeight="251696137" behindDoc="0" locked="0" layoutInCell="1" allowOverlap="1" wp14:anchorId="26E64981" wp14:editId="25A5203C">
            <wp:simplePos x="0" y="0"/>
            <wp:positionH relativeFrom="column">
              <wp:posOffset>0</wp:posOffset>
            </wp:positionH>
            <wp:positionV relativeFrom="paragraph">
              <wp:posOffset>-1270</wp:posOffset>
            </wp:positionV>
            <wp:extent cx="6276975" cy="5114915"/>
            <wp:effectExtent l="0" t="0" r="0" b="0"/>
            <wp:wrapTopAndBottom/>
            <wp:docPr id="10" name="Picture 10"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Northamptonshire with the old district and borough council boundaries sho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6975" cy="511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B1B96" w14:textId="77777777" w:rsidR="00C311FE" w:rsidRDefault="00C311FE" w:rsidP="00C311FE">
      <w:pPr>
        <w:spacing w:after="160" w:line="259" w:lineRule="auto"/>
        <w:jc w:val="left"/>
        <w:rPr>
          <w:rFonts w:asciiTheme="minorHAnsi" w:eastAsia="Times New Roman" w:hAnsiTheme="minorHAnsi" w:cstheme="minorHAnsi"/>
          <w:bCs/>
          <w:smallCaps/>
          <w:color w:val="25316C"/>
          <w:sz w:val="32"/>
          <w:highlight w:val="yellow"/>
        </w:rPr>
      </w:pPr>
      <w:r w:rsidRPr="007F2679">
        <w:rPr>
          <w:highlight w:val="yellow"/>
        </w:rPr>
        <w:br w:type="column"/>
      </w:r>
      <w:bookmarkStart w:id="16" w:name="_Toc9503603"/>
      <w:r>
        <w:rPr>
          <w:highlight w:val="yellow"/>
        </w:rPr>
        <w:br w:type="page"/>
      </w:r>
    </w:p>
    <w:p w14:paraId="2D4E27D4" w14:textId="0973E459" w:rsidR="00C311FE" w:rsidRPr="00D52A28" w:rsidRDefault="00C311FE" w:rsidP="000B79EC">
      <w:pPr>
        <w:pStyle w:val="VAHeading"/>
        <w:jc w:val="left"/>
      </w:pPr>
      <w:bookmarkStart w:id="17" w:name="_Toc167964112"/>
      <w:r w:rsidRPr="00D52A28">
        <w:lastRenderedPageBreak/>
        <w:t xml:space="preserve">The Chief Constable’s </w:t>
      </w:r>
      <w:bookmarkEnd w:id="16"/>
      <w:r w:rsidRPr="00D52A28">
        <w:t>Strategic Plan</w:t>
      </w:r>
      <w:bookmarkEnd w:id="17"/>
    </w:p>
    <w:p w14:paraId="2A5ABDCB" w14:textId="53F9197A" w:rsidR="00C311FE" w:rsidRPr="00166BA7" w:rsidRDefault="00C311FE" w:rsidP="00C311FE">
      <w:pPr>
        <w:rPr>
          <w:sz w:val="10"/>
          <w:szCs w:val="14"/>
        </w:rPr>
      </w:pPr>
    </w:p>
    <w:p w14:paraId="762FDD0D" w14:textId="5AF6BAE8" w:rsidR="00C311FE" w:rsidRDefault="00E95979" w:rsidP="00C311FE">
      <w:r>
        <w:rPr>
          <w:noProof/>
        </w:rPr>
        <w:drawing>
          <wp:anchor distT="0" distB="0" distL="114300" distR="114300" simplePos="0" relativeHeight="251695113" behindDoc="1" locked="0" layoutInCell="1" allowOverlap="1" wp14:anchorId="2E8849CC" wp14:editId="5779D744">
            <wp:simplePos x="0" y="0"/>
            <wp:positionH relativeFrom="margin">
              <wp:align>left</wp:align>
            </wp:positionH>
            <wp:positionV relativeFrom="paragraph">
              <wp:posOffset>728087</wp:posOffset>
            </wp:positionV>
            <wp:extent cx="5328920" cy="7473950"/>
            <wp:effectExtent l="0" t="0" r="5080" b="0"/>
            <wp:wrapTight wrapText="bothSides">
              <wp:wrapPolygon edited="0">
                <wp:start x="0" y="0"/>
                <wp:lineTo x="0" y="21527"/>
                <wp:lineTo x="21543" y="21527"/>
                <wp:lineTo x="2154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920" cy="747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FE">
        <w:t>The Force Strategic Plan sets out the areas to focus on to achieve the Force Vision – “to provide an outstanding policing service to the communities of Northamptonshire”.</w:t>
      </w:r>
    </w:p>
    <w:p w14:paraId="2540206E" w14:textId="47531FC6" w:rsidR="00C311FE" w:rsidRDefault="00C311FE" w:rsidP="00C311FE">
      <w:r>
        <w:t>There are five key pillars within the plan, and these are where there is a need to improve and excel:</w:t>
      </w:r>
    </w:p>
    <w:p w14:paraId="2828D43C" w14:textId="77777777" w:rsidR="00C311FE" w:rsidRDefault="00C311FE" w:rsidP="00C311FE">
      <w:pPr>
        <w:pStyle w:val="RedBullet"/>
        <w:ind w:left="714" w:hanging="357"/>
      </w:pPr>
      <w:r>
        <w:t>Quality of Service</w:t>
      </w:r>
    </w:p>
    <w:p w14:paraId="4162C515" w14:textId="77777777" w:rsidR="00C311FE" w:rsidRDefault="00C311FE" w:rsidP="00C311FE">
      <w:pPr>
        <w:pStyle w:val="RedBullet"/>
        <w:ind w:left="714" w:hanging="357"/>
      </w:pPr>
      <w:r>
        <w:t>Prevention and Intervention</w:t>
      </w:r>
    </w:p>
    <w:p w14:paraId="052F94D1" w14:textId="77777777" w:rsidR="00C311FE" w:rsidRDefault="00C311FE" w:rsidP="00C311FE">
      <w:pPr>
        <w:pStyle w:val="RedBullet"/>
        <w:ind w:left="714" w:hanging="357"/>
      </w:pPr>
      <w:r>
        <w:t>Release Capacity</w:t>
      </w:r>
    </w:p>
    <w:p w14:paraId="0D6CD5C5" w14:textId="77777777" w:rsidR="00C311FE" w:rsidRDefault="00C311FE" w:rsidP="00C311FE">
      <w:pPr>
        <w:pStyle w:val="RedBullet"/>
        <w:ind w:left="714" w:hanging="357"/>
      </w:pPr>
      <w:r>
        <w:t>Effective Partnerships</w:t>
      </w:r>
    </w:p>
    <w:p w14:paraId="235190C1" w14:textId="77777777" w:rsidR="00C311FE" w:rsidRDefault="00C311FE" w:rsidP="00C311FE">
      <w:pPr>
        <w:pStyle w:val="RedBullet"/>
        <w:ind w:left="714" w:hanging="357"/>
      </w:pPr>
      <w:r>
        <w:t>Healthy Culture</w:t>
      </w:r>
    </w:p>
    <w:p w14:paraId="0B2AF9B5" w14:textId="77777777" w:rsidR="00C311FE" w:rsidRDefault="00C311FE" w:rsidP="00C311FE"/>
    <w:p w14:paraId="0ABA5412" w14:textId="77777777" w:rsidR="00C311FE" w:rsidRDefault="00C311FE" w:rsidP="00C311FE"/>
    <w:p w14:paraId="2937FCAC" w14:textId="77777777" w:rsidR="00C311FE" w:rsidRPr="007F2679" w:rsidRDefault="00C311FE" w:rsidP="00C311FE">
      <w:pPr>
        <w:rPr>
          <w:highlight w:val="yellow"/>
        </w:rPr>
      </w:pPr>
    </w:p>
    <w:p w14:paraId="63E52CEC" w14:textId="77777777" w:rsidR="00C311FE" w:rsidRDefault="00C311FE" w:rsidP="00C311FE">
      <w:pPr>
        <w:spacing w:after="160" w:line="259" w:lineRule="auto"/>
        <w:jc w:val="left"/>
        <w:rPr>
          <w:rFonts w:eastAsia="Times New Roman" w:cs="Times New Roman"/>
          <w:bCs/>
          <w:color w:val="25316C"/>
        </w:rPr>
      </w:pPr>
      <w:r>
        <w:br w:type="page"/>
      </w:r>
    </w:p>
    <w:p w14:paraId="69F93CCA" w14:textId="77777777" w:rsidR="00C311FE" w:rsidRPr="0008516C" w:rsidRDefault="00C311FE" w:rsidP="00C311FE">
      <w:pPr>
        <w:pStyle w:val="VAHeadingLevel2"/>
      </w:pPr>
      <w:r w:rsidRPr="0008516C">
        <w:lastRenderedPageBreak/>
        <w:t>Matters of Priority</w:t>
      </w:r>
    </w:p>
    <w:p w14:paraId="199DF02B" w14:textId="77777777" w:rsidR="00C311FE" w:rsidRPr="0008516C" w:rsidRDefault="00C311FE" w:rsidP="00C311FE"/>
    <w:p w14:paraId="5B1372D8" w14:textId="77777777" w:rsidR="00C311FE" w:rsidRDefault="00C311FE" w:rsidP="00C311FE">
      <w:r w:rsidRPr="0008516C">
        <w:t>The Chief Constable identified four Matters of Priority which will be key areas of focus for three years, from 2022</w:t>
      </w:r>
      <w:r>
        <w:t xml:space="preserve"> to 2025.  The priorities have been informed by feedback from our communities and focus on the four biggest crime challenges facing Northamptonshire today, with the key objective of protecting the most vulnerable.</w:t>
      </w:r>
    </w:p>
    <w:p w14:paraId="14299E6A" w14:textId="77777777" w:rsidR="00C311FE" w:rsidRDefault="00C311FE" w:rsidP="00C311FE"/>
    <w:p w14:paraId="1BAF0919" w14:textId="77777777" w:rsidR="00C311FE" w:rsidRDefault="00C311FE" w:rsidP="00C311FE">
      <w:pPr>
        <w:pStyle w:val="RedBullet"/>
        <w:ind w:left="714" w:hanging="357"/>
      </w:pPr>
      <w:r>
        <w:t>Violence against women and girls</w:t>
      </w:r>
    </w:p>
    <w:p w14:paraId="24FCCD97" w14:textId="77777777" w:rsidR="00C311FE" w:rsidRDefault="00C311FE" w:rsidP="00C311FE">
      <w:pPr>
        <w:pStyle w:val="RedBullet"/>
        <w:ind w:left="714" w:hanging="357"/>
      </w:pPr>
      <w:r>
        <w:t>Drug harm</w:t>
      </w:r>
    </w:p>
    <w:p w14:paraId="1167D49A" w14:textId="77777777" w:rsidR="00C311FE" w:rsidRDefault="00C311FE" w:rsidP="00C311FE">
      <w:pPr>
        <w:pStyle w:val="RedBullet"/>
        <w:ind w:left="714" w:hanging="357"/>
      </w:pPr>
      <w:r>
        <w:t>Serious and organised crime</w:t>
      </w:r>
    </w:p>
    <w:p w14:paraId="5753DB01" w14:textId="77777777" w:rsidR="00C311FE" w:rsidRDefault="00C311FE" w:rsidP="00C311FE">
      <w:pPr>
        <w:pStyle w:val="RedBullet"/>
        <w:ind w:left="714" w:hanging="357"/>
      </w:pPr>
      <w:r>
        <w:t>Serious violence</w:t>
      </w:r>
    </w:p>
    <w:p w14:paraId="4705A502" w14:textId="77777777" w:rsidR="00C311FE" w:rsidRDefault="00C311FE" w:rsidP="00C311FE">
      <w:pPr>
        <w:pStyle w:val="RedBullet"/>
        <w:numPr>
          <w:ilvl w:val="0"/>
          <w:numId w:val="0"/>
        </w:numPr>
        <w:ind w:left="714"/>
      </w:pPr>
    </w:p>
    <w:p w14:paraId="3E9809EE" w14:textId="77777777" w:rsidR="00C311FE" w:rsidRDefault="00C311FE" w:rsidP="00C311FE">
      <w:r>
        <w:t>Alongside the operational focus, the ongoing communications campaign will inform and help the public, as well as our officers and staff, better understand why these are the areas which present the most risk and how the Force intends to drive down offending levels.</w:t>
      </w:r>
    </w:p>
    <w:p w14:paraId="69C1BEE2" w14:textId="77777777" w:rsidR="00C311FE" w:rsidRDefault="00C311FE" w:rsidP="00C311FE"/>
    <w:p w14:paraId="48C4D29F" w14:textId="77777777" w:rsidR="00C311FE" w:rsidRDefault="00C311FE" w:rsidP="00C311FE">
      <w:r>
        <w:t>Since its launch in 2021, Matters of Priority has become ingrained in Force language and within the communities we serve.</w:t>
      </w:r>
    </w:p>
    <w:p w14:paraId="41D0F487" w14:textId="77777777" w:rsidR="00C311FE" w:rsidRPr="00A86F85" w:rsidRDefault="00C311FE" w:rsidP="00C311FE"/>
    <w:p w14:paraId="0841C5EC" w14:textId="77777777" w:rsidR="00C311FE" w:rsidRPr="00A86F85" w:rsidRDefault="00C311FE" w:rsidP="00C311FE">
      <w:pPr>
        <w:pStyle w:val="VAHeadingLevel3"/>
      </w:pPr>
      <w:r w:rsidRPr="00A86F85">
        <w:t>Performance and Accountability</w:t>
      </w:r>
    </w:p>
    <w:p w14:paraId="5E52B145" w14:textId="77777777" w:rsidR="00C311FE" w:rsidRDefault="00C311FE" w:rsidP="00C311FE">
      <w:r w:rsidRPr="006E29E5">
        <w:t>The plan is underpinned by a comprehensive performance framework, using considered and relevant indicators that will enable the organisation to assess its progress in delivery against the plan.  Oversight and scrutiny of delivery of the plan takes place through the Chief Constable’s Strategic Planning Board.</w:t>
      </w:r>
    </w:p>
    <w:p w14:paraId="2567894C" w14:textId="77777777" w:rsidR="00C311FE" w:rsidRPr="00A86F85" w:rsidRDefault="00C311FE" w:rsidP="00C311FE"/>
    <w:p w14:paraId="100AEB4C" w14:textId="77777777" w:rsidR="00C311FE" w:rsidRPr="00B020DA" w:rsidRDefault="00C311FE" w:rsidP="00C311FE">
      <w:pPr>
        <w:pStyle w:val="VAHeading"/>
      </w:pPr>
      <w:bookmarkStart w:id="18" w:name="_Toc106796372"/>
      <w:bookmarkStart w:id="19" w:name="_Toc167964113"/>
      <w:r w:rsidRPr="00B020DA">
        <w:t>Police, F</w:t>
      </w:r>
      <w:r>
        <w:t>ire</w:t>
      </w:r>
      <w:r w:rsidRPr="00B020DA">
        <w:t xml:space="preserve"> &amp; Crime Plan</w:t>
      </w:r>
      <w:r>
        <w:t xml:space="preserve"> </w:t>
      </w:r>
      <w:r w:rsidRPr="00B020DA">
        <w:t>2021-2026</w:t>
      </w:r>
      <w:bookmarkEnd w:id="18"/>
      <w:bookmarkEnd w:id="19"/>
    </w:p>
    <w:p w14:paraId="0DF18F6A" w14:textId="77777777" w:rsidR="00C311FE" w:rsidRPr="00B020DA" w:rsidRDefault="00C311FE" w:rsidP="00C311FE">
      <w:pPr>
        <w:rPr>
          <w:rFonts w:cs="Arial"/>
        </w:rPr>
      </w:pPr>
    </w:p>
    <w:p w14:paraId="07178FF5" w14:textId="77777777" w:rsidR="00C311FE" w:rsidRDefault="00C311FE" w:rsidP="00C311FE">
      <w:pPr>
        <w:rPr>
          <w:rFonts w:cs="Arial"/>
        </w:rPr>
      </w:pPr>
      <w:r w:rsidRPr="00B020DA">
        <w:rPr>
          <w:rFonts w:cs="Arial"/>
        </w:rPr>
        <w:t xml:space="preserve">One of the duties of the PFCC is to produce and publish a Police and Crime Plan for the Force Area.  Fundamentally, this is a plan for the residents of Northamptonshire to make the County safer.  </w:t>
      </w:r>
    </w:p>
    <w:p w14:paraId="2DFA5131" w14:textId="77777777" w:rsidR="00C311FE" w:rsidRPr="00B020DA" w:rsidRDefault="00C311FE" w:rsidP="00C311FE">
      <w:pPr>
        <w:rPr>
          <w:rFonts w:cs="Arial"/>
        </w:rPr>
      </w:pPr>
    </w:p>
    <w:p w14:paraId="77099E90" w14:textId="77777777" w:rsidR="00C311FE" w:rsidRPr="00B020DA" w:rsidRDefault="00C311FE" w:rsidP="00C311FE">
      <w:pPr>
        <w:spacing w:line="257" w:lineRule="auto"/>
        <w:rPr>
          <w:rFonts w:eastAsia="Calibri" w:cs="Calibri"/>
          <w:sz w:val="22"/>
          <w:szCs w:val="22"/>
        </w:rPr>
      </w:pPr>
      <w:r w:rsidRPr="00B020DA">
        <w:rPr>
          <w:rFonts w:eastAsia="Calibri" w:cs="Calibri"/>
          <w:szCs w:val="20"/>
        </w:rPr>
        <w:t xml:space="preserve">The PFCC’s </w:t>
      </w:r>
      <w:r>
        <w:rPr>
          <w:rFonts w:eastAsia="Calibri" w:cs="Calibri"/>
          <w:szCs w:val="20"/>
        </w:rPr>
        <w:t>latest</w:t>
      </w:r>
      <w:r w:rsidRPr="00B020DA">
        <w:rPr>
          <w:rFonts w:eastAsia="Calibri" w:cs="Calibri"/>
          <w:szCs w:val="20"/>
        </w:rPr>
        <w:t xml:space="preserve"> Police</w:t>
      </w:r>
      <w:r>
        <w:rPr>
          <w:rFonts w:eastAsia="Calibri" w:cs="Calibri"/>
          <w:szCs w:val="20"/>
        </w:rPr>
        <w:t>, Fire</w:t>
      </w:r>
      <w:r w:rsidRPr="00B020DA">
        <w:rPr>
          <w:rFonts w:eastAsia="Calibri" w:cs="Calibri"/>
          <w:szCs w:val="20"/>
        </w:rPr>
        <w:t xml:space="preserve"> and Crime Plan cover</w:t>
      </w:r>
      <w:r>
        <w:rPr>
          <w:rFonts w:eastAsia="Calibri" w:cs="Calibri"/>
          <w:szCs w:val="20"/>
        </w:rPr>
        <w:t>s</w:t>
      </w:r>
      <w:r w:rsidRPr="00B020DA">
        <w:rPr>
          <w:rFonts w:eastAsia="Calibri" w:cs="Calibri"/>
          <w:szCs w:val="20"/>
        </w:rPr>
        <w:t xml:space="preserve"> the period to 202</w:t>
      </w:r>
      <w:r>
        <w:rPr>
          <w:rFonts w:eastAsia="Calibri" w:cs="Calibri"/>
          <w:szCs w:val="20"/>
        </w:rPr>
        <w:t xml:space="preserve">6 and </w:t>
      </w:r>
      <w:r w:rsidRPr="00B020DA">
        <w:rPr>
          <w:rFonts w:eastAsia="Calibri" w:cs="Calibri"/>
          <w:szCs w:val="20"/>
        </w:rPr>
        <w:t>was published in early 2022, following consultation and consideration by the Police, Fire and Crime Panel at their meeting in December 2021.</w:t>
      </w:r>
    </w:p>
    <w:p w14:paraId="4714EB61" w14:textId="416B803A" w:rsidR="00C311FE" w:rsidRDefault="00C311FE" w:rsidP="00C311FE">
      <w:pPr>
        <w:spacing w:line="257" w:lineRule="auto"/>
        <w:rPr>
          <w:rFonts w:eastAsia="Calibri"/>
          <w:szCs w:val="20"/>
        </w:rPr>
      </w:pPr>
    </w:p>
    <w:p w14:paraId="54230909" w14:textId="5F1E818C" w:rsidR="00CF0F81" w:rsidRDefault="00CF0F81" w:rsidP="00C311FE">
      <w:pPr>
        <w:spacing w:line="257" w:lineRule="auto"/>
        <w:rPr>
          <w:rFonts w:eastAsia="Calibri"/>
          <w:szCs w:val="20"/>
        </w:rPr>
      </w:pPr>
    </w:p>
    <w:p w14:paraId="305CCB8D" w14:textId="77777777" w:rsidR="00CF0F81" w:rsidRPr="00B020DA" w:rsidRDefault="00CF0F81" w:rsidP="00C311FE">
      <w:pPr>
        <w:spacing w:line="257" w:lineRule="auto"/>
        <w:rPr>
          <w:rFonts w:eastAsia="Calibri"/>
          <w:szCs w:val="20"/>
        </w:rPr>
      </w:pPr>
    </w:p>
    <w:p w14:paraId="0896C5D4" w14:textId="77777777" w:rsidR="00C311FE" w:rsidRPr="00B020DA" w:rsidRDefault="00C311FE" w:rsidP="00C311FE">
      <w:pPr>
        <w:pStyle w:val="VAHeadingLevel3"/>
        <w:rPr>
          <w:rFonts w:eastAsia="Calibri"/>
        </w:rPr>
      </w:pPr>
      <w:r w:rsidRPr="00B020DA">
        <w:rPr>
          <w:rFonts w:eastAsia="Calibri"/>
        </w:rPr>
        <w:t>Vision and Values</w:t>
      </w:r>
    </w:p>
    <w:p w14:paraId="1B300479" w14:textId="77777777" w:rsidR="00C311FE" w:rsidRPr="00B020DA" w:rsidRDefault="00C311FE" w:rsidP="00C311FE">
      <w:pPr>
        <w:rPr>
          <w:rFonts w:eastAsia="Calibri" w:cs="Calibri"/>
          <w:szCs w:val="20"/>
        </w:rPr>
      </w:pPr>
      <w:r w:rsidRPr="00B020DA">
        <w:rPr>
          <w:rFonts w:eastAsia="Calibri" w:cs="Calibri"/>
          <w:szCs w:val="20"/>
        </w:rPr>
        <w:t>The PFCC Vision as set out in the Police, Fire and Crime Plan is:</w:t>
      </w:r>
    </w:p>
    <w:p w14:paraId="1C28611D" w14:textId="77777777" w:rsidR="00C311FE" w:rsidRPr="00B020DA" w:rsidRDefault="00C311FE" w:rsidP="00C311FE">
      <w:pPr>
        <w:rPr>
          <w:rFonts w:eastAsia="Calibri" w:cs="Calibri"/>
          <w:szCs w:val="20"/>
        </w:rPr>
      </w:pPr>
      <w:r w:rsidRPr="00B020DA">
        <w:rPr>
          <w:rFonts w:eastAsia="Calibri" w:cs="Calibri"/>
          <w:szCs w:val="20"/>
        </w:rPr>
        <w:t xml:space="preserve"> </w:t>
      </w:r>
    </w:p>
    <w:p w14:paraId="54225021" w14:textId="77777777" w:rsidR="00C311FE" w:rsidRPr="00B020DA" w:rsidRDefault="00C311FE" w:rsidP="00C311FE">
      <w:pPr>
        <w:pStyle w:val="VAHeadingLevel3"/>
        <w:jc w:val="both"/>
        <w:rPr>
          <w:rFonts w:eastAsia="Calibri"/>
        </w:rPr>
      </w:pPr>
      <w:r w:rsidRPr="00B020DA">
        <w:rPr>
          <w:rFonts w:eastAsia="Calibri"/>
        </w:rPr>
        <w:t>“Working with Communities to make Northamptonshire safer.”</w:t>
      </w:r>
    </w:p>
    <w:p w14:paraId="4368DD7A" w14:textId="77777777" w:rsidR="00C311FE" w:rsidRPr="00B020DA" w:rsidRDefault="00C311FE" w:rsidP="00C311FE">
      <w:pPr>
        <w:rPr>
          <w:rFonts w:eastAsia="Calibri" w:cs="Calibri"/>
          <w:b/>
          <w:bCs/>
          <w:szCs w:val="20"/>
        </w:rPr>
      </w:pPr>
      <w:r w:rsidRPr="00B020DA">
        <w:rPr>
          <w:rFonts w:eastAsia="Calibri" w:cs="Calibri"/>
          <w:b/>
          <w:bCs/>
          <w:szCs w:val="20"/>
        </w:rPr>
        <w:t xml:space="preserve"> </w:t>
      </w:r>
    </w:p>
    <w:p w14:paraId="290562D8" w14:textId="77777777" w:rsidR="00C311FE" w:rsidRPr="00B020DA" w:rsidRDefault="00C311FE" w:rsidP="00C311FE">
      <w:pPr>
        <w:rPr>
          <w:rFonts w:eastAsia="Calibri" w:cs="Calibri"/>
          <w:szCs w:val="20"/>
        </w:rPr>
      </w:pPr>
      <w:r w:rsidRPr="00B020DA">
        <w:rPr>
          <w:rFonts w:eastAsia="Calibri" w:cs="Calibri"/>
          <w:szCs w:val="20"/>
        </w:rPr>
        <w:t>The PFCC also set out the values:</w:t>
      </w:r>
    </w:p>
    <w:p w14:paraId="4EADC3EC" w14:textId="77777777" w:rsidR="00C311FE" w:rsidRPr="00B020DA" w:rsidRDefault="00C311FE" w:rsidP="00C311FE">
      <w:pPr>
        <w:rPr>
          <w:rFonts w:eastAsia="Calibri" w:cs="Calibri"/>
          <w:b/>
          <w:bCs/>
          <w:szCs w:val="20"/>
        </w:rPr>
      </w:pPr>
      <w:r w:rsidRPr="00B020DA">
        <w:rPr>
          <w:rFonts w:eastAsia="Calibri" w:cs="Calibri"/>
          <w:b/>
          <w:bCs/>
          <w:szCs w:val="20"/>
        </w:rPr>
        <w:t xml:space="preserve"> </w:t>
      </w:r>
    </w:p>
    <w:p w14:paraId="7B420B33" w14:textId="77777777" w:rsidR="00C311FE" w:rsidRDefault="00C311FE" w:rsidP="00C311FE">
      <w:pPr>
        <w:pStyle w:val="VAHeadingLevel3"/>
        <w:jc w:val="both"/>
        <w:rPr>
          <w:rFonts w:eastAsia="Calibri"/>
        </w:rPr>
      </w:pPr>
      <w:r w:rsidRPr="00B020DA">
        <w:rPr>
          <w:rFonts w:eastAsia="Calibri"/>
        </w:rPr>
        <w:t>“It is more important than ever that our emergency services are seen to embody the highest ethical standards as we work to make a difference for our communities.”</w:t>
      </w:r>
    </w:p>
    <w:p w14:paraId="2FB494E5" w14:textId="77777777" w:rsidR="00C311FE" w:rsidRPr="00BE7CE3" w:rsidRDefault="00C311FE" w:rsidP="00C311FE">
      <w:pPr>
        <w:pStyle w:val="VAHeadingLevel3"/>
        <w:jc w:val="both"/>
        <w:rPr>
          <w:rFonts w:eastAsia="Calibri"/>
        </w:rPr>
      </w:pPr>
    </w:p>
    <w:p w14:paraId="3DC0E84A" w14:textId="77777777" w:rsidR="00C311FE" w:rsidRPr="00D44749" w:rsidRDefault="00C311FE" w:rsidP="00C311FE">
      <w:pPr>
        <w:pStyle w:val="VAHeadingLevel3"/>
        <w:jc w:val="both"/>
        <w:rPr>
          <w:color w:val="auto"/>
        </w:rPr>
      </w:pPr>
      <w:r w:rsidRPr="00D44749">
        <w:t>Trustworthy</w:t>
      </w:r>
      <w:r>
        <w:t xml:space="preserve">: </w:t>
      </w:r>
      <w:r w:rsidRPr="00D44749">
        <w:rPr>
          <w:color w:val="auto"/>
        </w:rPr>
        <w:t>Doing the right thing with honesty and integrity</w:t>
      </w:r>
    </w:p>
    <w:p w14:paraId="2C9C2338" w14:textId="77777777" w:rsidR="00C311FE" w:rsidRPr="00D44749" w:rsidRDefault="00C311FE" w:rsidP="00C311FE">
      <w:pPr>
        <w:pStyle w:val="VAHeadingLevel3"/>
        <w:jc w:val="both"/>
        <w:rPr>
          <w:color w:val="auto"/>
        </w:rPr>
      </w:pPr>
      <w:r w:rsidRPr="00D44749">
        <w:t>Respectful</w:t>
      </w:r>
      <w:r>
        <w:t xml:space="preserve">: </w:t>
      </w:r>
      <w:r w:rsidRPr="00D44749">
        <w:rPr>
          <w:color w:val="auto"/>
        </w:rPr>
        <w:t>Treating the public and colleagues with care and dignity</w:t>
      </w:r>
    </w:p>
    <w:p w14:paraId="7CFFE7FE" w14:textId="77777777" w:rsidR="00C311FE" w:rsidRPr="00D44749" w:rsidRDefault="00C311FE" w:rsidP="00C311FE">
      <w:pPr>
        <w:pStyle w:val="VAHeadingLevel3"/>
        <w:jc w:val="both"/>
        <w:rPr>
          <w:color w:val="auto"/>
        </w:rPr>
      </w:pPr>
      <w:r w:rsidRPr="00D44749">
        <w:t>Innovative</w:t>
      </w:r>
      <w:r>
        <w:t xml:space="preserve">: </w:t>
      </w:r>
      <w:r w:rsidRPr="00D44749">
        <w:rPr>
          <w:color w:val="auto"/>
        </w:rPr>
        <w:t>Aiming for continuous improvement and learning</w:t>
      </w:r>
    </w:p>
    <w:p w14:paraId="0073F483" w14:textId="77777777" w:rsidR="00C311FE" w:rsidRPr="00D44749" w:rsidRDefault="00C311FE" w:rsidP="00C311FE">
      <w:pPr>
        <w:pStyle w:val="VAHeadingLevel3"/>
        <w:jc w:val="both"/>
      </w:pPr>
      <w:r w:rsidRPr="00D44749">
        <w:t>Efficient</w:t>
      </w:r>
      <w:r>
        <w:t xml:space="preserve">: </w:t>
      </w:r>
      <w:r w:rsidRPr="00D44749">
        <w:rPr>
          <w:color w:val="auto"/>
        </w:rPr>
        <w:t>Working in a well-organised and competent way</w:t>
      </w:r>
    </w:p>
    <w:p w14:paraId="7B77F52A" w14:textId="77777777" w:rsidR="00C311FE" w:rsidRPr="00D44749" w:rsidRDefault="00C311FE" w:rsidP="00C311FE">
      <w:pPr>
        <w:pStyle w:val="VAHeadingLevel3"/>
        <w:jc w:val="both"/>
        <w:rPr>
          <w:color w:val="auto"/>
        </w:rPr>
      </w:pPr>
      <w:r w:rsidRPr="00D44749">
        <w:t>Effective</w:t>
      </w:r>
      <w:r>
        <w:t xml:space="preserve">: </w:t>
      </w:r>
      <w:r w:rsidRPr="00D44749">
        <w:rPr>
          <w:color w:val="auto"/>
        </w:rPr>
        <w:t>Successfully achieving the best outcomes for our community</w:t>
      </w:r>
    </w:p>
    <w:p w14:paraId="44055993" w14:textId="77777777" w:rsidR="00C311FE" w:rsidRPr="00D44749" w:rsidRDefault="00C311FE" w:rsidP="00C311FE">
      <w:pPr>
        <w:pStyle w:val="VAHeadingLevel3"/>
        <w:jc w:val="both"/>
        <w:rPr>
          <w:color w:val="auto"/>
        </w:rPr>
      </w:pPr>
      <w:r w:rsidRPr="00D44749">
        <w:t>Transparent</w:t>
      </w:r>
      <w:r>
        <w:t xml:space="preserve">: </w:t>
      </w:r>
      <w:r w:rsidRPr="00D44749">
        <w:rPr>
          <w:color w:val="auto"/>
        </w:rPr>
        <w:t>Being open and honest in everything we do</w:t>
      </w:r>
    </w:p>
    <w:p w14:paraId="1C4A3173" w14:textId="77777777" w:rsidR="00C311FE" w:rsidRPr="00D44749" w:rsidRDefault="00C311FE" w:rsidP="00C311FE"/>
    <w:p w14:paraId="6557C278" w14:textId="77777777" w:rsidR="00C311FE" w:rsidRDefault="00C311FE" w:rsidP="00C311FE">
      <w:r w:rsidRPr="00C00FEC">
        <w:t>The Plan sets out the following priorities for Fire and Policing in Northamptonshire:</w:t>
      </w:r>
    </w:p>
    <w:p w14:paraId="72CC708C" w14:textId="77777777" w:rsidR="00C311FE" w:rsidRDefault="00C311FE" w:rsidP="00CD5B31">
      <w:pPr>
        <w:pStyle w:val="RedBullet"/>
      </w:pPr>
      <w:bookmarkStart w:id="20" w:name="_Hlk160092321"/>
      <w:r>
        <w:t>Prevention that keeps the county safe</w:t>
      </w:r>
    </w:p>
    <w:p w14:paraId="2806ADD6" w14:textId="77777777" w:rsidR="00C311FE" w:rsidRDefault="00C311FE" w:rsidP="00CD5B31">
      <w:pPr>
        <w:pStyle w:val="RedBullet"/>
      </w:pPr>
      <w:r>
        <w:t>Effective and efficient response</w:t>
      </w:r>
    </w:p>
    <w:p w14:paraId="2347B1B4" w14:textId="77777777" w:rsidR="00C311FE" w:rsidRDefault="00C311FE" w:rsidP="00CD5B31">
      <w:pPr>
        <w:pStyle w:val="RedBullet"/>
      </w:pPr>
      <w:r>
        <w:t>Protect and support those who are vulnerable</w:t>
      </w:r>
    </w:p>
    <w:p w14:paraId="1078FA65" w14:textId="77777777" w:rsidR="00C311FE" w:rsidRDefault="00C311FE" w:rsidP="00CD5B31">
      <w:pPr>
        <w:pStyle w:val="RedBullet"/>
      </w:pPr>
      <w:r>
        <w:t>Effective justice</w:t>
      </w:r>
    </w:p>
    <w:p w14:paraId="0C2AAA6B" w14:textId="77777777" w:rsidR="00C311FE" w:rsidRDefault="00C311FE" w:rsidP="00CD5B31">
      <w:pPr>
        <w:pStyle w:val="RedBullet"/>
      </w:pPr>
      <w:r>
        <w:t xml:space="preserve">Modern services that are fit for the future </w:t>
      </w:r>
    </w:p>
    <w:p w14:paraId="5BD88769" w14:textId="77777777" w:rsidR="00C311FE" w:rsidRPr="00A01B64" w:rsidRDefault="00C311FE" w:rsidP="00C311FE">
      <w:bookmarkStart w:id="21" w:name="_Toc9251398"/>
      <w:bookmarkEnd w:id="20"/>
    </w:p>
    <w:p w14:paraId="1CCFBE5C" w14:textId="77777777" w:rsidR="00C311FE" w:rsidRPr="00A01B64" w:rsidRDefault="00C311FE" w:rsidP="00C311FE">
      <w:pPr>
        <w:pStyle w:val="VAHeading"/>
      </w:pPr>
      <w:bookmarkStart w:id="22" w:name="_Toc106968610"/>
      <w:bookmarkStart w:id="23" w:name="_Toc167964114"/>
      <w:r w:rsidRPr="00A01B64">
        <w:t>Statutory Framework</w:t>
      </w:r>
      <w:bookmarkEnd w:id="21"/>
      <w:bookmarkEnd w:id="22"/>
      <w:bookmarkEnd w:id="23"/>
    </w:p>
    <w:p w14:paraId="68C68285" w14:textId="77777777" w:rsidR="00C311FE" w:rsidRPr="00A01B64" w:rsidRDefault="00C311FE" w:rsidP="00C311FE">
      <w:pPr>
        <w:rPr>
          <w:szCs w:val="20"/>
        </w:rPr>
      </w:pPr>
    </w:p>
    <w:p w14:paraId="228A23E0" w14:textId="77777777" w:rsidR="00C311FE" w:rsidRPr="00A01B64" w:rsidRDefault="00C311FE" w:rsidP="00C311FE">
      <w:pPr>
        <w:rPr>
          <w:szCs w:val="20"/>
        </w:rPr>
      </w:pPr>
      <w:r w:rsidRPr="00A01B64">
        <w:rPr>
          <w:szCs w:val="20"/>
        </w:rPr>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288F1002" w14:textId="77777777" w:rsidR="00C311FE" w:rsidRPr="00A01B64" w:rsidRDefault="00C311FE" w:rsidP="00C311FE">
      <w:pPr>
        <w:rPr>
          <w:szCs w:val="20"/>
        </w:rPr>
      </w:pPr>
    </w:p>
    <w:p w14:paraId="1365E915" w14:textId="77777777" w:rsidR="00C311FE" w:rsidRPr="00A01B64" w:rsidRDefault="00C311FE" w:rsidP="00C311FE">
      <w:pPr>
        <w:rPr>
          <w:szCs w:val="20"/>
        </w:rPr>
      </w:pPr>
      <w:r w:rsidRPr="00A01B64">
        <w:rPr>
          <w:szCs w:val="20"/>
        </w:rPr>
        <w:t xml:space="preserve">The PFCC has overall responsibility for the finances of the group in that he receives all external funding and sets the annual budget and precept.  The Chief Constable has produced </w:t>
      </w:r>
      <w:r>
        <w:rPr>
          <w:szCs w:val="20"/>
        </w:rPr>
        <w:t>this</w:t>
      </w:r>
      <w:r w:rsidRPr="00A01B64">
        <w:rPr>
          <w:szCs w:val="20"/>
        </w:rPr>
        <w:t xml:space="preserve"> separate set of accounts </w:t>
      </w:r>
      <w:r w:rsidRPr="00A01B64">
        <w:rPr>
          <w:szCs w:val="20"/>
        </w:rPr>
        <w:lastRenderedPageBreak/>
        <w:t>which explains how the resources provided by the PFCC have been used to deliver operational policing services.</w:t>
      </w:r>
    </w:p>
    <w:p w14:paraId="47AB81A0" w14:textId="77777777" w:rsidR="00C311FE" w:rsidRPr="00A609C5" w:rsidRDefault="00C311FE" w:rsidP="00C311FE">
      <w:pPr>
        <w:rPr>
          <w:szCs w:val="20"/>
        </w:rPr>
      </w:pPr>
    </w:p>
    <w:p w14:paraId="1998BD68" w14:textId="77777777" w:rsidR="00C311FE" w:rsidRPr="00A609C5" w:rsidRDefault="00C311FE" w:rsidP="00C311FE">
      <w:pPr>
        <w:rPr>
          <w:rFonts w:cs="Arial"/>
          <w:szCs w:val="20"/>
        </w:rPr>
      </w:pPr>
      <w:r w:rsidRPr="00A609C5">
        <w:rPr>
          <w:rFonts w:cs="Arial"/>
          <w:szCs w:val="20"/>
        </w:rPr>
        <w:t xml:space="preserve">The Policing and Crime Act 2017 provided legislation to: </w:t>
      </w:r>
    </w:p>
    <w:p w14:paraId="13A6EFF0" w14:textId="77777777" w:rsidR="00C311FE" w:rsidRPr="00A609C5" w:rsidRDefault="00C311FE" w:rsidP="00C311FE">
      <w:pPr>
        <w:pStyle w:val="RedBullet"/>
        <w:ind w:left="714" w:hanging="357"/>
      </w:pPr>
      <w:r w:rsidRPr="00A609C5">
        <w:t>Place a statutory duty on the three emergency services to collaborate.</w:t>
      </w:r>
    </w:p>
    <w:p w14:paraId="064F83A9" w14:textId="77777777" w:rsidR="00C311FE" w:rsidRPr="00A609C5" w:rsidRDefault="00C311FE" w:rsidP="00C311FE">
      <w:pPr>
        <w:pStyle w:val="RedBullet"/>
        <w:ind w:left="714" w:hanging="357"/>
      </w:pPr>
      <w:r w:rsidRPr="00A609C5">
        <w:t>Enable PFCCs (PCCs) to be represented on the Fire Authority.</w:t>
      </w:r>
    </w:p>
    <w:p w14:paraId="337AAA16" w14:textId="77777777" w:rsidR="00C311FE" w:rsidRPr="00A609C5" w:rsidRDefault="00C311FE" w:rsidP="00C311FE">
      <w:pPr>
        <w:pStyle w:val="RedBullet"/>
        <w:ind w:left="714" w:hanging="357"/>
      </w:pPr>
      <w:r w:rsidRPr="00A609C5">
        <w:t>Enable PFCCs (PCCs) to make a local case to take on governance of the fire and rescue service as the Fire Authority.</w:t>
      </w:r>
    </w:p>
    <w:p w14:paraId="03DBD09C" w14:textId="77777777" w:rsidR="00C311FE" w:rsidRPr="00A609C5" w:rsidRDefault="00C311FE" w:rsidP="00C311FE">
      <w:pPr>
        <w:pStyle w:val="RedBullet"/>
        <w:ind w:left="714" w:hanging="357"/>
      </w:pPr>
      <w:r w:rsidRPr="00A609C5">
        <w:t>Further enable the PFCC to make a local case for fire and rescue and police to become a single organisation under a single chief officer.</w:t>
      </w:r>
    </w:p>
    <w:p w14:paraId="22DE9025" w14:textId="77777777" w:rsidR="00C311FE" w:rsidRPr="00A609C5" w:rsidRDefault="00C311FE" w:rsidP="00C311FE"/>
    <w:p w14:paraId="4F4C9A02" w14:textId="324C1E34" w:rsidR="00C311FE" w:rsidRPr="00A609C5" w:rsidRDefault="00C311FE" w:rsidP="00C311FE">
      <w:pPr>
        <w:rPr>
          <w:rFonts w:cs="Arial"/>
          <w:szCs w:val="20"/>
        </w:rPr>
      </w:pPr>
      <w:r w:rsidRPr="00A609C5">
        <w:rPr>
          <w:rFonts w:cs="Arial"/>
          <w:szCs w:val="20"/>
        </w:rPr>
        <w:t xml:space="preserve">The transfer </w:t>
      </w:r>
      <w:r w:rsidR="006428D2">
        <w:rPr>
          <w:rFonts w:cs="Arial"/>
          <w:szCs w:val="20"/>
        </w:rPr>
        <w:t xml:space="preserve">of </w:t>
      </w:r>
      <w:r w:rsidR="006428D2" w:rsidRPr="00A609C5">
        <w:rPr>
          <w:rFonts w:cs="Arial"/>
          <w:szCs w:val="20"/>
        </w:rPr>
        <w:t xml:space="preserve">governance of Northamptonshire Fire and Rescue Service (NFRS) </w:t>
      </w:r>
      <w:r w:rsidR="006428D2">
        <w:rPr>
          <w:rFonts w:cs="Arial"/>
          <w:szCs w:val="20"/>
        </w:rPr>
        <w:t>to</w:t>
      </w:r>
      <w:r w:rsidR="006428D2" w:rsidRPr="00A609C5">
        <w:rPr>
          <w:rFonts w:cs="Arial"/>
          <w:szCs w:val="20"/>
        </w:rPr>
        <w:t xml:space="preserve"> the PCC from the County Council </w:t>
      </w:r>
      <w:r w:rsidRPr="00A609C5">
        <w:rPr>
          <w:rFonts w:cs="Arial"/>
          <w:szCs w:val="20"/>
        </w:rPr>
        <w:t>took place on 1</w:t>
      </w:r>
      <w:r w:rsidRPr="00A609C5">
        <w:rPr>
          <w:rFonts w:cs="Arial"/>
          <w:szCs w:val="20"/>
          <w:vertAlign w:val="superscript"/>
        </w:rPr>
        <w:t>st</w:t>
      </w:r>
      <w:r w:rsidRPr="00A609C5">
        <w:rPr>
          <w:rFonts w:cs="Arial"/>
          <w:szCs w:val="20"/>
        </w:rPr>
        <w:t xml:space="preserve"> January 2019 and the PCC thereby became the Police, Fire and Crime Commissioner (PFCC) for Policing and the Northamptonshire Commissioner Fire and Rescue Authority for Fire</w:t>
      </w:r>
      <w:r w:rsidR="0043308A">
        <w:rPr>
          <w:rFonts w:cs="Arial"/>
          <w:szCs w:val="20"/>
        </w:rPr>
        <w:t xml:space="preserve"> (NCFRA)</w:t>
      </w:r>
      <w:r w:rsidRPr="00A609C5">
        <w:rPr>
          <w:rFonts w:cs="Arial"/>
          <w:szCs w:val="20"/>
        </w:rPr>
        <w:t>.</w:t>
      </w:r>
    </w:p>
    <w:p w14:paraId="48BD0BE7" w14:textId="77777777" w:rsidR="00C311FE" w:rsidRPr="00A609C5" w:rsidRDefault="00C311FE" w:rsidP="00C311FE">
      <w:pPr>
        <w:rPr>
          <w:rFonts w:cs="Arial"/>
          <w:szCs w:val="20"/>
        </w:rPr>
      </w:pPr>
    </w:p>
    <w:p w14:paraId="177E7A35" w14:textId="77777777" w:rsidR="00C311FE" w:rsidRPr="00A609C5" w:rsidRDefault="00C311FE" w:rsidP="00C311FE">
      <w:pPr>
        <w:pStyle w:val="VAHeading"/>
        <w:rPr>
          <w:rFonts w:cs="Arial"/>
          <w:b/>
          <w:szCs w:val="20"/>
        </w:rPr>
      </w:pPr>
      <w:bookmarkStart w:id="24" w:name="_Toc76736385"/>
      <w:bookmarkStart w:id="25" w:name="_Toc167964115"/>
      <w:r w:rsidRPr="00A609C5">
        <w:t>Group Boundary</w:t>
      </w:r>
      <w:bookmarkEnd w:id="24"/>
      <w:bookmarkEnd w:id="25"/>
    </w:p>
    <w:p w14:paraId="6A22FC32" w14:textId="77777777" w:rsidR="00C311FE" w:rsidRPr="00A609C5" w:rsidRDefault="00C311FE" w:rsidP="00C311FE">
      <w:pPr>
        <w:rPr>
          <w:rFonts w:cs="Arial"/>
          <w:szCs w:val="20"/>
        </w:rPr>
      </w:pPr>
    </w:p>
    <w:p w14:paraId="5B320C2A" w14:textId="1D0DCD06" w:rsidR="00C311FE" w:rsidRPr="00A609C5" w:rsidRDefault="00C311FE" w:rsidP="00C311FE">
      <w:r w:rsidRPr="00A609C5">
        <w:t>The Police, Fire and Crime Commissioner for Northamptonshire (Fire and Rescue Authority)</w:t>
      </w:r>
      <w:r w:rsidR="00F3350C">
        <w:t xml:space="preserve"> </w:t>
      </w:r>
      <w:r w:rsidRPr="00A609C5">
        <w:t>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2A0986B8" w14:textId="77777777" w:rsidR="00C311FE" w:rsidRPr="00A609C5" w:rsidRDefault="00C311FE" w:rsidP="00C311FE"/>
    <w:p w14:paraId="4A82040E" w14:textId="77777777" w:rsidR="00C311FE" w:rsidRPr="00A609C5" w:rsidRDefault="00C311FE" w:rsidP="00C311FE">
      <w:r w:rsidRPr="00A609C5">
        <w:t>This reflects that the government provides funding to NCFRA and is ultimately responsible for the NCFRA.</w:t>
      </w:r>
    </w:p>
    <w:p w14:paraId="78E2644D" w14:textId="77777777" w:rsidR="00C311FE" w:rsidRPr="00A609C5" w:rsidRDefault="00C311FE" w:rsidP="00C311FE"/>
    <w:p w14:paraId="202EC84C" w14:textId="0701B4E8" w:rsidR="00C311FE" w:rsidRPr="00A609C5" w:rsidRDefault="00C311FE" w:rsidP="00C311FE">
      <w:r w:rsidRPr="00A609C5">
        <w:t>Therefore, whilst there is some commonality within the OPFCC, Chief Constable and NCFRA, they are three separate corporations sole, with Fire and Police created under separate legislation and with the responsibility to set up and maintain separate “Funds” for each organisation</w:t>
      </w:r>
      <w:r w:rsidR="00211463">
        <w:t>,</w:t>
      </w:r>
      <w:r w:rsidRPr="00A609C5">
        <w:t xml:space="preserve"> with separate legal responsibilities and no ability to vire funds between them.  As set out by CIPFA, there is not a requirement for the NCFRA Accounts to be included within the OPFCC group accounts.</w:t>
      </w:r>
    </w:p>
    <w:p w14:paraId="3DC6DBDC" w14:textId="77777777" w:rsidR="00C311FE" w:rsidRPr="00A609C5" w:rsidRDefault="00C311FE" w:rsidP="00C311FE"/>
    <w:p w14:paraId="10ED4F02" w14:textId="77777777" w:rsidR="00C311FE" w:rsidRPr="00A609C5" w:rsidRDefault="00C311FE" w:rsidP="00C311FE">
      <w:r w:rsidRPr="00A609C5">
        <w:t xml:space="preserve">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w:t>
      </w:r>
      <w:r>
        <w:t xml:space="preserve"> </w:t>
      </w:r>
      <w:r w:rsidRPr="00A609C5">
        <w:t>The accounts of Fire and Policing are operated separately in line with the legislation.</w:t>
      </w:r>
    </w:p>
    <w:p w14:paraId="7AFCA929" w14:textId="77777777" w:rsidR="00C311FE" w:rsidRPr="00A609C5" w:rsidRDefault="00C311FE" w:rsidP="00C311FE"/>
    <w:p w14:paraId="49F274E4" w14:textId="77777777" w:rsidR="00C311FE" w:rsidRPr="00A609C5" w:rsidRDefault="00C311FE" w:rsidP="00C311FE">
      <w:r w:rsidRPr="00A609C5">
        <w:t xml:space="preserve">In line with the Home Office Financial Management Code of Practice, a collaboration agreement is in place between the three separate organisations for Northamptonshire Police, Fire and Crime Commissioner to set out the arrangements for working together where it would be advantageous to the parties to do so, mirroring such collaboration arrangements that Northamptonshire Police have with other </w:t>
      </w:r>
      <w:r>
        <w:t>p</w:t>
      </w:r>
      <w:r w:rsidRPr="00A609C5">
        <w:t>olice forces.</w:t>
      </w:r>
    </w:p>
    <w:p w14:paraId="757B375A" w14:textId="77777777" w:rsidR="00C311FE" w:rsidRPr="00A609C5" w:rsidRDefault="00C311FE" w:rsidP="00C311FE"/>
    <w:p w14:paraId="13076073" w14:textId="77777777" w:rsidR="00C311FE" w:rsidRPr="00A609C5" w:rsidRDefault="00C311FE" w:rsidP="00C311FE">
      <w:r w:rsidRPr="00A609C5">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1D0BCCDC" w14:textId="77777777" w:rsidR="00C311FE" w:rsidRPr="00A609C5" w:rsidRDefault="00C311FE" w:rsidP="00C311FE">
      <w:pPr>
        <w:rPr>
          <w:rFonts w:cs="Arial"/>
          <w:szCs w:val="20"/>
        </w:rPr>
      </w:pPr>
    </w:p>
    <w:p w14:paraId="68BEC66C" w14:textId="77777777" w:rsidR="00C311FE" w:rsidRPr="00A609C5" w:rsidRDefault="00C311FE" w:rsidP="00C311FE">
      <w:pPr>
        <w:pStyle w:val="VAHeading"/>
        <w:rPr>
          <w:szCs w:val="20"/>
        </w:rPr>
      </w:pPr>
      <w:bookmarkStart w:id="26" w:name="_Toc106968612"/>
      <w:bookmarkStart w:id="27" w:name="_Toc167964116"/>
      <w:r w:rsidRPr="00A609C5">
        <w:t>Responsibilities</w:t>
      </w:r>
      <w:bookmarkEnd w:id="26"/>
      <w:bookmarkEnd w:id="27"/>
    </w:p>
    <w:p w14:paraId="79CF0768" w14:textId="77777777" w:rsidR="00C311FE" w:rsidRPr="00A609C5" w:rsidRDefault="00C311FE" w:rsidP="00C311FE">
      <w:pPr>
        <w:rPr>
          <w:szCs w:val="20"/>
        </w:rPr>
      </w:pPr>
    </w:p>
    <w:p w14:paraId="165C0962" w14:textId="77777777" w:rsidR="00C311FE" w:rsidRPr="00A609C5" w:rsidRDefault="00C311FE" w:rsidP="00C311FE">
      <w:pPr>
        <w:rPr>
          <w:szCs w:val="20"/>
        </w:rPr>
      </w:pPr>
      <w:r w:rsidRPr="00A609C5">
        <w:rPr>
          <w:szCs w:val="20"/>
        </w:rPr>
        <w:t>The Police Reform and Social Responsibility Act 2011 and the Financial Management Code of Practice for the Police (England) describe the high-level responsibilities and the working financial relationship between the PFCC and the Chief Constable, summarised as:</w:t>
      </w:r>
    </w:p>
    <w:p w14:paraId="63E0BDF4" w14:textId="77777777" w:rsidR="00C311FE" w:rsidRPr="00A609C5" w:rsidRDefault="00C311FE" w:rsidP="00C311FE">
      <w:pPr>
        <w:rPr>
          <w:szCs w:val="20"/>
        </w:rPr>
      </w:pPr>
    </w:p>
    <w:p w14:paraId="3FE4332D" w14:textId="77777777" w:rsidR="00C311FE" w:rsidRPr="00A609C5" w:rsidRDefault="00C311FE" w:rsidP="00C311FE">
      <w:pPr>
        <w:pStyle w:val="VAHeadingLevel3"/>
      </w:pPr>
      <w:r w:rsidRPr="00A609C5">
        <w:t>The Police, Fire and Crime Commissioner:</w:t>
      </w:r>
    </w:p>
    <w:p w14:paraId="308C10A7" w14:textId="61D23836" w:rsidR="00C311FE" w:rsidRPr="00A609C5" w:rsidRDefault="00C311FE" w:rsidP="00C311FE">
      <w:pPr>
        <w:pStyle w:val="RedBullet"/>
        <w:ind w:left="714" w:hanging="357"/>
      </w:pPr>
      <w:r w:rsidRPr="00A609C5">
        <w:t xml:space="preserve">Appoints the Chief Constable and may suspend </w:t>
      </w:r>
      <w:r>
        <w:t>them</w:t>
      </w:r>
      <w:r w:rsidRPr="00A609C5">
        <w:t xml:space="preserve"> or require </w:t>
      </w:r>
      <w:r>
        <w:t>them</w:t>
      </w:r>
      <w:r w:rsidRPr="00A609C5">
        <w:t xml:space="preserve"> to resign or retire</w:t>
      </w:r>
      <w:r w:rsidR="00967709">
        <w:t>.</w:t>
      </w:r>
    </w:p>
    <w:p w14:paraId="08679F34" w14:textId="58C361F5" w:rsidR="00C311FE" w:rsidRPr="00A609C5" w:rsidRDefault="00C311FE" w:rsidP="00C311FE">
      <w:pPr>
        <w:pStyle w:val="RedBullet"/>
        <w:ind w:left="714" w:hanging="357"/>
      </w:pPr>
      <w:r w:rsidRPr="00A609C5">
        <w:t>Must maintain the Police Force and ensure that it is efficient and effective</w:t>
      </w:r>
      <w:r w:rsidR="00967709">
        <w:t>.</w:t>
      </w:r>
    </w:p>
    <w:p w14:paraId="0A533AC7" w14:textId="77777777" w:rsidR="00C311FE" w:rsidRPr="00A609C5" w:rsidRDefault="00C311FE" w:rsidP="00C311FE">
      <w:pPr>
        <w:pStyle w:val="RedBullet"/>
        <w:ind w:left="714" w:hanging="357"/>
      </w:pPr>
      <w:r w:rsidRPr="00A609C5">
        <w:t>Must issue a Police and Crime Plan</w:t>
      </w:r>
    </w:p>
    <w:p w14:paraId="36029034" w14:textId="27A0DCFC" w:rsidR="00C311FE" w:rsidRPr="00A609C5" w:rsidRDefault="00C311FE" w:rsidP="00C311FE">
      <w:pPr>
        <w:pStyle w:val="RedBullet"/>
        <w:ind w:left="714" w:hanging="357"/>
      </w:pPr>
      <w:r w:rsidRPr="00A609C5">
        <w:t>Must hold the Chief Constable to account for their actions and those of their officers and staff</w:t>
      </w:r>
      <w:r w:rsidR="00967709">
        <w:t>.</w:t>
      </w:r>
    </w:p>
    <w:p w14:paraId="1B62DF4D" w14:textId="614A8530" w:rsidR="00C311FE" w:rsidRPr="00A609C5" w:rsidRDefault="00C311FE" w:rsidP="00C311FE">
      <w:pPr>
        <w:pStyle w:val="RedBullet"/>
        <w:ind w:left="714" w:hanging="357"/>
      </w:pPr>
      <w:r w:rsidRPr="00A609C5">
        <w:t>Receives all income from grants, precept and charges</w:t>
      </w:r>
      <w:r w:rsidR="00967709">
        <w:t>.</w:t>
      </w:r>
    </w:p>
    <w:p w14:paraId="3B1D6098" w14:textId="77777777" w:rsidR="00C311FE" w:rsidRDefault="00C311FE" w:rsidP="00C311FE">
      <w:pPr>
        <w:rPr>
          <w:b/>
          <w:bCs/>
          <w:szCs w:val="20"/>
        </w:rPr>
      </w:pPr>
    </w:p>
    <w:p w14:paraId="5C6DAF47" w14:textId="77777777" w:rsidR="00166BA7" w:rsidRPr="00A609C5" w:rsidRDefault="00166BA7" w:rsidP="00C311FE">
      <w:pPr>
        <w:rPr>
          <w:b/>
          <w:bCs/>
          <w:szCs w:val="20"/>
        </w:rPr>
      </w:pPr>
    </w:p>
    <w:p w14:paraId="710F75F7" w14:textId="77777777" w:rsidR="00C311FE" w:rsidRPr="00A609C5" w:rsidRDefault="00C311FE" w:rsidP="00C311FE">
      <w:pPr>
        <w:pStyle w:val="VAHeadingLevel3"/>
        <w:rPr>
          <w:i/>
        </w:rPr>
      </w:pPr>
      <w:r w:rsidRPr="00A609C5">
        <w:lastRenderedPageBreak/>
        <w:t>The Chief Constable</w:t>
      </w:r>
      <w:r w:rsidRPr="00A609C5">
        <w:rPr>
          <w:i/>
        </w:rPr>
        <w:t xml:space="preserve">: </w:t>
      </w:r>
    </w:p>
    <w:p w14:paraId="792D8142" w14:textId="788069FC" w:rsidR="00C311FE" w:rsidRPr="00A609C5" w:rsidRDefault="00C311FE" w:rsidP="00C311FE">
      <w:pPr>
        <w:pStyle w:val="RedBullet"/>
        <w:ind w:left="714" w:hanging="357"/>
      </w:pPr>
      <w:r w:rsidRPr="00A609C5">
        <w:t>Holds office as a servant of the crown and is not an employee</w:t>
      </w:r>
      <w:r w:rsidR="00967709">
        <w:t>.</w:t>
      </w:r>
    </w:p>
    <w:p w14:paraId="61C4BCFB" w14:textId="487EED14" w:rsidR="00C311FE" w:rsidRPr="00A609C5" w:rsidRDefault="00C311FE" w:rsidP="00C311FE">
      <w:pPr>
        <w:pStyle w:val="RedBullet"/>
        <w:ind w:left="714" w:hanging="357"/>
      </w:pPr>
      <w:r w:rsidRPr="00A609C5">
        <w:t>Has direction and control over police officers and is the employer of police staff</w:t>
      </w:r>
      <w:r w:rsidR="00967709">
        <w:t>.</w:t>
      </w:r>
    </w:p>
    <w:p w14:paraId="5392DAB3" w14:textId="3D9E4800" w:rsidR="00C311FE" w:rsidRPr="00A609C5" w:rsidRDefault="00C311FE" w:rsidP="00C311FE">
      <w:pPr>
        <w:pStyle w:val="RedBullet"/>
        <w:ind w:left="714" w:hanging="357"/>
      </w:pPr>
      <w:r w:rsidRPr="00A609C5">
        <w:t>Is operationally independent</w:t>
      </w:r>
      <w:r w:rsidR="00967709">
        <w:t>.</w:t>
      </w:r>
    </w:p>
    <w:p w14:paraId="43DCE5FC" w14:textId="4823CD51" w:rsidR="00C311FE" w:rsidRPr="00A609C5" w:rsidRDefault="00C311FE" w:rsidP="00C311FE">
      <w:pPr>
        <w:pStyle w:val="RedBullet"/>
        <w:ind w:left="714" w:hanging="357"/>
      </w:pPr>
      <w:r w:rsidRPr="00A609C5">
        <w:t>Must have regard to the Commissioner’s Police and Crime Plan</w:t>
      </w:r>
      <w:r w:rsidR="00967709">
        <w:t>.</w:t>
      </w:r>
    </w:p>
    <w:p w14:paraId="0C6FD00A" w14:textId="2E2DE060" w:rsidR="00C311FE" w:rsidRPr="00A609C5" w:rsidRDefault="00C311FE" w:rsidP="00C311FE">
      <w:pPr>
        <w:pStyle w:val="RedBullet"/>
        <w:ind w:left="714" w:hanging="357"/>
      </w:pPr>
      <w:r w:rsidRPr="00A609C5">
        <w:t>Holds no property, rights or liabilities</w:t>
      </w:r>
      <w:r w:rsidR="00967709">
        <w:t>.</w:t>
      </w:r>
    </w:p>
    <w:p w14:paraId="388CBACB" w14:textId="3F48AAEE" w:rsidR="00C311FE" w:rsidRPr="00A609C5" w:rsidRDefault="00C311FE" w:rsidP="00C311FE">
      <w:pPr>
        <w:pStyle w:val="RedBullet"/>
        <w:ind w:left="714" w:hanging="357"/>
      </w:pPr>
      <w:r w:rsidRPr="00A609C5">
        <w:t>May not borrow money</w:t>
      </w:r>
      <w:r w:rsidR="00967709">
        <w:t>.</w:t>
      </w:r>
    </w:p>
    <w:p w14:paraId="09E6C934" w14:textId="77777777" w:rsidR="00C311FE" w:rsidRPr="00A609C5" w:rsidRDefault="00C311FE" w:rsidP="00C311FE"/>
    <w:p w14:paraId="75C17FFE" w14:textId="77777777" w:rsidR="00C311FE" w:rsidRPr="00A609C5" w:rsidRDefault="00C311FE" w:rsidP="00C311FE">
      <w:pPr>
        <w:pStyle w:val="VAHeading"/>
      </w:pPr>
      <w:bookmarkStart w:id="28" w:name="_Toc8915955"/>
      <w:bookmarkStart w:id="29" w:name="_Toc167964117"/>
      <w:r w:rsidRPr="00A609C5">
        <w:t>Operational Model</w:t>
      </w:r>
      <w:bookmarkEnd w:id="28"/>
      <w:bookmarkEnd w:id="29"/>
    </w:p>
    <w:p w14:paraId="1B5824A4" w14:textId="77777777" w:rsidR="00C311FE" w:rsidRPr="00A609C5" w:rsidRDefault="00C311FE" w:rsidP="00C311FE">
      <w:pPr>
        <w:rPr>
          <w:b/>
          <w:szCs w:val="20"/>
        </w:rPr>
      </w:pPr>
    </w:p>
    <w:p w14:paraId="1F827AAD" w14:textId="77777777" w:rsidR="00C311FE" w:rsidRPr="006E29E5" w:rsidRDefault="00C311FE" w:rsidP="00C311FE">
      <w:pPr>
        <w:pStyle w:val="VAHeadingLevel2"/>
      </w:pPr>
      <w:r w:rsidRPr="006E29E5">
        <w:t>Our People</w:t>
      </w:r>
    </w:p>
    <w:p w14:paraId="6BA9032E" w14:textId="77777777" w:rsidR="00C311FE" w:rsidRPr="006E29E5" w:rsidRDefault="00C311FE" w:rsidP="00C311FE">
      <w:pPr>
        <w:rPr>
          <w:rFonts w:cs="Arial"/>
          <w:szCs w:val="20"/>
        </w:rPr>
      </w:pPr>
      <w:r w:rsidRPr="00A609C5">
        <w:rPr>
          <w:rFonts w:cs="Arial"/>
          <w:szCs w:val="20"/>
        </w:rPr>
        <w:t>At 31</w:t>
      </w:r>
      <w:r w:rsidRPr="00A609C5">
        <w:rPr>
          <w:rFonts w:cs="Arial"/>
          <w:szCs w:val="20"/>
          <w:vertAlign w:val="superscript"/>
        </w:rPr>
        <w:t>st</w:t>
      </w:r>
      <w:r w:rsidRPr="00A609C5">
        <w:rPr>
          <w:rFonts w:cs="Arial"/>
          <w:szCs w:val="20"/>
        </w:rPr>
        <w:t xml:space="preserve"> March 202</w:t>
      </w:r>
      <w:r>
        <w:rPr>
          <w:rFonts w:cs="Arial"/>
          <w:szCs w:val="20"/>
        </w:rPr>
        <w:t>4</w:t>
      </w:r>
      <w:r w:rsidRPr="00A609C5">
        <w:rPr>
          <w:rFonts w:cs="Arial"/>
          <w:szCs w:val="20"/>
        </w:rPr>
        <w:t xml:space="preserve">, the Chief Constable’s </w:t>
      </w:r>
      <w:r>
        <w:rPr>
          <w:rFonts w:cs="Arial"/>
          <w:szCs w:val="20"/>
        </w:rPr>
        <w:t>b</w:t>
      </w:r>
      <w:r w:rsidRPr="00A609C5">
        <w:rPr>
          <w:rFonts w:cs="Arial"/>
          <w:szCs w:val="20"/>
        </w:rPr>
        <w:t xml:space="preserve">udgeted </w:t>
      </w:r>
      <w:r w:rsidRPr="00890A52">
        <w:rPr>
          <w:rFonts w:cs="Arial"/>
          <w:szCs w:val="20"/>
        </w:rPr>
        <w:t xml:space="preserve">establishment </w:t>
      </w:r>
      <w:r w:rsidRPr="00DE2394">
        <w:rPr>
          <w:rFonts w:cs="Arial"/>
          <w:szCs w:val="20"/>
        </w:rPr>
        <w:t>was 2,595 FTE.  The</w:t>
      </w:r>
      <w:r w:rsidRPr="006E29E5">
        <w:rPr>
          <w:rFonts w:cs="Arial"/>
          <w:szCs w:val="20"/>
        </w:rPr>
        <w:t xml:space="preserve"> analysis is shown in the table below:</w:t>
      </w:r>
    </w:p>
    <w:p w14:paraId="4DEBEEBA" w14:textId="77777777" w:rsidR="00C311FE" w:rsidRPr="006E29E5" w:rsidRDefault="00C311FE" w:rsidP="00C311FE">
      <w:pPr>
        <w:rPr>
          <w:rFonts w:cs="Arial"/>
          <w:szCs w:val="20"/>
        </w:rPr>
      </w:pPr>
    </w:p>
    <w:tbl>
      <w:tblPr>
        <w:tblW w:w="4427" w:type="dxa"/>
        <w:tblLook w:val="04A0" w:firstRow="1" w:lastRow="0" w:firstColumn="1" w:lastColumn="0" w:noHBand="0" w:noVBand="1"/>
      </w:tblPr>
      <w:tblGrid>
        <w:gridCol w:w="2605"/>
        <w:gridCol w:w="911"/>
        <w:gridCol w:w="911"/>
      </w:tblGrid>
      <w:tr w:rsidR="00C311FE" w:rsidRPr="006E29E5" w14:paraId="07561DD1" w14:textId="77777777" w:rsidTr="00967709">
        <w:trPr>
          <w:trHeight w:val="304"/>
        </w:trPr>
        <w:tc>
          <w:tcPr>
            <w:tcW w:w="2605" w:type="dxa"/>
            <w:shd w:val="clear" w:color="auto" w:fill="000099"/>
            <w:hideMark/>
          </w:tcPr>
          <w:p w14:paraId="6F322883" w14:textId="77777777" w:rsidR="00C311FE" w:rsidRPr="006E29E5" w:rsidRDefault="00C311FE" w:rsidP="00353823">
            <w:pPr>
              <w:jc w:val="left"/>
              <w:rPr>
                <w:rFonts w:eastAsia="Times New Roman" w:cs="Times New Roman"/>
                <w:b/>
                <w:bCs/>
                <w:color w:val="FFFFFF"/>
                <w:szCs w:val="20"/>
                <w:lang w:eastAsia="en-GB"/>
              </w:rPr>
            </w:pPr>
            <w:r w:rsidRPr="006E29E5">
              <w:rPr>
                <w:rFonts w:eastAsia="Times New Roman" w:cs="Arial"/>
                <w:b/>
                <w:bCs/>
                <w:color w:val="FFFFFF"/>
                <w:szCs w:val="20"/>
                <w:lang w:eastAsia="en-GB"/>
              </w:rPr>
              <w:t>Category of employee</w:t>
            </w:r>
          </w:p>
        </w:tc>
        <w:tc>
          <w:tcPr>
            <w:tcW w:w="911" w:type="dxa"/>
            <w:shd w:val="clear" w:color="auto" w:fill="000099"/>
            <w:hideMark/>
          </w:tcPr>
          <w:p w14:paraId="72492CB6" w14:textId="77777777" w:rsidR="00C311FE" w:rsidRPr="006E29E5" w:rsidRDefault="00C311FE" w:rsidP="00353823">
            <w:pPr>
              <w:jc w:val="center"/>
              <w:rPr>
                <w:rFonts w:eastAsia="Times New Roman" w:cs="Times New Roman"/>
                <w:b/>
                <w:bCs/>
                <w:color w:val="FFFFFF"/>
                <w:szCs w:val="20"/>
                <w:lang w:eastAsia="en-GB"/>
              </w:rPr>
            </w:pPr>
            <w:r w:rsidRPr="006E29E5">
              <w:rPr>
                <w:rFonts w:eastAsia="Times New Roman" w:cs="Arial"/>
                <w:b/>
                <w:bCs/>
                <w:color w:val="FFFFFF"/>
                <w:szCs w:val="20"/>
                <w:lang w:eastAsia="en-GB"/>
              </w:rPr>
              <w:t>202</w:t>
            </w:r>
            <w:r>
              <w:rPr>
                <w:rFonts w:eastAsia="Times New Roman" w:cs="Arial"/>
                <w:b/>
                <w:bCs/>
                <w:color w:val="FFFFFF"/>
                <w:szCs w:val="20"/>
                <w:lang w:eastAsia="en-GB"/>
              </w:rPr>
              <w:t>2</w:t>
            </w:r>
            <w:r w:rsidRPr="006E29E5">
              <w:rPr>
                <w:rFonts w:eastAsia="Times New Roman" w:cs="Arial"/>
                <w:b/>
                <w:bCs/>
                <w:color w:val="FFFFFF"/>
                <w:szCs w:val="20"/>
                <w:lang w:eastAsia="en-GB"/>
              </w:rPr>
              <w:t>/2</w:t>
            </w:r>
            <w:r>
              <w:rPr>
                <w:rFonts w:eastAsia="Times New Roman" w:cs="Arial"/>
                <w:b/>
                <w:bCs/>
                <w:color w:val="FFFFFF"/>
                <w:szCs w:val="20"/>
                <w:lang w:eastAsia="en-GB"/>
              </w:rPr>
              <w:t>3</w:t>
            </w:r>
          </w:p>
        </w:tc>
        <w:tc>
          <w:tcPr>
            <w:tcW w:w="911" w:type="dxa"/>
            <w:shd w:val="clear" w:color="auto" w:fill="000099"/>
            <w:hideMark/>
          </w:tcPr>
          <w:p w14:paraId="7C453D85" w14:textId="77777777" w:rsidR="00C311FE" w:rsidRPr="006E29E5" w:rsidRDefault="00C311FE" w:rsidP="00353823">
            <w:pPr>
              <w:jc w:val="center"/>
              <w:rPr>
                <w:rFonts w:eastAsia="Times New Roman" w:cs="Times New Roman"/>
                <w:b/>
                <w:bCs/>
                <w:color w:val="FFFFFF"/>
                <w:szCs w:val="20"/>
                <w:lang w:eastAsia="en-GB"/>
              </w:rPr>
            </w:pPr>
            <w:r w:rsidRPr="006E29E5">
              <w:rPr>
                <w:rFonts w:eastAsia="Times New Roman" w:cs="Arial"/>
                <w:b/>
                <w:bCs/>
                <w:color w:val="FFFFFF"/>
                <w:szCs w:val="20"/>
                <w:lang w:eastAsia="en-GB"/>
              </w:rPr>
              <w:t>202</w:t>
            </w:r>
            <w:r>
              <w:rPr>
                <w:rFonts w:eastAsia="Times New Roman" w:cs="Arial"/>
                <w:b/>
                <w:bCs/>
                <w:color w:val="FFFFFF"/>
                <w:szCs w:val="20"/>
                <w:lang w:eastAsia="en-GB"/>
              </w:rPr>
              <w:t>3</w:t>
            </w:r>
            <w:r w:rsidRPr="006E29E5">
              <w:rPr>
                <w:rFonts w:eastAsia="Times New Roman" w:cs="Arial"/>
                <w:b/>
                <w:bCs/>
                <w:color w:val="FFFFFF"/>
                <w:szCs w:val="20"/>
                <w:lang w:eastAsia="en-GB"/>
              </w:rPr>
              <w:t>/2</w:t>
            </w:r>
            <w:r>
              <w:rPr>
                <w:rFonts w:eastAsia="Times New Roman" w:cs="Arial"/>
                <w:b/>
                <w:bCs/>
                <w:color w:val="FFFFFF"/>
                <w:szCs w:val="20"/>
                <w:lang w:eastAsia="en-GB"/>
              </w:rPr>
              <w:t>4</w:t>
            </w:r>
          </w:p>
        </w:tc>
      </w:tr>
      <w:tr w:rsidR="00C311FE" w:rsidRPr="006E29E5" w14:paraId="1C47008E" w14:textId="77777777" w:rsidTr="00967709">
        <w:trPr>
          <w:trHeight w:val="304"/>
        </w:trPr>
        <w:tc>
          <w:tcPr>
            <w:tcW w:w="2605" w:type="dxa"/>
            <w:shd w:val="clear" w:color="000000" w:fill="FFFFFF"/>
            <w:vAlign w:val="center"/>
            <w:hideMark/>
          </w:tcPr>
          <w:p w14:paraId="0DC29034"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Officers</w:t>
            </w:r>
          </w:p>
        </w:tc>
        <w:tc>
          <w:tcPr>
            <w:tcW w:w="911" w:type="dxa"/>
            <w:shd w:val="clear" w:color="000000" w:fill="FFFFFF"/>
            <w:hideMark/>
          </w:tcPr>
          <w:p w14:paraId="7C22D3FC"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1,501</w:t>
            </w:r>
          </w:p>
        </w:tc>
        <w:tc>
          <w:tcPr>
            <w:tcW w:w="911" w:type="dxa"/>
            <w:shd w:val="clear" w:color="auto" w:fill="CCECFF"/>
          </w:tcPr>
          <w:p w14:paraId="5F2B541F"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1,501</w:t>
            </w:r>
          </w:p>
        </w:tc>
      </w:tr>
      <w:tr w:rsidR="00C311FE" w:rsidRPr="006E29E5" w14:paraId="47739240" w14:textId="77777777" w:rsidTr="00967709">
        <w:trPr>
          <w:trHeight w:val="304"/>
        </w:trPr>
        <w:tc>
          <w:tcPr>
            <w:tcW w:w="2605" w:type="dxa"/>
            <w:shd w:val="clear" w:color="000000" w:fill="FFFFFF"/>
            <w:vAlign w:val="center"/>
            <w:hideMark/>
          </w:tcPr>
          <w:p w14:paraId="6AED1283"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Community Support Officers (PCSOs)</w:t>
            </w:r>
          </w:p>
        </w:tc>
        <w:tc>
          <w:tcPr>
            <w:tcW w:w="911" w:type="dxa"/>
            <w:shd w:val="clear" w:color="000000" w:fill="FFFFFF"/>
            <w:hideMark/>
          </w:tcPr>
          <w:p w14:paraId="23EC1E02"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81</w:t>
            </w:r>
          </w:p>
        </w:tc>
        <w:tc>
          <w:tcPr>
            <w:tcW w:w="911" w:type="dxa"/>
            <w:shd w:val="clear" w:color="auto" w:fill="CCECFF"/>
          </w:tcPr>
          <w:p w14:paraId="3447F44A"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80</w:t>
            </w:r>
          </w:p>
        </w:tc>
      </w:tr>
      <w:tr w:rsidR="00C311FE" w:rsidRPr="006E29E5" w14:paraId="676B658E" w14:textId="77777777" w:rsidTr="000B79EC">
        <w:trPr>
          <w:trHeight w:val="304"/>
        </w:trPr>
        <w:tc>
          <w:tcPr>
            <w:tcW w:w="2605" w:type="dxa"/>
            <w:tcBorders>
              <w:bottom w:val="single" w:sz="4" w:space="0" w:color="auto"/>
            </w:tcBorders>
            <w:shd w:val="clear" w:color="000000" w:fill="FFFFFF"/>
            <w:vAlign w:val="center"/>
            <w:hideMark/>
          </w:tcPr>
          <w:p w14:paraId="37BE7326" w14:textId="77777777" w:rsidR="00C311FE" w:rsidRPr="006E29E5" w:rsidRDefault="00C311FE" w:rsidP="00353823">
            <w:pPr>
              <w:jc w:val="left"/>
              <w:rPr>
                <w:rFonts w:eastAsia="Times New Roman" w:cs="Times New Roman"/>
                <w:color w:val="000000"/>
                <w:szCs w:val="20"/>
                <w:lang w:eastAsia="en-GB"/>
              </w:rPr>
            </w:pPr>
            <w:r w:rsidRPr="006E29E5">
              <w:rPr>
                <w:rFonts w:eastAsia="Times New Roman" w:cs="Arial"/>
                <w:color w:val="000000"/>
                <w:szCs w:val="20"/>
                <w:lang w:eastAsia="en-GB"/>
              </w:rPr>
              <w:t>Police Staff*</w:t>
            </w:r>
          </w:p>
        </w:tc>
        <w:tc>
          <w:tcPr>
            <w:tcW w:w="911" w:type="dxa"/>
            <w:tcBorders>
              <w:bottom w:val="single" w:sz="4" w:space="0" w:color="auto"/>
            </w:tcBorders>
            <w:shd w:val="clear" w:color="000000" w:fill="FFFFFF"/>
            <w:hideMark/>
          </w:tcPr>
          <w:p w14:paraId="205440BD" w14:textId="77777777" w:rsidR="00C311FE" w:rsidRPr="006E29E5" w:rsidRDefault="00C311FE" w:rsidP="00353823">
            <w:pPr>
              <w:jc w:val="right"/>
              <w:rPr>
                <w:rFonts w:eastAsia="Times New Roman" w:cs="Times New Roman"/>
                <w:color w:val="000000"/>
                <w:szCs w:val="20"/>
                <w:lang w:eastAsia="en-GB"/>
              </w:rPr>
            </w:pPr>
            <w:r w:rsidRPr="006E29E5">
              <w:rPr>
                <w:rFonts w:eastAsia="Times New Roman" w:cs="Times New Roman"/>
                <w:color w:val="000000"/>
                <w:szCs w:val="20"/>
                <w:lang w:eastAsia="en-GB"/>
              </w:rPr>
              <w:t>1,044</w:t>
            </w:r>
          </w:p>
        </w:tc>
        <w:tc>
          <w:tcPr>
            <w:tcW w:w="911" w:type="dxa"/>
            <w:tcBorders>
              <w:bottom w:val="single" w:sz="4" w:space="0" w:color="auto"/>
            </w:tcBorders>
            <w:shd w:val="clear" w:color="auto" w:fill="CCECFF"/>
          </w:tcPr>
          <w:p w14:paraId="5B445485" w14:textId="77777777" w:rsidR="00C311FE" w:rsidRPr="00DE2394" w:rsidRDefault="00C311FE" w:rsidP="00353823">
            <w:pPr>
              <w:jc w:val="right"/>
              <w:rPr>
                <w:rFonts w:eastAsia="Times New Roman" w:cs="Times New Roman"/>
                <w:color w:val="000000"/>
                <w:szCs w:val="20"/>
                <w:lang w:eastAsia="en-GB"/>
              </w:rPr>
            </w:pPr>
            <w:r w:rsidRPr="00DE2394">
              <w:rPr>
                <w:rFonts w:eastAsia="Times New Roman" w:cs="Times New Roman"/>
                <w:color w:val="000000"/>
                <w:szCs w:val="20"/>
                <w:lang w:eastAsia="en-GB"/>
              </w:rPr>
              <w:t>1,014</w:t>
            </w:r>
          </w:p>
        </w:tc>
      </w:tr>
      <w:tr w:rsidR="00C311FE" w:rsidRPr="00890A52" w14:paraId="5A8EC571" w14:textId="77777777" w:rsidTr="000B79EC">
        <w:trPr>
          <w:trHeight w:val="304"/>
        </w:trPr>
        <w:tc>
          <w:tcPr>
            <w:tcW w:w="2605" w:type="dxa"/>
            <w:tcBorders>
              <w:top w:val="single" w:sz="4" w:space="0" w:color="auto"/>
              <w:bottom w:val="single" w:sz="4" w:space="0" w:color="auto"/>
            </w:tcBorders>
            <w:shd w:val="clear" w:color="000000" w:fill="FFFFFF"/>
            <w:vAlign w:val="center"/>
            <w:hideMark/>
          </w:tcPr>
          <w:p w14:paraId="1E23E05D" w14:textId="77777777" w:rsidR="00C311FE" w:rsidRPr="006E29E5" w:rsidRDefault="00C311FE" w:rsidP="00353823">
            <w:pPr>
              <w:jc w:val="left"/>
              <w:rPr>
                <w:rFonts w:eastAsia="Times New Roman" w:cs="Times New Roman"/>
                <w:b/>
                <w:bCs/>
                <w:color w:val="000000"/>
                <w:szCs w:val="20"/>
                <w:lang w:eastAsia="en-GB"/>
              </w:rPr>
            </w:pPr>
            <w:r w:rsidRPr="006E29E5">
              <w:rPr>
                <w:rFonts w:eastAsia="Times New Roman" w:cs="Arial"/>
                <w:b/>
                <w:bCs/>
                <w:color w:val="000000"/>
                <w:szCs w:val="20"/>
                <w:lang w:eastAsia="en-GB"/>
              </w:rPr>
              <w:t>Total</w:t>
            </w:r>
          </w:p>
        </w:tc>
        <w:tc>
          <w:tcPr>
            <w:tcW w:w="911" w:type="dxa"/>
            <w:tcBorders>
              <w:top w:val="single" w:sz="4" w:space="0" w:color="auto"/>
              <w:bottom w:val="single" w:sz="4" w:space="0" w:color="auto"/>
            </w:tcBorders>
            <w:shd w:val="clear" w:color="000000" w:fill="FFFFFF"/>
            <w:vAlign w:val="center"/>
            <w:hideMark/>
          </w:tcPr>
          <w:p w14:paraId="61631937" w14:textId="77777777" w:rsidR="00C311FE" w:rsidRPr="006E29E5" w:rsidRDefault="00C311FE" w:rsidP="00353823">
            <w:pPr>
              <w:jc w:val="right"/>
              <w:rPr>
                <w:rFonts w:eastAsia="Times New Roman" w:cs="Times New Roman"/>
                <w:b/>
                <w:bCs/>
                <w:color w:val="000000"/>
                <w:szCs w:val="20"/>
                <w:lang w:eastAsia="en-GB"/>
              </w:rPr>
            </w:pPr>
            <w:r w:rsidRPr="006E29E5">
              <w:rPr>
                <w:rFonts w:eastAsia="Times New Roman" w:cs="Times New Roman"/>
                <w:b/>
                <w:bCs/>
                <w:color w:val="000000"/>
                <w:szCs w:val="20"/>
                <w:lang w:eastAsia="en-GB"/>
              </w:rPr>
              <w:t>2,626</w:t>
            </w:r>
          </w:p>
        </w:tc>
        <w:tc>
          <w:tcPr>
            <w:tcW w:w="911" w:type="dxa"/>
            <w:tcBorders>
              <w:top w:val="single" w:sz="4" w:space="0" w:color="auto"/>
              <w:bottom w:val="single" w:sz="4" w:space="0" w:color="auto"/>
            </w:tcBorders>
            <w:shd w:val="clear" w:color="auto" w:fill="CCECFF"/>
            <w:vAlign w:val="center"/>
          </w:tcPr>
          <w:p w14:paraId="31CB2D1F" w14:textId="77777777" w:rsidR="00C311FE" w:rsidRPr="00DE2394" w:rsidRDefault="00C311FE" w:rsidP="00353823">
            <w:pPr>
              <w:jc w:val="right"/>
              <w:rPr>
                <w:rFonts w:eastAsia="Times New Roman" w:cs="Times New Roman"/>
                <w:b/>
                <w:bCs/>
                <w:color w:val="000000"/>
                <w:szCs w:val="20"/>
                <w:lang w:eastAsia="en-GB"/>
              </w:rPr>
            </w:pPr>
            <w:r w:rsidRPr="00DE2394">
              <w:rPr>
                <w:rFonts w:eastAsia="Times New Roman" w:cs="Times New Roman"/>
                <w:b/>
                <w:bCs/>
                <w:color w:val="000000"/>
                <w:szCs w:val="20"/>
                <w:lang w:eastAsia="en-GB"/>
              </w:rPr>
              <w:t>2,595</w:t>
            </w:r>
          </w:p>
        </w:tc>
      </w:tr>
    </w:tbl>
    <w:p w14:paraId="32396F52" w14:textId="77777777" w:rsidR="00C311FE" w:rsidRPr="00890A52" w:rsidRDefault="00C311FE" w:rsidP="00C311FE">
      <w:pPr>
        <w:rPr>
          <w:rFonts w:cs="Arial"/>
          <w:color w:val="00B0F0"/>
          <w:szCs w:val="20"/>
        </w:rPr>
      </w:pPr>
    </w:p>
    <w:p w14:paraId="60706C83" w14:textId="77777777" w:rsidR="00C311FE" w:rsidRPr="00890A52" w:rsidRDefault="00C311FE" w:rsidP="00C311FE">
      <w:r w:rsidRPr="00890A52">
        <w:t>*This includes staff employed under the CCO but where costs are shared with NCFRS (Fire).</w:t>
      </w:r>
    </w:p>
    <w:p w14:paraId="53FFC19E" w14:textId="77777777" w:rsidR="00C311FE" w:rsidRPr="00890A52" w:rsidRDefault="00C311FE" w:rsidP="00C311FE"/>
    <w:p w14:paraId="15B3B70C" w14:textId="77777777" w:rsidR="00C311FE" w:rsidRPr="00890A52" w:rsidRDefault="00C311FE" w:rsidP="00C311FE">
      <w:r w:rsidRPr="00890A52">
        <w:t>In addition to this the Force has officers and staff seconded to national and regional projects and employs a number of dedicated PCSOs, funded by local partners.</w:t>
      </w:r>
    </w:p>
    <w:p w14:paraId="2A82095F" w14:textId="77777777" w:rsidR="00C311FE" w:rsidRPr="00346E0A" w:rsidRDefault="00C311FE" w:rsidP="00C311FE"/>
    <w:p w14:paraId="59AE5C53" w14:textId="77777777" w:rsidR="00C311FE" w:rsidRPr="00346E0A" w:rsidRDefault="00C311FE" w:rsidP="00C311FE">
      <w:pPr>
        <w:pStyle w:val="VAHeadingLevel3"/>
      </w:pPr>
      <w:r w:rsidRPr="00346E0A">
        <w:t>Gender Pay Gap</w:t>
      </w:r>
    </w:p>
    <w:p w14:paraId="1118BBB0" w14:textId="77777777" w:rsidR="00C311FE" w:rsidRDefault="00C311FE" w:rsidP="00C311FE">
      <w:bookmarkStart w:id="30" w:name="_Hlk160092746"/>
      <w:r w:rsidRPr="00444127">
        <w:t xml:space="preserve">It is statutory for organisations with 250 or more employees to report annually on their gender pay gap.  </w:t>
      </w:r>
      <w:r>
        <w:t>The latest report shows that 49.17% of the workforce is female.</w:t>
      </w:r>
    </w:p>
    <w:p w14:paraId="7CE5191D" w14:textId="77777777" w:rsidR="00C311FE" w:rsidRDefault="00C311FE" w:rsidP="00C311FE"/>
    <w:p w14:paraId="7C0166FE" w14:textId="77777777" w:rsidR="00C311FE" w:rsidRPr="00444127" w:rsidRDefault="00C311FE" w:rsidP="00C311FE">
      <w:r w:rsidRPr="00444127">
        <w:t xml:space="preserve">The </w:t>
      </w:r>
      <w:r>
        <w:t>report also</w:t>
      </w:r>
      <w:r w:rsidRPr="00444127">
        <w:t xml:space="preserve"> shows the difference in the average pay between all men and women in a workforce.  </w:t>
      </w:r>
      <w:r>
        <w:t>O</w:t>
      </w:r>
      <w:r w:rsidRPr="00444127">
        <w:t xml:space="preserve">ur mean average gender pay gap is </w:t>
      </w:r>
      <w:r>
        <w:t>9.8</w:t>
      </w:r>
      <w:r w:rsidRPr="00444127">
        <w:t>% which lower than the national average of 1</w:t>
      </w:r>
      <w:r>
        <w:t>4.3</w:t>
      </w:r>
      <w:r w:rsidRPr="00444127">
        <w:t>% and an improvement on the previous year.</w:t>
      </w:r>
    </w:p>
    <w:p w14:paraId="5CD9090B" w14:textId="77777777" w:rsidR="00C311FE" w:rsidRPr="00444127" w:rsidRDefault="00C311FE" w:rsidP="00C311FE"/>
    <w:p w14:paraId="0D3CE50F" w14:textId="77777777" w:rsidR="00C311FE" w:rsidRPr="00444127" w:rsidRDefault="00C311FE" w:rsidP="00C311FE">
      <w:r w:rsidRPr="00444127">
        <w:t xml:space="preserve">Northamptonshire OPFCC and OCC support the fair treatment and reward of all staff, irrespective of gender. Our pay approach is based on the principles of consistency, fairness and transparency, supporting the </w:t>
      </w:r>
      <w:r w:rsidRPr="00444127">
        <w:t>fair treatment and reward of all staff, irrespective of gender.</w:t>
      </w:r>
    </w:p>
    <w:p w14:paraId="742C1FCD" w14:textId="77777777" w:rsidR="00C311FE" w:rsidRPr="00444127" w:rsidRDefault="00C311FE" w:rsidP="00C311FE">
      <w:pPr>
        <w:jc w:val="center"/>
      </w:pPr>
      <w:r>
        <w:rPr>
          <w:noProof/>
        </w:rPr>
        <w:drawing>
          <wp:inline distT="0" distB="0" distL="0" distR="0" wp14:anchorId="3E8F7E09" wp14:editId="4B892C05">
            <wp:extent cx="3014980" cy="2122170"/>
            <wp:effectExtent l="0" t="0" r="0" b="0"/>
            <wp:docPr id="15" name="Picture 15" descr="Infographic showing the Male mean average hourly pay was £18.78, compared to the Female mean average of £16.94 a difference of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showing the Male mean average hourly pay was £18.78, compared to the Female mean average of £16.94 a difference of 9.84%"/>
                    <pic:cNvPicPr/>
                  </pic:nvPicPr>
                  <pic:blipFill>
                    <a:blip r:embed="rId14"/>
                    <a:stretch>
                      <a:fillRect/>
                    </a:stretch>
                  </pic:blipFill>
                  <pic:spPr>
                    <a:xfrm>
                      <a:off x="0" y="0"/>
                      <a:ext cx="3014980" cy="2122170"/>
                    </a:xfrm>
                    <a:prstGeom prst="rect">
                      <a:avLst/>
                    </a:prstGeom>
                  </pic:spPr>
                </pic:pic>
              </a:graphicData>
            </a:graphic>
          </wp:inline>
        </w:drawing>
      </w:r>
    </w:p>
    <w:p w14:paraId="5BCCF3E2" w14:textId="77777777" w:rsidR="00C311FE" w:rsidRPr="007F2679" w:rsidRDefault="00C311FE" w:rsidP="00C311FE">
      <w:pPr>
        <w:rPr>
          <w:highlight w:val="yellow"/>
        </w:rPr>
      </w:pPr>
    </w:p>
    <w:p w14:paraId="60B4FB0B" w14:textId="77777777" w:rsidR="00C311FE" w:rsidRPr="007F2679" w:rsidRDefault="00C311FE" w:rsidP="00C311FE">
      <w:pPr>
        <w:jc w:val="left"/>
        <w:rPr>
          <w:highlight w:val="yellow"/>
        </w:rPr>
      </w:pPr>
    </w:p>
    <w:bookmarkEnd w:id="30"/>
    <w:p w14:paraId="1A0FBBF3" w14:textId="77777777" w:rsidR="00C311FE" w:rsidRPr="00FA442B" w:rsidRDefault="00C311FE" w:rsidP="00C311FE">
      <w:pPr>
        <w:pStyle w:val="VAHeadingLevel3"/>
      </w:pPr>
      <w:r w:rsidRPr="00FA442B">
        <w:t>Appointments</w:t>
      </w:r>
    </w:p>
    <w:p w14:paraId="68AA22C8" w14:textId="77777777" w:rsidR="00C311FE" w:rsidRDefault="00C311FE" w:rsidP="00C311FE">
      <w:bookmarkStart w:id="31" w:name="_Hlk135045909"/>
      <w:r w:rsidRPr="004F17D0">
        <w:t>Chief Constable, Nick Adderley was suspended from duty during the year and Ivan Balhatchet took the role of Acting Chief Constable from 17</w:t>
      </w:r>
      <w:r w:rsidRPr="004F17D0">
        <w:rPr>
          <w:vertAlign w:val="superscript"/>
        </w:rPr>
        <w:t>th</w:t>
      </w:r>
      <w:r w:rsidRPr="004F17D0">
        <w:t xml:space="preserve"> October 2023.</w:t>
      </w:r>
    </w:p>
    <w:p w14:paraId="26925C2A" w14:textId="77777777" w:rsidR="0043308A" w:rsidRPr="004F17D0" w:rsidRDefault="0043308A" w:rsidP="00C311FE"/>
    <w:p w14:paraId="620533C3" w14:textId="77777777" w:rsidR="00C311FE" w:rsidRDefault="00C311FE" w:rsidP="00C311FE">
      <w:r w:rsidRPr="004F17D0">
        <w:t>The role of Deputy Chief Constable was held by Ivan Balhatchet until this point and was left vacant for the rest of the year, with responsibilities realigned temporarily in the wider chief officer team as an interim measure.</w:t>
      </w:r>
    </w:p>
    <w:p w14:paraId="68EFB233" w14:textId="77777777" w:rsidR="0043308A" w:rsidRPr="004F17D0" w:rsidRDefault="0043308A" w:rsidP="00C311FE"/>
    <w:p w14:paraId="7C9FA943" w14:textId="41582660" w:rsidR="00C311FE" w:rsidRPr="009C4ADA" w:rsidRDefault="00C311FE" w:rsidP="00C311FE">
      <w:r w:rsidRPr="004F17D0">
        <w:t>Ash Tuckley continued as Assistant Chief Constable throughout the year and Paul Bullen continued as ACO Enabling Services.  Vaughan Ashcroft</w:t>
      </w:r>
      <w:r w:rsidR="006428D2">
        <w:t xml:space="preserve"> </w:t>
      </w:r>
      <w:r w:rsidRPr="004F17D0">
        <w:t>continued as Chief Finance Officer for the Chief Constable and was replaced on an interim basis by Nick Alexander from 22</w:t>
      </w:r>
      <w:r w:rsidRPr="004F17D0">
        <w:rPr>
          <w:vertAlign w:val="superscript"/>
        </w:rPr>
        <w:t>nd</w:t>
      </w:r>
      <w:r w:rsidRPr="004F17D0">
        <w:t xml:space="preserve"> December 2023.</w:t>
      </w:r>
      <w:bookmarkEnd w:id="31"/>
    </w:p>
    <w:p w14:paraId="142D5EFC" w14:textId="77777777" w:rsidR="00C311FE" w:rsidRPr="005746E7" w:rsidRDefault="00C311FE" w:rsidP="00C311FE">
      <w:pPr>
        <w:rPr>
          <w:highlight w:val="yellow"/>
        </w:rPr>
      </w:pPr>
    </w:p>
    <w:p w14:paraId="2BA1B5E6" w14:textId="7391A97E" w:rsidR="00C311FE" w:rsidRPr="004F17D0" w:rsidRDefault="00C311FE" w:rsidP="00C311FE">
      <w:bookmarkStart w:id="32" w:name="_Hlk135045924"/>
      <w:r w:rsidRPr="004F17D0">
        <w:t xml:space="preserve">Helen King retired as Chief Finance Officer </w:t>
      </w:r>
      <w:r>
        <w:t xml:space="preserve">to the OPFCC </w:t>
      </w:r>
      <w:r w:rsidRPr="004F17D0">
        <w:t>and was replaced on an interim basis by Vaughan Ashcroft from 22</w:t>
      </w:r>
      <w:r w:rsidRPr="004F17D0">
        <w:rPr>
          <w:vertAlign w:val="superscript"/>
        </w:rPr>
        <w:t>nd</w:t>
      </w:r>
      <w:r w:rsidRPr="004F17D0">
        <w:t xml:space="preserve"> December 2023.  Monitoring Officer, Nicci Marzec was in post until 23</w:t>
      </w:r>
      <w:r w:rsidRPr="0040784A">
        <w:rPr>
          <w:vertAlign w:val="superscript"/>
        </w:rPr>
        <w:t>rd</w:t>
      </w:r>
      <w:r w:rsidRPr="004F17D0">
        <w:t xml:space="preserve"> July 2023 and replaced by David Peet as Interim Monitoring Officer until Jonny Bugg started in the role on a permanent basis from 2</w:t>
      </w:r>
      <w:r w:rsidRPr="0040784A">
        <w:rPr>
          <w:vertAlign w:val="superscript"/>
        </w:rPr>
        <w:t>nd</w:t>
      </w:r>
      <w:r w:rsidRPr="004F17D0">
        <w:t xml:space="preserve"> January 2024.  These roles</w:t>
      </w:r>
      <w:r w:rsidR="006428D2">
        <w:t xml:space="preserve"> also </w:t>
      </w:r>
      <w:r w:rsidRPr="004F17D0">
        <w:t>cover Northamptonshire Commissioner Fire and Rescue Authority (NCFRA</w:t>
      </w:r>
      <w:r w:rsidR="006428D2">
        <w:t>).</w:t>
      </w:r>
    </w:p>
    <w:bookmarkEnd w:id="32"/>
    <w:p w14:paraId="75CC15EA" w14:textId="77777777" w:rsidR="00C311FE" w:rsidRPr="0022509A" w:rsidRDefault="00C311FE" w:rsidP="00C311FE"/>
    <w:p w14:paraId="31719849" w14:textId="77777777" w:rsidR="00C311FE" w:rsidRPr="0022509A" w:rsidRDefault="00C311FE" w:rsidP="00C311FE">
      <w:pPr>
        <w:pStyle w:val="VAHeading"/>
      </w:pPr>
      <w:bookmarkStart w:id="33" w:name="_Toc106968614"/>
      <w:bookmarkStart w:id="34" w:name="_Toc167964118"/>
      <w:r w:rsidRPr="0022509A">
        <w:t>Strategy and Resources</w:t>
      </w:r>
      <w:bookmarkEnd w:id="33"/>
      <w:bookmarkEnd w:id="34"/>
    </w:p>
    <w:p w14:paraId="6DEC001C" w14:textId="77777777" w:rsidR="00C311FE" w:rsidRPr="0022509A" w:rsidRDefault="00C311FE" w:rsidP="00C311FE"/>
    <w:p w14:paraId="11CD18FA" w14:textId="77777777" w:rsidR="00C311FE" w:rsidRPr="008C5C60" w:rsidRDefault="00C311FE" w:rsidP="00C311FE">
      <w:pPr>
        <w:pStyle w:val="VAHeadingLevel2"/>
      </w:pPr>
      <w:bookmarkStart w:id="35" w:name="_Hlk160092792"/>
      <w:r w:rsidRPr="008C5C60">
        <w:t>202</w:t>
      </w:r>
      <w:r>
        <w:t>3</w:t>
      </w:r>
      <w:r w:rsidRPr="008C5C60">
        <w:t>/2</w:t>
      </w:r>
      <w:r>
        <w:t>4</w:t>
      </w:r>
      <w:r w:rsidRPr="008C5C60">
        <w:t xml:space="preserve"> Budget</w:t>
      </w:r>
    </w:p>
    <w:p w14:paraId="0443EA64" w14:textId="77777777" w:rsidR="00C311FE" w:rsidRPr="009C4ADA" w:rsidRDefault="00C311FE" w:rsidP="00C311FE">
      <w:r w:rsidRPr="009C4ADA">
        <w:t>In 202</w:t>
      </w:r>
      <w:r>
        <w:t>3</w:t>
      </w:r>
      <w:r w:rsidRPr="009C4ADA">
        <w:t>/2</w:t>
      </w:r>
      <w:r>
        <w:t>4</w:t>
      </w:r>
      <w:r w:rsidRPr="009C4ADA">
        <w:t>, in line with the response to the public consultation, the PFCC increased the precept by £1</w:t>
      </w:r>
      <w:r>
        <w:t>5</w:t>
      </w:r>
      <w:r w:rsidRPr="009C4ADA">
        <w:t xml:space="preserve">, </w:t>
      </w:r>
      <w:r w:rsidRPr="009C4ADA">
        <w:lastRenderedPageBreak/>
        <w:t>which was the maximum available without triggering a referendum.  This increase was used to invest in operational priorities and frontline policing requirements identified by the Chief Constable.</w:t>
      </w:r>
    </w:p>
    <w:p w14:paraId="3C83C151" w14:textId="77777777" w:rsidR="00C311FE" w:rsidRPr="009C4ADA" w:rsidRDefault="00C311FE" w:rsidP="00C311FE"/>
    <w:p w14:paraId="259C02BD" w14:textId="77777777" w:rsidR="00C311FE" w:rsidRPr="009C4ADA" w:rsidRDefault="00C311FE" w:rsidP="00C311FE">
      <w:r w:rsidRPr="009C4ADA">
        <w:t>In 202</w:t>
      </w:r>
      <w:r>
        <w:t>4</w:t>
      </w:r>
      <w:r w:rsidRPr="009C4ADA">
        <w:t>/2</w:t>
      </w:r>
      <w:r>
        <w:t>5</w:t>
      </w:r>
      <w:r w:rsidRPr="009C4ADA">
        <w:t>, the PFCC again increased the precept by the maximum available which was £1</w:t>
      </w:r>
      <w:r>
        <w:t>3</w:t>
      </w:r>
      <w:r w:rsidRPr="009C4ADA">
        <w:t>.</w:t>
      </w:r>
    </w:p>
    <w:bookmarkEnd w:id="35"/>
    <w:p w14:paraId="6D21DCFB" w14:textId="77777777" w:rsidR="00C311FE" w:rsidRPr="008C5C60" w:rsidRDefault="00C311FE" w:rsidP="00C311FE"/>
    <w:p w14:paraId="47277E99" w14:textId="77777777" w:rsidR="00C311FE" w:rsidRPr="008C5C60" w:rsidRDefault="00C311FE" w:rsidP="00C311FE">
      <w:pPr>
        <w:pStyle w:val="VAHeadingLevel2"/>
      </w:pPr>
      <w:r w:rsidRPr="008C5C60">
        <w:t>Medium Term Financial Plan</w:t>
      </w:r>
    </w:p>
    <w:p w14:paraId="51307F55" w14:textId="77777777" w:rsidR="00C311FE" w:rsidRPr="008C5C60" w:rsidRDefault="00C311FE" w:rsidP="00C311FE">
      <w:r w:rsidRPr="008C5C60">
        <w:t xml:space="preserve">The PFCC’s medium term financial plan (MTFP) is regularly reviewed and updated in line with the following established principles: </w:t>
      </w:r>
    </w:p>
    <w:p w14:paraId="4C91D238" w14:textId="77777777" w:rsidR="00C311FE" w:rsidRPr="008C5C60" w:rsidRDefault="00C311FE" w:rsidP="00C311FE">
      <w:pPr>
        <w:pStyle w:val="RedBullet"/>
        <w:ind w:left="714" w:hanging="357"/>
      </w:pPr>
      <w:r w:rsidRPr="008C5C60">
        <w:t>To make the best use of available resources.</w:t>
      </w:r>
    </w:p>
    <w:p w14:paraId="113A8F3B" w14:textId="77777777" w:rsidR="00C311FE" w:rsidRPr="008C5C60" w:rsidRDefault="00C311FE" w:rsidP="00C311FE">
      <w:pPr>
        <w:pStyle w:val="RedBullet"/>
        <w:ind w:left="714" w:hanging="357"/>
      </w:pPr>
      <w:r w:rsidRPr="008C5C60">
        <w:t>To maximise income and funding.</w:t>
      </w:r>
    </w:p>
    <w:p w14:paraId="0E957898" w14:textId="77777777" w:rsidR="00C311FE" w:rsidRPr="008C5C60" w:rsidRDefault="00C311FE" w:rsidP="00C311FE">
      <w:pPr>
        <w:pStyle w:val="RedBullet"/>
        <w:ind w:left="714" w:hanging="357"/>
      </w:pPr>
      <w:r w:rsidRPr="008C5C60">
        <w:t>To target expenditure and investments to priorities and value for money opportunities.</w:t>
      </w:r>
    </w:p>
    <w:p w14:paraId="17400E80" w14:textId="77777777" w:rsidR="00C311FE" w:rsidRPr="008C5C60" w:rsidRDefault="00C311FE" w:rsidP="00C311FE">
      <w:pPr>
        <w:pStyle w:val="RedBullet"/>
        <w:ind w:left="714" w:hanging="357"/>
      </w:pPr>
      <w:r w:rsidRPr="008C5C60">
        <w:t>To exploit fixed assets to deliver maximum value.</w:t>
      </w:r>
    </w:p>
    <w:p w14:paraId="0F790F95" w14:textId="77777777" w:rsidR="00C311FE" w:rsidRPr="008C5C60" w:rsidRDefault="00C311FE" w:rsidP="00C311FE">
      <w:pPr>
        <w:pStyle w:val="RedBullet"/>
        <w:ind w:left="714" w:hanging="357"/>
      </w:pPr>
      <w:r w:rsidRPr="008C5C60">
        <w:t>To optimise delivery costs.</w:t>
      </w:r>
    </w:p>
    <w:p w14:paraId="32577AC1" w14:textId="77777777" w:rsidR="00C311FE" w:rsidRPr="00164386" w:rsidRDefault="00C311FE" w:rsidP="00C311FE">
      <w:pPr>
        <w:pStyle w:val="RedBullet"/>
        <w:ind w:left="714" w:hanging="357"/>
      </w:pPr>
      <w:r w:rsidRPr="00164386">
        <w:t>To provide sufficient financial reserves in the context of unprecedented uncertainty, transformation and change.</w:t>
      </w:r>
    </w:p>
    <w:p w14:paraId="610D1DB8" w14:textId="77777777" w:rsidR="00C311FE" w:rsidRPr="00164386" w:rsidRDefault="00C311FE" w:rsidP="00C311FE">
      <w:pPr>
        <w:pStyle w:val="VAHeadingLevel3"/>
      </w:pPr>
    </w:p>
    <w:p w14:paraId="4F3A135B" w14:textId="77777777" w:rsidR="00C311FE" w:rsidRPr="009C4ADA" w:rsidRDefault="00C311FE" w:rsidP="00C311FE">
      <w:bookmarkStart w:id="36" w:name="_Hlk160092817"/>
      <w:r w:rsidRPr="009C4ADA">
        <w:t>The latest MTFP shows that the PFCC has produced a balanced budget for 202</w:t>
      </w:r>
      <w:r>
        <w:t>4</w:t>
      </w:r>
      <w:r w:rsidRPr="009C4ADA">
        <w:t>/2</w:t>
      </w:r>
      <w:r>
        <w:t>5</w:t>
      </w:r>
      <w:r w:rsidRPr="005746E7">
        <w:t xml:space="preserve"> </w:t>
      </w:r>
      <w:r w:rsidRPr="009C4ADA">
        <w:t>utilising earmarked reserves,</w:t>
      </w:r>
      <w:r>
        <w:t xml:space="preserve"> with</w:t>
      </w:r>
      <w:r w:rsidRPr="009C4ADA">
        <w:t xml:space="preserve"> </w:t>
      </w:r>
      <w:r>
        <w:t xml:space="preserve">notable savings required from </w:t>
      </w:r>
      <w:r w:rsidRPr="009C4ADA">
        <w:t>202</w:t>
      </w:r>
      <w:r>
        <w:t>5</w:t>
      </w:r>
      <w:r w:rsidRPr="009C4ADA">
        <w:t>/2</w:t>
      </w:r>
      <w:r>
        <w:t>6</w:t>
      </w:r>
      <w:r w:rsidRPr="009C4ADA">
        <w:t>.  There is a plan</w:t>
      </w:r>
      <w:r>
        <w:t xml:space="preserve"> underway</w:t>
      </w:r>
      <w:r w:rsidRPr="009C4ADA">
        <w:t xml:space="preserve"> to </w:t>
      </w:r>
      <w:r>
        <w:t>deliver the required savings needed over the medium term</w:t>
      </w:r>
      <w:r w:rsidRPr="009C4ADA">
        <w:t>.</w:t>
      </w:r>
    </w:p>
    <w:bookmarkEnd w:id="36"/>
    <w:p w14:paraId="0205590A" w14:textId="77777777" w:rsidR="00C311FE" w:rsidRPr="005057AC" w:rsidRDefault="00C311FE" w:rsidP="00C311FE">
      <w:pPr>
        <w:rPr>
          <w:highlight w:val="yellow"/>
        </w:rPr>
      </w:pPr>
    </w:p>
    <w:tbl>
      <w:tblPr>
        <w:tblW w:w="4690" w:type="dxa"/>
        <w:tblLook w:val="04A0" w:firstRow="1" w:lastRow="0" w:firstColumn="1" w:lastColumn="0" w:noHBand="0" w:noVBand="1"/>
      </w:tblPr>
      <w:tblGrid>
        <w:gridCol w:w="1420"/>
        <w:gridCol w:w="678"/>
        <w:gridCol w:w="678"/>
        <w:gridCol w:w="678"/>
        <w:gridCol w:w="678"/>
        <w:gridCol w:w="678"/>
      </w:tblGrid>
      <w:tr w:rsidR="00C311FE" w:rsidRPr="00D76475" w14:paraId="6CCF4E1C" w14:textId="77777777" w:rsidTr="0059684C">
        <w:trPr>
          <w:trHeight w:val="542"/>
        </w:trPr>
        <w:tc>
          <w:tcPr>
            <w:tcW w:w="1420" w:type="dxa"/>
            <w:tcBorders>
              <w:top w:val="nil"/>
              <w:left w:val="nil"/>
              <w:bottom w:val="nil"/>
              <w:right w:val="nil"/>
            </w:tcBorders>
            <w:shd w:val="clear" w:color="auto" w:fill="000099"/>
            <w:noWrap/>
            <w:vAlign w:val="center"/>
            <w:hideMark/>
          </w:tcPr>
          <w:p w14:paraId="223572FB" w14:textId="77777777" w:rsidR="00C311FE" w:rsidRPr="00D76475" w:rsidRDefault="00C311FE" w:rsidP="00353823">
            <w:pPr>
              <w:spacing w:line="240" w:lineRule="auto"/>
              <w:jc w:val="left"/>
              <w:rPr>
                <w:rFonts w:eastAsia="Times New Roman" w:cs="Calibri"/>
                <w:b/>
                <w:bCs/>
                <w:color w:val="FFFFFF"/>
                <w:sz w:val="16"/>
                <w:szCs w:val="16"/>
                <w:lang w:eastAsia="en-GB"/>
              </w:rPr>
            </w:pPr>
            <w:r w:rsidRPr="00D76475">
              <w:rPr>
                <w:rFonts w:eastAsia="Times New Roman" w:cs="Calibri"/>
                <w:b/>
                <w:bCs/>
                <w:color w:val="FFFFFF"/>
                <w:sz w:val="16"/>
                <w:szCs w:val="16"/>
                <w:lang w:eastAsia="en-GB"/>
              </w:rPr>
              <w:t>MTFP</w:t>
            </w:r>
          </w:p>
        </w:tc>
        <w:tc>
          <w:tcPr>
            <w:tcW w:w="654" w:type="dxa"/>
            <w:tcBorders>
              <w:top w:val="nil"/>
              <w:left w:val="nil"/>
              <w:bottom w:val="nil"/>
              <w:right w:val="nil"/>
            </w:tcBorders>
            <w:shd w:val="clear" w:color="auto" w:fill="000099"/>
            <w:vAlign w:val="center"/>
            <w:hideMark/>
          </w:tcPr>
          <w:p w14:paraId="7788D050"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24/25</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56AC88B1"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25/26</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3404E36A"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26/27</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3A952FAD"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27/28</w:t>
            </w:r>
            <w:r w:rsidRPr="00D76475">
              <w:rPr>
                <w:rFonts w:eastAsia="Times New Roman" w:cs="Calibri"/>
                <w:b/>
                <w:bCs/>
                <w:color w:val="FFFFFF"/>
                <w:sz w:val="16"/>
                <w:szCs w:val="16"/>
                <w:lang w:eastAsia="en-GB"/>
              </w:rPr>
              <w:br/>
              <w:t>£m</w:t>
            </w:r>
          </w:p>
        </w:tc>
        <w:tc>
          <w:tcPr>
            <w:tcW w:w="654" w:type="dxa"/>
            <w:tcBorders>
              <w:top w:val="nil"/>
              <w:left w:val="nil"/>
              <w:bottom w:val="nil"/>
              <w:right w:val="nil"/>
            </w:tcBorders>
            <w:shd w:val="clear" w:color="auto" w:fill="000099"/>
            <w:vAlign w:val="center"/>
            <w:hideMark/>
          </w:tcPr>
          <w:p w14:paraId="0852D558" w14:textId="77777777" w:rsidR="00C311FE" w:rsidRPr="00D76475" w:rsidRDefault="00C311FE" w:rsidP="00353823">
            <w:pPr>
              <w:spacing w:line="240" w:lineRule="auto"/>
              <w:jc w:val="center"/>
              <w:rPr>
                <w:rFonts w:eastAsia="Times New Roman" w:cs="Calibri"/>
                <w:b/>
                <w:bCs/>
                <w:color w:val="FFFFFF"/>
                <w:sz w:val="16"/>
                <w:szCs w:val="16"/>
                <w:lang w:eastAsia="en-GB"/>
              </w:rPr>
            </w:pPr>
            <w:r w:rsidRPr="00D76475">
              <w:rPr>
                <w:rFonts w:eastAsia="Times New Roman" w:cs="Calibri"/>
                <w:b/>
                <w:bCs/>
                <w:color w:val="FFFFFF"/>
                <w:sz w:val="16"/>
                <w:szCs w:val="16"/>
                <w:lang w:eastAsia="en-GB"/>
              </w:rPr>
              <w:t>28/29</w:t>
            </w:r>
            <w:r w:rsidRPr="00D76475">
              <w:rPr>
                <w:rFonts w:eastAsia="Times New Roman" w:cs="Calibri"/>
                <w:b/>
                <w:bCs/>
                <w:color w:val="FFFFFF"/>
                <w:sz w:val="16"/>
                <w:szCs w:val="16"/>
                <w:lang w:eastAsia="en-GB"/>
              </w:rPr>
              <w:br/>
              <w:t>£m</w:t>
            </w:r>
          </w:p>
        </w:tc>
      </w:tr>
      <w:tr w:rsidR="00C311FE" w:rsidRPr="00D76475" w14:paraId="535C5EBE" w14:textId="77777777" w:rsidTr="00740B9C">
        <w:trPr>
          <w:trHeight w:val="293"/>
        </w:trPr>
        <w:tc>
          <w:tcPr>
            <w:tcW w:w="1420" w:type="dxa"/>
            <w:tcBorders>
              <w:top w:val="nil"/>
              <w:left w:val="nil"/>
              <w:bottom w:val="nil"/>
              <w:right w:val="nil"/>
            </w:tcBorders>
            <w:shd w:val="clear" w:color="000000" w:fill="FFFFFF"/>
            <w:noWrap/>
            <w:vAlign w:val="center"/>
            <w:hideMark/>
          </w:tcPr>
          <w:p w14:paraId="67F46A67"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Expenditure</w:t>
            </w:r>
          </w:p>
        </w:tc>
        <w:tc>
          <w:tcPr>
            <w:tcW w:w="654" w:type="dxa"/>
            <w:tcBorders>
              <w:top w:val="nil"/>
              <w:left w:val="nil"/>
              <w:bottom w:val="nil"/>
              <w:right w:val="nil"/>
            </w:tcBorders>
            <w:shd w:val="clear" w:color="000000" w:fill="FFFFFF"/>
            <w:noWrap/>
            <w:vAlign w:val="center"/>
            <w:hideMark/>
          </w:tcPr>
          <w:p w14:paraId="26A2D05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183.8</w:t>
            </w:r>
          </w:p>
        </w:tc>
        <w:tc>
          <w:tcPr>
            <w:tcW w:w="654" w:type="dxa"/>
            <w:tcBorders>
              <w:top w:val="nil"/>
              <w:left w:val="nil"/>
              <w:bottom w:val="nil"/>
              <w:right w:val="nil"/>
            </w:tcBorders>
            <w:shd w:val="clear" w:color="000000" w:fill="FFFFFF"/>
            <w:noWrap/>
            <w:vAlign w:val="center"/>
            <w:hideMark/>
          </w:tcPr>
          <w:p w14:paraId="4F1FEBD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194.7</w:t>
            </w:r>
          </w:p>
        </w:tc>
        <w:tc>
          <w:tcPr>
            <w:tcW w:w="654" w:type="dxa"/>
            <w:tcBorders>
              <w:top w:val="nil"/>
              <w:left w:val="nil"/>
              <w:bottom w:val="nil"/>
              <w:right w:val="nil"/>
            </w:tcBorders>
            <w:shd w:val="clear" w:color="000000" w:fill="FFFFFF"/>
            <w:noWrap/>
            <w:vAlign w:val="center"/>
            <w:hideMark/>
          </w:tcPr>
          <w:p w14:paraId="16A7FE43"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198.6</w:t>
            </w:r>
          </w:p>
        </w:tc>
        <w:tc>
          <w:tcPr>
            <w:tcW w:w="654" w:type="dxa"/>
            <w:tcBorders>
              <w:top w:val="nil"/>
              <w:left w:val="nil"/>
              <w:bottom w:val="nil"/>
              <w:right w:val="nil"/>
            </w:tcBorders>
            <w:shd w:val="clear" w:color="000000" w:fill="FFFFFF"/>
            <w:noWrap/>
            <w:vAlign w:val="center"/>
            <w:hideMark/>
          </w:tcPr>
          <w:p w14:paraId="45D211A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203.0</w:t>
            </w:r>
          </w:p>
        </w:tc>
        <w:tc>
          <w:tcPr>
            <w:tcW w:w="654" w:type="dxa"/>
            <w:tcBorders>
              <w:top w:val="nil"/>
              <w:left w:val="nil"/>
              <w:bottom w:val="nil"/>
              <w:right w:val="nil"/>
            </w:tcBorders>
            <w:shd w:val="clear" w:color="000000" w:fill="FFFFFF"/>
            <w:noWrap/>
            <w:vAlign w:val="center"/>
            <w:hideMark/>
          </w:tcPr>
          <w:p w14:paraId="26FD02A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207.2</w:t>
            </w:r>
          </w:p>
        </w:tc>
      </w:tr>
      <w:tr w:rsidR="00C311FE" w:rsidRPr="00D76475" w14:paraId="71800DAD" w14:textId="77777777" w:rsidTr="00740B9C">
        <w:trPr>
          <w:trHeight w:val="293"/>
        </w:trPr>
        <w:tc>
          <w:tcPr>
            <w:tcW w:w="1420" w:type="dxa"/>
            <w:tcBorders>
              <w:top w:val="nil"/>
              <w:left w:val="nil"/>
              <w:bottom w:val="nil"/>
              <w:right w:val="nil"/>
            </w:tcBorders>
            <w:shd w:val="clear" w:color="000000" w:fill="FFFFFF"/>
            <w:noWrap/>
            <w:vAlign w:val="center"/>
            <w:hideMark/>
          </w:tcPr>
          <w:p w14:paraId="19AB8C32"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Efficiencies agreed</w:t>
            </w:r>
          </w:p>
        </w:tc>
        <w:tc>
          <w:tcPr>
            <w:tcW w:w="654" w:type="dxa"/>
            <w:tcBorders>
              <w:top w:val="nil"/>
              <w:left w:val="nil"/>
              <w:bottom w:val="nil"/>
              <w:right w:val="nil"/>
            </w:tcBorders>
            <w:shd w:val="clear" w:color="000000" w:fill="FFFFFF"/>
            <w:noWrap/>
            <w:vAlign w:val="center"/>
            <w:hideMark/>
          </w:tcPr>
          <w:p w14:paraId="652E2697"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(0.8)</w:t>
            </w:r>
          </w:p>
        </w:tc>
        <w:tc>
          <w:tcPr>
            <w:tcW w:w="654" w:type="dxa"/>
            <w:tcBorders>
              <w:top w:val="nil"/>
              <w:left w:val="nil"/>
              <w:bottom w:val="nil"/>
              <w:right w:val="nil"/>
            </w:tcBorders>
            <w:shd w:val="clear" w:color="000000" w:fill="FFFFFF"/>
            <w:noWrap/>
            <w:vAlign w:val="center"/>
            <w:hideMark/>
          </w:tcPr>
          <w:p w14:paraId="368B532F"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nil"/>
              <w:right w:val="nil"/>
            </w:tcBorders>
            <w:shd w:val="clear" w:color="000000" w:fill="FFFFFF"/>
            <w:noWrap/>
            <w:vAlign w:val="center"/>
            <w:hideMark/>
          </w:tcPr>
          <w:p w14:paraId="1A03143C"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(2.6)</w:t>
            </w:r>
          </w:p>
        </w:tc>
        <w:tc>
          <w:tcPr>
            <w:tcW w:w="654" w:type="dxa"/>
            <w:tcBorders>
              <w:top w:val="nil"/>
              <w:left w:val="nil"/>
              <w:bottom w:val="nil"/>
              <w:right w:val="nil"/>
            </w:tcBorders>
            <w:shd w:val="clear" w:color="000000" w:fill="FFFFFF"/>
            <w:noWrap/>
            <w:vAlign w:val="center"/>
            <w:hideMark/>
          </w:tcPr>
          <w:p w14:paraId="032BF354"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(3.5)</w:t>
            </w:r>
          </w:p>
        </w:tc>
        <w:tc>
          <w:tcPr>
            <w:tcW w:w="654" w:type="dxa"/>
            <w:tcBorders>
              <w:top w:val="nil"/>
              <w:left w:val="nil"/>
              <w:bottom w:val="nil"/>
              <w:right w:val="nil"/>
            </w:tcBorders>
            <w:shd w:val="clear" w:color="000000" w:fill="FFFFFF"/>
            <w:noWrap/>
            <w:vAlign w:val="center"/>
            <w:hideMark/>
          </w:tcPr>
          <w:p w14:paraId="48229377"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(4.5)</w:t>
            </w:r>
          </w:p>
        </w:tc>
      </w:tr>
      <w:tr w:rsidR="00C311FE" w:rsidRPr="00D76475" w14:paraId="14F4FFB7" w14:textId="77777777" w:rsidTr="00967709">
        <w:trPr>
          <w:trHeight w:val="438"/>
        </w:trPr>
        <w:tc>
          <w:tcPr>
            <w:tcW w:w="1420" w:type="dxa"/>
            <w:tcBorders>
              <w:top w:val="nil"/>
              <w:left w:val="nil"/>
              <w:bottom w:val="single" w:sz="4" w:space="0" w:color="auto"/>
              <w:right w:val="nil"/>
            </w:tcBorders>
            <w:shd w:val="clear" w:color="000000" w:fill="FFFFFF"/>
            <w:vAlign w:val="center"/>
            <w:hideMark/>
          </w:tcPr>
          <w:p w14:paraId="5899A7B2"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Efficiencies to be identified</w:t>
            </w:r>
          </w:p>
        </w:tc>
        <w:tc>
          <w:tcPr>
            <w:tcW w:w="654" w:type="dxa"/>
            <w:tcBorders>
              <w:top w:val="nil"/>
              <w:left w:val="nil"/>
              <w:bottom w:val="single" w:sz="4" w:space="0" w:color="auto"/>
              <w:right w:val="nil"/>
            </w:tcBorders>
            <w:shd w:val="clear" w:color="000000" w:fill="FFFFFF"/>
            <w:noWrap/>
            <w:vAlign w:val="center"/>
            <w:hideMark/>
          </w:tcPr>
          <w:p w14:paraId="19C34FA0"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w:t>
            </w:r>
          </w:p>
        </w:tc>
        <w:tc>
          <w:tcPr>
            <w:tcW w:w="654" w:type="dxa"/>
            <w:tcBorders>
              <w:top w:val="nil"/>
              <w:left w:val="nil"/>
              <w:bottom w:val="single" w:sz="4" w:space="0" w:color="auto"/>
              <w:right w:val="nil"/>
            </w:tcBorders>
            <w:shd w:val="clear" w:color="000000" w:fill="FFFFFF"/>
            <w:noWrap/>
            <w:vAlign w:val="center"/>
            <w:hideMark/>
          </w:tcPr>
          <w:p w14:paraId="74D27F8B"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4A73F035"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5CD2ECB5"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(1.7)</w:t>
            </w:r>
          </w:p>
        </w:tc>
        <w:tc>
          <w:tcPr>
            <w:tcW w:w="654" w:type="dxa"/>
            <w:tcBorders>
              <w:top w:val="nil"/>
              <w:left w:val="nil"/>
              <w:bottom w:val="single" w:sz="4" w:space="0" w:color="auto"/>
              <w:right w:val="nil"/>
            </w:tcBorders>
            <w:shd w:val="clear" w:color="000000" w:fill="FFFFFF"/>
            <w:noWrap/>
            <w:vAlign w:val="center"/>
            <w:hideMark/>
          </w:tcPr>
          <w:p w14:paraId="22CFB239"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(1.1)</w:t>
            </w:r>
          </w:p>
        </w:tc>
      </w:tr>
      <w:tr w:rsidR="00C311FE" w:rsidRPr="00D76475" w14:paraId="13DBB06C" w14:textId="77777777" w:rsidTr="00967709">
        <w:trPr>
          <w:trHeight w:val="293"/>
        </w:trPr>
        <w:tc>
          <w:tcPr>
            <w:tcW w:w="1420" w:type="dxa"/>
            <w:tcBorders>
              <w:top w:val="single" w:sz="4" w:space="0" w:color="auto"/>
              <w:left w:val="nil"/>
              <w:bottom w:val="nil"/>
              <w:right w:val="nil"/>
            </w:tcBorders>
            <w:shd w:val="clear" w:color="000000" w:fill="FFFFFF"/>
            <w:noWrap/>
            <w:vAlign w:val="center"/>
            <w:hideMark/>
          </w:tcPr>
          <w:p w14:paraId="1602BC24" w14:textId="77777777" w:rsidR="00C311FE" w:rsidRPr="00D76475" w:rsidRDefault="00C311FE" w:rsidP="00353823">
            <w:pPr>
              <w:spacing w:line="240" w:lineRule="auto"/>
              <w:jc w:val="left"/>
              <w:rPr>
                <w:rFonts w:eastAsia="Times New Roman" w:cs="Calibri"/>
                <w:b/>
                <w:bCs/>
                <w:color w:val="000000"/>
                <w:sz w:val="16"/>
                <w:szCs w:val="16"/>
                <w:lang w:eastAsia="en-GB"/>
              </w:rPr>
            </w:pPr>
            <w:r w:rsidRPr="00D76475">
              <w:rPr>
                <w:rFonts w:eastAsia="Times New Roman" w:cs="Calibri"/>
                <w:b/>
                <w:bCs/>
                <w:color w:val="000000"/>
                <w:sz w:val="16"/>
                <w:szCs w:val="16"/>
                <w:lang w:eastAsia="en-GB"/>
              </w:rPr>
              <w:t> </w:t>
            </w:r>
          </w:p>
        </w:tc>
        <w:tc>
          <w:tcPr>
            <w:tcW w:w="654" w:type="dxa"/>
            <w:tcBorders>
              <w:top w:val="single" w:sz="4" w:space="0" w:color="auto"/>
              <w:left w:val="nil"/>
              <w:bottom w:val="nil"/>
              <w:right w:val="nil"/>
            </w:tcBorders>
            <w:shd w:val="clear" w:color="000000" w:fill="FFFFFF"/>
            <w:noWrap/>
            <w:vAlign w:val="center"/>
            <w:hideMark/>
          </w:tcPr>
          <w:p w14:paraId="01F86E73" w14:textId="77777777" w:rsidR="00C311FE" w:rsidRPr="00D76475" w:rsidRDefault="00C311FE" w:rsidP="00353823">
            <w:pPr>
              <w:spacing w:line="240" w:lineRule="auto"/>
              <w:jc w:val="right"/>
              <w:rPr>
                <w:rFonts w:eastAsia="Times New Roman" w:cs="Calibri"/>
                <w:b/>
                <w:bCs/>
                <w:color w:val="000000"/>
                <w:sz w:val="16"/>
                <w:szCs w:val="16"/>
                <w:lang w:eastAsia="en-GB"/>
              </w:rPr>
            </w:pPr>
            <w:r w:rsidRPr="00D76475">
              <w:rPr>
                <w:rFonts w:eastAsia="Times New Roman" w:cs="Calibri"/>
                <w:b/>
                <w:bCs/>
                <w:color w:val="000000"/>
                <w:sz w:val="16"/>
                <w:szCs w:val="16"/>
                <w:lang w:eastAsia="en-GB"/>
              </w:rPr>
              <w:t>183.0</w:t>
            </w:r>
          </w:p>
        </w:tc>
        <w:tc>
          <w:tcPr>
            <w:tcW w:w="654" w:type="dxa"/>
            <w:tcBorders>
              <w:top w:val="single" w:sz="4" w:space="0" w:color="auto"/>
              <w:left w:val="nil"/>
              <w:bottom w:val="nil"/>
              <w:right w:val="nil"/>
            </w:tcBorders>
            <w:shd w:val="clear" w:color="000000" w:fill="FFFFFF"/>
            <w:noWrap/>
            <w:vAlign w:val="center"/>
            <w:hideMark/>
          </w:tcPr>
          <w:p w14:paraId="32B1DC30" w14:textId="411F145B"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191</w:t>
            </w:r>
            <w:r w:rsidR="00F83FC9">
              <w:rPr>
                <w:rFonts w:eastAsia="Times New Roman" w:cs="Calibri"/>
                <w:b/>
                <w:bCs/>
                <w:color w:val="000000"/>
                <w:sz w:val="16"/>
                <w:szCs w:val="16"/>
                <w:lang w:eastAsia="en-GB"/>
              </w:rPr>
              <w:t>.3</w:t>
            </w:r>
          </w:p>
        </w:tc>
        <w:tc>
          <w:tcPr>
            <w:tcW w:w="654" w:type="dxa"/>
            <w:tcBorders>
              <w:top w:val="single" w:sz="4" w:space="0" w:color="auto"/>
              <w:left w:val="nil"/>
              <w:bottom w:val="nil"/>
              <w:right w:val="nil"/>
            </w:tcBorders>
            <w:shd w:val="clear" w:color="000000" w:fill="FFFFFF"/>
            <w:noWrap/>
            <w:vAlign w:val="center"/>
            <w:hideMark/>
          </w:tcPr>
          <w:p w14:paraId="6C58EFEF" w14:textId="2B77D680"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194.</w:t>
            </w:r>
            <w:r w:rsidR="00D92478">
              <w:rPr>
                <w:rFonts w:eastAsia="Times New Roman" w:cs="Calibri"/>
                <w:b/>
                <w:bCs/>
                <w:color w:val="000000"/>
                <w:sz w:val="16"/>
                <w:szCs w:val="16"/>
                <w:lang w:eastAsia="en-GB"/>
              </w:rPr>
              <w:t>3</w:t>
            </w:r>
          </w:p>
        </w:tc>
        <w:tc>
          <w:tcPr>
            <w:tcW w:w="654" w:type="dxa"/>
            <w:tcBorders>
              <w:top w:val="single" w:sz="4" w:space="0" w:color="auto"/>
              <w:left w:val="nil"/>
              <w:bottom w:val="nil"/>
              <w:right w:val="nil"/>
            </w:tcBorders>
            <w:shd w:val="clear" w:color="000000" w:fill="FFFFFF"/>
            <w:noWrap/>
            <w:vAlign w:val="center"/>
            <w:hideMark/>
          </w:tcPr>
          <w:p w14:paraId="2AF99425" w14:textId="77777777"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197.8</w:t>
            </w:r>
          </w:p>
        </w:tc>
        <w:tc>
          <w:tcPr>
            <w:tcW w:w="654" w:type="dxa"/>
            <w:tcBorders>
              <w:top w:val="single" w:sz="4" w:space="0" w:color="auto"/>
              <w:left w:val="nil"/>
              <w:bottom w:val="nil"/>
              <w:right w:val="nil"/>
            </w:tcBorders>
            <w:shd w:val="clear" w:color="000000" w:fill="FFFFFF"/>
            <w:noWrap/>
            <w:vAlign w:val="center"/>
            <w:hideMark/>
          </w:tcPr>
          <w:p w14:paraId="43B50DB5" w14:textId="5C133972" w:rsidR="00C311FE" w:rsidRPr="009F5627" w:rsidRDefault="00C311FE" w:rsidP="00353823">
            <w:pPr>
              <w:spacing w:line="240" w:lineRule="auto"/>
              <w:jc w:val="right"/>
              <w:rPr>
                <w:rFonts w:eastAsia="Times New Roman" w:cs="Calibri"/>
                <w:b/>
                <w:bCs/>
                <w:color w:val="000000"/>
                <w:sz w:val="16"/>
                <w:szCs w:val="16"/>
                <w:lang w:eastAsia="en-GB"/>
              </w:rPr>
            </w:pPr>
            <w:r w:rsidRPr="009F5627">
              <w:rPr>
                <w:rFonts w:eastAsia="Times New Roman" w:cs="Calibri"/>
                <w:b/>
                <w:bCs/>
                <w:color w:val="000000"/>
                <w:sz w:val="16"/>
                <w:szCs w:val="16"/>
                <w:lang w:eastAsia="en-GB"/>
              </w:rPr>
              <w:t>201.</w:t>
            </w:r>
            <w:r w:rsidR="00D92478">
              <w:rPr>
                <w:rFonts w:eastAsia="Times New Roman" w:cs="Calibri"/>
                <w:b/>
                <w:bCs/>
                <w:color w:val="000000"/>
                <w:sz w:val="16"/>
                <w:szCs w:val="16"/>
                <w:lang w:eastAsia="en-GB"/>
              </w:rPr>
              <w:t>6</w:t>
            </w:r>
          </w:p>
        </w:tc>
      </w:tr>
      <w:tr w:rsidR="00C311FE" w:rsidRPr="00D76475" w14:paraId="6A4C251A" w14:textId="77777777" w:rsidTr="00740B9C">
        <w:trPr>
          <w:trHeight w:val="293"/>
        </w:trPr>
        <w:tc>
          <w:tcPr>
            <w:tcW w:w="1420" w:type="dxa"/>
            <w:tcBorders>
              <w:top w:val="nil"/>
              <w:left w:val="nil"/>
              <w:bottom w:val="nil"/>
              <w:right w:val="nil"/>
            </w:tcBorders>
            <w:shd w:val="clear" w:color="000000" w:fill="FFFFFF"/>
            <w:noWrap/>
            <w:vAlign w:val="center"/>
            <w:hideMark/>
          </w:tcPr>
          <w:p w14:paraId="6E0BE6A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99BFF6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0A162B0"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A53DF17"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5EA2576F"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c>
          <w:tcPr>
            <w:tcW w:w="654" w:type="dxa"/>
            <w:tcBorders>
              <w:top w:val="nil"/>
              <w:left w:val="nil"/>
              <w:bottom w:val="nil"/>
              <w:right w:val="nil"/>
            </w:tcBorders>
            <w:shd w:val="clear" w:color="000000" w:fill="FFFFFF"/>
            <w:noWrap/>
            <w:vAlign w:val="center"/>
            <w:hideMark/>
          </w:tcPr>
          <w:p w14:paraId="1501349D"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 </w:t>
            </w:r>
          </w:p>
        </w:tc>
      </w:tr>
      <w:tr w:rsidR="00C311FE" w:rsidRPr="00D76475" w14:paraId="197C8C63" w14:textId="77777777" w:rsidTr="00967709">
        <w:trPr>
          <w:trHeight w:val="293"/>
        </w:trPr>
        <w:tc>
          <w:tcPr>
            <w:tcW w:w="1420" w:type="dxa"/>
            <w:tcBorders>
              <w:top w:val="nil"/>
              <w:left w:val="nil"/>
              <w:bottom w:val="single" w:sz="4" w:space="0" w:color="auto"/>
              <w:right w:val="nil"/>
            </w:tcBorders>
            <w:shd w:val="clear" w:color="000000" w:fill="FFFFFF"/>
            <w:noWrap/>
            <w:vAlign w:val="center"/>
            <w:hideMark/>
          </w:tcPr>
          <w:p w14:paraId="06384DE3" w14:textId="77777777" w:rsidR="00C311FE" w:rsidRPr="00D76475" w:rsidRDefault="00C311FE" w:rsidP="00353823">
            <w:pPr>
              <w:spacing w:line="240" w:lineRule="auto"/>
              <w:jc w:val="left"/>
              <w:rPr>
                <w:rFonts w:eastAsia="Times New Roman" w:cs="Calibri"/>
                <w:color w:val="000000"/>
                <w:sz w:val="16"/>
                <w:szCs w:val="16"/>
                <w:lang w:eastAsia="en-GB"/>
              </w:rPr>
            </w:pPr>
            <w:r w:rsidRPr="00D76475">
              <w:rPr>
                <w:rFonts w:eastAsia="Times New Roman" w:cs="Calibri"/>
                <w:color w:val="000000"/>
                <w:sz w:val="16"/>
                <w:szCs w:val="16"/>
                <w:lang w:eastAsia="en-GB"/>
              </w:rPr>
              <w:t>Funding</w:t>
            </w:r>
          </w:p>
        </w:tc>
        <w:tc>
          <w:tcPr>
            <w:tcW w:w="654" w:type="dxa"/>
            <w:tcBorders>
              <w:top w:val="nil"/>
              <w:left w:val="nil"/>
              <w:bottom w:val="single" w:sz="4" w:space="0" w:color="auto"/>
              <w:right w:val="nil"/>
            </w:tcBorders>
            <w:shd w:val="clear" w:color="000000" w:fill="FFFFFF"/>
            <w:noWrap/>
            <w:vAlign w:val="center"/>
            <w:hideMark/>
          </w:tcPr>
          <w:p w14:paraId="39109F1C"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(183.0)</w:t>
            </w:r>
          </w:p>
        </w:tc>
        <w:tc>
          <w:tcPr>
            <w:tcW w:w="654" w:type="dxa"/>
            <w:tcBorders>
              <w:top w:val="nil"/>
              <w:left w:val="nil"/>
              <w:bottom w:val="single" w:sz="4" w:space="0" w:color="auto"/>
              <w:right w:val="nil"/>
            </w:tcBorders>
            <w:shd w:val="clear" w:color="000000" w:fill="FFFFFF"/>
            <w:noWrap/>
            <w:vAlign w:val="center"/>
            <w:hideMark/>
          </w:tcPr>
          <w:p w14:paraId="4DB4BE00"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(185.0)</w:t>
            </w:r>
          </w:p>
        </w:tc>
        <w:tc>
          <w:tcPr>
            <w:tcW w:w="654" w:type="dxa"/>
            <w:tcBorders>
              <w:top w:val="nil"/>
              <w:left w:val="nil"/>
              <w:bottom w:val="single" w:sz="4" w:space="0" w:color="auto"/>
              <w:right w:val="nil"/>
            </w:tcBorders>
            <w:shd w:val="clear" w:color="000000" w:fill="FFFFFF"/>
            <w:noWrap/>
            <w:vAlign w:val="center"/>
            <w:hideMark/>
          </w:tcPr>
          <w:p w14:paraId="29E9F51F"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(189.3)</w:t>
            </w:r>
          </w:p>
        </w:tc>
        <w:tc>
          <w:tcPr>
            <w:tcW w:w="654" w:type="dxa"/>
            <w:tcBorders>
              <w:top w:val="nil"/>
              <w:left w:val="nil"/>
              <w:bottom w:val="single" w:sz="4" w:space="0" w:color="auto"/>
              <w:right w:val="nil"/>
            </w:tcBorders>
            <w:shd w:val="clear" w:color="000000" w:fill="FFFFFF"/>
            <w:noWrap/>
            <w:vAlign w:val="center"/>
            <w:hideMark/>
          </w:tcPr>
          <w:p w14:paraId="0F6D680D"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(193.7)</w:t>
            </w:r>
          </w:p>
        </w:tc>
        <w:tc>
          <w:tcPr>
            <w:tcW w:w="654" w:type="dxa"/>
            <w:tcBorders>
              <w:top w:val="nil"/>
              <w:left w:val="nil"/>
              <w:bottom w:val="single" w:sz="4" w:space="0" w:color="auto"/>
              <w:right w:val="nil"/>
            </w:tcBorders>
            <w:shd w:val="clear" w:color="000000" w:fill="FFFFFF"/>
            <w:noWrap/>
            <w:vAlign w:val="center"/>
            <w:hideMark/>
          </w:tcPr>
          <w:p w14:paraId="733D80A1" w14:textId="77777777" w:rsidR="00C311FE" w:rsidRPr="00D76475" w:rsidRDefault="00C311FE" w:rsidP="00353823">
            <w:pPr>
              <w:spacing w:line="240" w:lineRule="auto"/>
              <w:jc w:val="right"/>
              <w:rPr>
                <w:rFonts w:eastAsia="Times New Roman" w:cs="Calibri"/>
                <w:color w:val="000000"/>
                <w:sz w:val="16"/>
                <w:szCs w:val="16"/>
                <w:lang w:eastAsia="en-GB"/>
              </w:rPr>
            </w:pPr>
            <w:r w:rsidRPr="00D76475">
              <w:rPr>
                <w:rFonts w:eastAsia="Times New Roman" w:cs="Calibri"/>
                <w:color w:val="000000"/>
                <w:sz w:val="16"/>
                <w:szCs w:val="16"/>
                <w:lang w:eastAsia="en-GB"/>
              </w:rPr>
              <w:t>(198.2)</w:t>
            </w:r>
          </w:p>
        </w:tc>
      </w:tr>
      <w:tr w:rsidR="00C311FE" w:rsidRPr="00D76475" w14:paraId="143AA6DD" w14:textId="77777777" w:rsidTr="00967709">
        <w:trPr>
          <w:trHeight w:val="293"/>
        </w:trPr>
        <w:tc>
          <w:tcPr>
            <w:tcW w:w="1420" w:type="dxa"/>
            <w:tcBorders>
              <w:top w:val="single" w:sz="4" w:space="0" w:color="auto"/>
              <w:left w:val="nil"/>
              <w:bottom w:val="single" w:sz="4" w:space="0" w:color="auto"/>
              <w:right w:val="nil"/>
            </w:tcBorders>
            <w:shd w:val="clear" w:color="auto" w:fill="FFFFFF" w:themeFill="background1"/>
            <w:noWrap/>
            <w:vAlign w:val="center"/>
            <w:hideMark/>
          </w:tcPr>
          <w:p w14:paraId="5A227B05" w14:textId="77777777" w:rsidR="00C311FE" w:rsidRPr="00967709" w:rsidRDefault="00C311FE" w:rsidP="00353823">
            <w:pPr>
              <w:spacing w:line="240" w:lineRule="auto"/>
              <w:jc w:val="left"/>
              <w:rPr>
                <w:rFonts w:eastAsia="Times New Roman" w:cs="Calibri"/>
                <w:b/>
                <w:bCs/>
                <w:color w:val="auto"/>
                <w:sz w:val="16"/>
                <w:szCs w:val="16"/>
                <w:lang w:eastAsia="en-GB"/>
              </w:rPr>
            </w:pPr>
            <w:r w:rsidRPr="00967709">
              <w:rPr>
                <w:rFonts w:eastAsia="Times New Roman" w:cs="Calibri"/>
                <w:b/>
                <w:bCs/>
                <w:color w:val="auto"/>
                <w:sz w:val="16"/>
                <w:szCs w:val="16"/>
                <w:lang w:eastAsia="en-GB"/>
              </w:rPr>
              <w:t>Shortfall</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77D64C79" w14:textId="77777777"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7340C01B" w14:textId="6374D14D"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6.</w:t>
            </w:r>
            <w:r w:rsidR="00F83FC9">
              <w:rPr>
                <w:rFonts w:eastAsia="Times New Roman" w:cs="Calibri"/>
                <w:b/>
                <w:bCs/>
                <w:color w:val="auto"/>
                <w:sz w:val="16"/>
                <w:szCs w:val="16"/>
                <w:lang w:eastAsia="en-GB"/>
              </w:rPr>
              <w:t>3</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1616B948" w14:textId="77E2AD3A"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5.</w:t>
            </w:r>
            <w:r w:rsidR="00D92478" w:rsidRPr="00967709">
              <w:rPr>
                <w:rFonts w:eastAsia="Times New Roman" w:cs="Calibri"/>
                <w:b/>
                <w:bCs/>
                <w:color w:val="auto"/>
                <w:sz w:val="16"/>
                <w:szCs w:val="16"/>
                <w:lang w:eastAsia="en-GB"/>
              </w:rPr>
              <w:t>0</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00CEC12C" w14:textId="3716FB02"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4.</w:t>
            </w:r>
            <w:r w:rsidR="00D92478" w:rsidRPr="00967709">
              <w:rPr>
                <w:rFonts w:eastAsia="Times New Roman" w:cs="Calibri"/>
                <w:b/>
                <w:bCs/>
                <w:color w:val="auto"/>
                <w:sz w:val="16"/>
                <w:szCs w:val="16"/>
                <w:lang w:eastAsia="en-GB"/>
              </w:rPr>
              <w:t>1</w:t>
            </w:r>
          </w:p>
        </w:tc>
        <w:tc>
          <w:tcPr>
            <w:tcW w:w="654" w:type="dxa"/>
            <w:tcBorders>
              <w:top w:val="single" w:sz="4" w:space="0" w:color="auto"/>
              <w:left w:val="nil"/>
              <w:bottom w:val="single" w:sz="4" w:space="0" w:color="auto"/>
              <w:right w:val="nil"/>
            </w:tcBorders>
            <w:shd w:val="clear" w:color="auto" w:fill="FFFFFF" w:themeFill="background1"/>
            <w:noWrap/>
            <w:vAlign w:val="center"/>
            <w:hideMark/>
          </w:tcPr>
          <w:p w14:paraId="16D56970" w14:textId="2BA0902F" w:rsidR="00C311FE" w:rsidRPr="00967709" w:rsidRDefault="00C311FE" w:rsidP="00353823">
            <w:pPr>
              <w:spacing w:line="240" w:lineRule="auto"/>
              <w:jc w:val="right"/>
              <w:rPr>
                <w:rFonts w:eastAsia="Times New Roman" w:cs="Calibri"/>
                <w:b/>
                <w:bCs/>
                <w:color w:val="auto"/>
                <w:sz w:val="16"/>
                <w:szCs w:val="16"/>
                <w:lang w:eastAsia="en-GB"/>
              </w:rPr>
            </w:pPr>
            <w:r w:rsidRPr="00967709">
              <w:rPr>
                <w:rFonts w:eastAsia="Times New Roman" w:cs="Calibri"/>
                <w:b/>
                <w:bCs/>
                <w:color w:val="auto"/>
                <w:sz w:val="16"/>
                <w:szCs w:val="16"/>
                <w:lang w:eastAsia="en-GB"/>
              </w:rPr>
              <w:t>3.</w:t>
            </w:r>
            <w:r w:rsidR="00F628D5">
              <w:rPr>
                <w:rFonts w:eastAsia="Times New Roman" w:cs="Calibri"/>
                <w:b/>
                <w:bCs/>
                <w:color w:val="auto"/>
                <w:sz w:val="16"/>
                <w:szCs w:val="16"/>
                <w:lang w:eastAsia="en-GB"/>
              </w:rPr>
              <w:t>4</w:t>
            </w:r>
          </w:p>
        </w:tc>
      </w:tr>
    </w:tbl>
    <w:p w14:paraId="29201B9B" w14:textId="77777777" w:rsidR="00C311FE" w:rsidRPr="00CC44FC" w:rsidRDefault="00C311FE" w:rsidP="00C311FE">
      <w:pPr>
        <w:rPr>
          <w:rFonts w:cs="Arial"/>
          <w:bCs/>
          <w:szCs w:val="20"/>
        </w:rPr>
      </w:pPr>
    </w:p>
    <w:p w14:paraId="4FCFC4B0" w14:textId="77777777" w:rsidR="00C311FE" w:rsidRPr="00CC44FC" w:rsidRDefault="00C311FE" w:rsidP="00C311FE">
      <w:pPr>
        <w:pStyle w:val="VAHeadingLevel2"/>
      </w:pPr>
      <w:r w:rsidRPr="00CC44FC">
        <w:t>Reserves</w:t>
      </w:r>
    </w:p>
    <w:p w14:paraId="70B97F0B" w14:textId="77777777" w:rsidR="00C311FE" w:rsidRPr="00DA47AF" w:rsidRDefault="00C311FE" w:rsidP="00C311FE">
      <w:r w:rsidRPr="00DA47AF">
        <w:t>The Reserves Strategy is reviewed each year as part of the budget and outlines a guideline level for General Reserves of 3% with a minimum level of 2.5%.</w:t>
      </w:r>
      <w:r>
        <w:t xml:space="preserve">  </w:t>
      </w:r>
      <w:r w:rsidRPr="00DA47AF">
        <w:t xml:space="preserve">The PFCC maintains a General Reserve </w:t>
      </w:r>
      <w:r>
        <w:t>in line</w:t>
      </w:r>
      <w:r w:rsidRPr="00DA47AF">
        <w:t xml:space="preserve"> this level</w:t>
      </w:r>
      <w:r>
        <w:t xml:space="preserve">.  </w:t>
      </w:r>
      <w:r w:rsidRPr="00DA47AF">
        <w:t>It is prudent to have such a reserve to enable the organisation to withstand unexpected events which may have financial implications.</w:t>
      </w:r>
    </w:p>
    <w:p w14:paraId="174BCF1F" w14:textId="77777777" w:rsidR="00C311FE" w:rsidRPr="00DA47AF" w:rsidRDefault="00C311FE" w:rsidP="00C311FE">
      <w:pPr>
        <w:rPr>
          <w:rFonts w:asciiTheme="minorHAnsi" w:hAnsiTheme="minorHAnsi" w:cstheme="minorHAnsi"/>
          <w:b/>
        </w:rPr>
      </w:pPr>
    </w:p>
    <w:p w14:paraId="52559122" w14:textId="77777777" w:rsidR="00C311FE" w:rsidRPr="00DA47AF" w:rsidRDefault="00C311FE" w:rsidP="00C311FE">
      <w:pPr>
        <w:rPr>
          <w:rFonts w:asciiTheme="minorHAnsi" w:hAnsiTheme="minorHAnsi" w:cstheme="minorHAnsi"/>
        </w:rPr>
      </w:pPr>
      <w:r w:rsidRPr="00DA47AF">
        <w:rPr>
          <w:rFonts w:asciiTheme="minorHAnsi" w:hAnsiTheme="minorHAnsi" w:cstheme="minorHAnsi"/>
        </w:rPr>
        <w:t xml:space="preserve">In addition to the General Reserve, the PFCC holds a number of earmarked reserves for specified purposes, and these are set out in the Reserves Strategy.  </w:t>
      </w:r>
      <w:r w:rsidRPr="00DA47AF">
        <w:t>The Strategy is then reviewed after the outturn position has been finalised.</w:t>
      </w:r>
    </w:p>
    <w:p w14:paraId="37AD9A05" w14:textId="77777777" w:rsidR="00C311FE" w:rsidRPr="00DA47AF" w:rsidRDefault="00C311FE" w:rsidP="00C311FE"/>
    <w:p w14:paraId="19FA9566" w14:textId="73FA4D1A" w:rsidR="00C311FE" w:rsidRPr="00DA47AF" w:rsidRDefault="00C311FE" w:rsidP="00C311FE">
      <w:bookmarkStart w:id="37" w:name="_Hlk167356525"/>
      <w:r w:rsidRPr="00DB7D82">
        <w:t xml:space="preserve">As per the </w:t>
      </w:r>
      <w:r w:rsidRPr="00184A15">
        <w:t xml:space="preserve">Strategy and including reserves held on behalf of regional units, the level of all cash backed reserves as </w:t>
      </w:r>
      <w:r w:rsidR="00211463">
        <w:t>at</w:t>
      </w:r>
      <w:r w:rsidRPr="00184A15">
        <w:t xml:space="preserve"> 31</w:t>
      </w:r>
      <w:r w:rsidRPr="0040784A">
        <w:rPr>
          <w:vertAlign w:val="superscript"/>
        </w:rPr>
        <w:t>st</w:t>
      </w:r>
      <w:r w:rsidRPr="00184A15">
        <w:t xml:space="preserve"> March 202</w:t>
      </w:r>
      <w:r>
        <w:t>3</w:t>
      </w:r>
      <w:r w:rsidRPr="00184A15">
        <w:t xml:space="preserve"> totalled £</w:t>
      </w:r>
      <w:r>
        <w:t>24.3</w:t>
      </w:r>
      <w:r w:rsidRPr="00184A15">
        <w:t xml:space="preserve">m, </w:t>
      </w:r>
      <w:r>
        <w:t>reduc</w:t>
      </w:r>
      <w:r w:rsidRPr="00D76475">
        <w:t>ing to £2</w:t>
      </w:r>
      <w:r>
        <w:t>3</w:t>
      </w:r>
      <w:r w:rsidRPr="00D76475">
        <w:t>.</w:t>
      </w:r>
      <w:r>
        <w:t>8</w:t>
      </w:r>
      <w:r w:rsidRPr="00D76475">
        <w:t>m at 31</w:t>
      </w:r>
      <w:r w:rsidRPr="0040784A">
        <w:rPr>
          <w:vertAlign w:val="superscript"/>
        </w:rPr>
        <w:t>st</w:t>
      </w:r>
      <w:r w:rsidRPr="00D76475">
        <w:t xml:space="preserve"> March 2024.</w:t>
      </w:r>
    </w:p>
    <w:bookmarkEnd w:id="37"/>
    <w:p w14:paraId="3D422CE4" w14:textId="77777777" w:rsidR="00C311FE" w:rsidRPr="00DD665B" w:rsidRDefault="00C311FE" w:rsidP="00C311FE">
      <w:pPr>
        <w:rPr>
          <w:szCs w:val="20"/>
        </w:rPr>
      </w:pPr>
    </w:p>
    <w:p w14:paraId="2EC10191" w14:textId="77777777" w:rsidR="00C311FE" w:rsidRPr="00DD665B" w:rsidRDefault="00C311FE" w:rsidP="00C311FE">
      <w:pPr>
        <w:pStyle w:val="VAHeadingLevel2"/>
      </w:pPr>
      <w:r w:rsidRPr="00DD665B">
        <w:t>Estates</w:t>
      </w:r>
    </w:p>
    <w:p w14:paraId="3D65F03E" w14:textId="6ED67510" w:rsidR="00C311FE" w:rsidRPr="00DA47AF" w:rsidRDefault="00C311FE" w:rsidP="00C311FE">
      <w:pPr>
        <w:rPr>
          <w:bdr w:val="none" w:sz="0" w:space="0" w:color="auto" w:frame="1"/>
          <w:lang w:eastAsia="en-GB"/>
        </w:rPr>
      </w:pPr>
      <w:bookmarkStart w:id="38" w:name="_Hlk167356717"/>
      <w:r w:rsidRPr="00DA47AF">
        <w:rPr>
          <w:bdr w:val="none" w:sz="0" w:space="0" w:color="auto" w:frame="1"/>
          <w:lang w:eastAsia="en-GB"/>
        </w:rPr>
        <w:t xml:space="preserve">The Police ‘estate’ suffered from years of under-investment </w:t>
      </w:r>
      <w:r w:rsidR="00C118B1">
        <w:rPr>
          <w:bdr w:val="none" w:sz="0" w:space="0" w:color="auto" w:frame="1"/>
          <w:lang w:eastAsia="en-GB"/>
        </w:rPr>
        <w:t>which</w:t>
      </w:r>
      <w:r w:rsidRPr="00DA47AF">
        <w:rPr>
          <w:bdr w:val="none" w:sz="0" w:space="0" w:color="auto" w:frame="1"/>
          <w:lang w:eastAsia="en-GB"/>
        </w:rPr>
        <w:t xml:space="preserve"> has been addressed in the Estates Strategy to provide investment and support the operational delivery.  In March 2020, the PFCC produced a joint Police and Fire Estates Strategy for Northamptonshire to enable the rationalisation of both estates where it makes sense to do so and to ensure any efficiencies can be realised by both services.  </w:t>
      </w:r>
      <w:r>
        <w:rPr>
          <w:bdr w:val="none" w:sz="0" w:space="0" w:color="auto" w:frame="1"/>
          <w:lang w:eastAsia="en-GB"/>
        </w:rPr>
        <w:t>As a result,</w:t>
      </w:r>
      <w:r w:rsidRPr="00DA47AF">
        <w:rPr>
          <w:bdr w:val="none" w:sz="0" w:space="0" w:color="auto" w:frame="1"/>
          <w:lang w:eastAsia="en-GB"/>
        </w:rPr>
        <w:t xml:space="preserve"> the Fire, PFCC and Police joint building in Wellingborough </w:t>
      </w:r>
      <w:r w:rsidRPr="00A306EA">
        <w:rPr>
          <w:bdr w:val="none" w:sz="0" w:space="0" w:color="auto" w:frame="1"/>
          <w:lang w:eastAsia="en-GB"/>
        </w:rPr>
        <w:t>became operational in March 2021.  A new estates masterplan is now underway and sets out the next phases to the joint estates strategy over the long term.  This includes plans for a joint building in Moulton and a joint fleet workshop.</w:t>
      </w:r>
    </w:p>
    <w:bookmarkEnd w:id="38"/>
    <w:p w14:paraId="0ABE48D4" w14:textId="77777777" w:rsidR="00C311FE" w:rsidRPr="005B61BE" w:rsidRDefault="00C311FE" w:rsidP="00C311FE">
      <w:pPr>
        <w:rPr>
          <w:rFonts w:cs="Arial"/>
          <w:iCs/>
          <w:szCs w:val="20"/>
          <w:bdr w:val="none" w:sz="0" w:space="0" w:color="auto" w:frame="1"/>
          <w:lang w:eastAsia="en-GB"/>
        </w:rPr>
      </w:pPr>
    </w:p>
    <w:p w14:paraId="40FC9960" w14:textId="77777777" w:rsidR="00C311FE" w:rsidRPr="005B61BE" w:rsidRDefault="00C311FE" w:rsidP="00C311FE">
      <w:pPr>
        <w:pStyle w:val="VAHeadingLevel2"/>
      </w:pPr>
      <w:r w:rsidRPr="005B61BE">
        <w:t>Collaboration</w:t>
      </w:r>
    </w:p>
    <w:p w14:paraId="3594BFBB" w14:textId="77777777" w:rsidR="00C311FE" w:rsidRPr="005B61BE" w:rsidRDefault="00C311FE" w:rsidP="00C311FE">
      <w:pPr>
        <w:rPr>
          <w:rFonts w:cs="Arial"/>
          <w:szCs w:val="20"/>
        </w:rPr>
      </w:pPr>
      <w:r w:rsidRPr="005B61BE">
        <w:rPr>
          <w:rFonts w:cs="Arial"/>
          <w:szCs w:val="20"/>
        </w:rPr>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268C4A31" w14:textId="77777777" w:rsidR="00C311FE" w:rsidRPr="005B61BE" w:rsidRDefault="00C311FE" w:rsidP="00C311FE">
      <w:pPr>
        <w:rPr>
          <w:rFonts w:cs="Arial"/>
          <w:szCs w:val="20"/>
        </w:rPr>
      </w:pPr>
    </w:p>
    <w:p w14:paraId="6F070ACC" w14:textId="77777777" w:rsidR="00C311FE" w:rsidRPr="005B61BE" w:rsidRDefault="00C311FE" w:rsidP="00C311FE">
      <w:pPr>
        <w:rPr>
          <w:rFonts w:cs="Arial"/>
          <w:szCs w:val="20"/>
        </w:rPr>
      </w:pPr>
      <w:r w:rsidRPr="005B61BE">
        <w:rPr>
          <w:rFonts w:cs="Arial"/>
          <w:szCs w:val="20"/>
        </w:rPr>
        <w:t xml:space="preserve">The collaboration agenda is underpinned by 5 guiding principles: </w:t>
      </w:r>
    </w:p>
    <w:p w14:paraId="7C361B82" w14:textId="500E8FB4" w:rsidR="00C311FE" w:rsidRPr="005B61BE" w:rsidRDefault="00C311FE" w:rsidP="00C311FE">
      <w:pPr>
        <w:pStyle w:val="RedBullet"/>
        <w:ind w:left="714" w:hanging="357"/>
      </w:pPr>
      <w:r w:rsidRPr="005B61BE">
        <w:t>that local policing remains local</w:t>
      </w:r>
      <w:r w:rsidR="00D261AA">
        <w:t>,</w:t>
      </w:r>
    </w:p>
    <w:p w14:paraId="42CA3D8B" w14:textId="2C066373" w:rsidR="00C311FE" w:rsidRPr="005B61BE" w:rsidRDefault="00C311FE" w:rsidP="00C311FE">
      <w:pPr>
        <w:pStyle w:val="RedBullet"/>
        <w:ind w:left="714" w:hanging="357"/>
      </w:pPr>
      <w:r w:rsidRPr="005B61BE">
        <w:t>any collaboration helps deliver more efficient and/or effective policing for Northamptonshire</w:t>
      </w:r>
      <w:r w:rsidR="00CD5B31">
        <w:t>.</w:t>
      </w:r>
      <w:r w:rsidR="00D261AA">
        <w:t>,</w:t>
      </w:r>
    </w:p>
    <w:p w14:paraId="63A7C5F3" w14:textId="0E487DBC" w:rsidR="00C311FE" w:rsidRPr="005B61BE" w:rsidRDefault="00C311FE" w:rsidP="00C311FE">
      <w:pPr>
        <w:pStyle w:val="RedBullet"/>
        <w:ind w:left="714" w:hanging="357"/>
      </w:pPr>
      <w:r w:rsidRPr="005B61BE">
        <w:t>all areas of business are considered</w:t>
      </w:r>
      <w:r w:rsidR="00D261AA">
        <w:t>,</w:t>
      </w:r>
    </w:p>
    <w:p w14:paraId="3661EDEB" w14:textId="0708F459" w:rsidR="00C311FE" w:rsidRPr="005B61BE" w:rsidRDefault="00C311FE" w:rsidP="00C311FE">
      <w:pPr>
        <w:pStyle w:val="RedBullet"/>
        <w:ind w:left="714" w:hanging="357"/>
      </w:pPr>
      <w:r w:rsidRPr="005B61BE">
        <w:t>decisions not to participate in a particular collaboration are reviewed regularly, as circumstances may change</w:t>
      </w:r>
      <w:r w:rsidR="00D261AA">
        <w:t>,</w:t>
      </w:r>
    </w:p>
    <w:p w14:paraId="65F126C3" w14:textId="4E7B2EED" w:rsidR="00C311FE" w:rsidRPr="005B61BE" w:rsidRDefault="00C311FE" w:rsidP="00C311FE">
      <w:pPr>
        <w:pStyle w:val="RedBullet"/>
        <w:ind w:left="714" w:hanging="357"/>
      </w:pPr>
      <w:r w:rsidRPr="005B61BE">
        <w:t>any cost and/or benefits are shared between participating Forces</w:t>
      </w:r>
      <w:r w:rsidR="00CD5B31">
        <w:t>.</w:t>
      </w:r>
    </w:p>
    <w:p w14:paraId="27FB884E" w14:textId="77777777" w:rsidR="00C311FE" w:rsidRPr="007F2679" w:rsidRDefault="00C311FE" w:rsidP="00C311FE">
      <w:pPr>
        <w:rPr>
          <w:b/>
          <w:szCs w:val="20"/>
          <w:highlight w:val="yellow"/>
        </w:rPr>
      </w:pPr>
    </w:p>
    <w:p w14:paraId="77A8D566" w14:textId="77777777" w:rsidR="00C311FE" w:rsidRPr="00806B56" w:rsidRDefault="00C311FE" w:rsidP="00C311FE">
      <w:pPr>
        <w:pStyle w:val="VAHeading"/>
      </w:pPr>
      <w:r w:rsidRPr="007F2679">
        <w:rPr>
          <w:highlight w:val="yellow"/>
        </w:rPr>
        <w:br w:type="column"/>
      </w:r>
      <w:bookmarkStart w:id="39" w:name="_Toc167964119"/>
      <w:r w:rsidRPr="00806B56">
        <w:lastRenderedPageBreak/>
        <w:t>Financial Performance</w:t>
      </w:r>
      <w:bookmarkEnd w:id="39"/>
    </w:p>
    <w:p w14:paraId="230FABAF" w14:textId="77777777" w:rsidR="00C311FE" w:rsidRPr="00806B56" w:rsidRDefault="00C311FE" w:rsidP="00C311FE"/>
    <w:p w14:paraId="2B3A1558" w14:textId="77777777" w:rsidR="00C311FE" w:rsidRPr="00806B56" w:rsidRDefault="00C311FE" w:rsidP="00C311FE">
      <w:pPr>
        <w:pStyle w:val="VAHeadingLevel2"/>
      </w:pPr>
      <w:r w:rsidRPr="00806B56">
        <w:t>The Group Revenue Budget</w:t>
      </w:r>
    </w:p>
    <w:p w14:paraId="6E51905B" w14:textId="77777777" w:rsidR="00C311FE" w:rsidRPr="00806B56" w:rsidRDefault="00C311FE" w:rsidP="00C311FE">
      <w:pPr>
        <w:pStyle w:val="VAHeadingLevel3"/>
      </w:pPr>
    </w:p>
    <w:p w14:paraId="4A1BE686" w14:textId="77777777" w:rsidR="00C311FE" w:rsidRPr="00E035FA" w:rsidRDefault="00C311FE" w:rsidP="00C311FE">
      <w:pPr>
        <w:pStyle w:val="VAHeadingLevel3"/>
      </w:pPr>
      <w:r w:rsidRPr="00E035FA">
        <w:t>Funding</w:t>
      </w:r>
    </w:p>
    <w:p w14:paraId="2B677913" w14:textId="77777777" w:rsidR="00C311FE" w:rsidRPr="00E82FD0" w:rsidRDefault="00C311FE" w:rsidP="00C311FE">
      <w:pPr>
        <w:rPr>
          <w:szCs w:val="20"/>
        </w:rPr>
      </w:pPr>
      <w:bookmarkStart w:id="40" w:name="_Hlk167356790"/>
      <w:r w:rsidRPr="00E82FD0">
        <w:rPr>
          <w:szCs w:val="20"/>
        </w:rPr>
        <w:t>Funding for the Police service is through a combination of government grant and precept (council tax).  In 202</w:t>
      </w:r>
      <w:r>
        <w:rPr>
          <w:szCs w:val="20"/>
        </w:rPr>
        <w:t>3</w:t>
      </w:r>
      <w:r w:rsidRPr="00E82FD0">
        <w:rPr>
          <w:szCs w:val="20"/>
        </w:rPr>
        <w:t>/2</w:t>
      </w:r>
      <w:r>
        <w:rPr>
          <w:szCs w:val="20"/>
        </w:rPr>
        <w:t>4</w:t>
      </w:r>
      <w:r w:rsidRPr="00E82FD0">
        <w:rPr>
          <w:szCs w:val="20"/>
        </w:rPr>
        <w:t xml:space="preserve"> the council tax element was based on a tax base of 25</w:t>
      </w:r>
      <w:r>
        <w:rPr>
          <w:szCs w:val="20"/>
        </w:rPr>
        <w:t>6,340</w:t>
      </w:r>
      <w:r w:rsidRPr="00E82FD0">
        <w:rPr>
          <w:szCs w:val="20"/>
        </w:rPr>
        <w:t xml:space="preserve"> properties at £2</w:t>
      </w:r>
      <w:r>
        <w:rPr>
          <w:szCs w:val="20"/>
        </w:rPr>
        <w:t>93</w:t>
      </w:r>
      <w:r w:rsidRPr="00E82FD0">
        <w:rPr>
          <w:szCs w:val="20"/>
        </w:rPr>
        <w:t>.04 at Band D.  This was an increase of £1</w:t>
      </w:r>
      <w:r>
        <w:rPr>
          <w:szCs w:val="20"/>
        </w:rPr>
        <w:t>5</w:t>
      </w:r>
      <w:r w:rsidRPr="00E82FD0">
        <w:rPr>
          <w:szCs w:val="20"/>
        </w:rPr>
        <w:t xml:space="preserve"> per property compared to 202</w:t>
      </w:r>
      <w:r>
        <w:rPr>
          <w:szCs w:val="20"/>
        </w:rPr>
        <w:t>2</w:t>
      </w:r>
      <w:r w:rsidRPr="00E82FD0">
        <w:rPr>
          <w:szCs w:val="20"/>
        </w:rPr>
        <w:t>/2</w:t>
      </w:r>
      <w:r>
        <w:rPr>
          <w:szCs w:val="20"/>
        </w:rPr>
        <w:t>3</w:t>
      </w:r>
      <w:r w:rsidRPr="00E82FD0">
        <w:rPr>
          <w:szCs w:val="20"/>
        </w:rPr>
        <w:t>.</w:t>
      </w:r>
    </w:p>
    <w:p w14:paraId="3B9C91F0" w14:textId="77777777" w:rsidR="00C311FE" w:rsidRPr="00E82FD0" w:rsidRDefault="00C311FE" w:rsidP="00C311FE">
      <w:pPr>
        <w:rPr>
          <w:szCs w:val="20"/>
        </w:rPr>
      </w:pPr>
    </w:p>
    <w:p w14:paraId="00977B55" w14:textId="77777777" w:rsidR="00C311FE" w:rsidRPr="00E82FD0" w:rsidRDefault="00C311FE" w:rsidP="00C311FE">
      <w:pPr>
        <w:rPr>
          <w:szCs w:val="20"/>
        </w:rPr>
      </w:pPr>
      <w:r w:rsidRPr="00E82FD0">
        <w:rPr>
          <w:szCs w:val="20"/>
        </w:rPr>
        <w:t>A breakdown of this funding and its distribution across the major budget headings is as follows:</w:t>
      </w:r>
    </w:p>
    <w:bookmarkEnd w:id="40"/>
    <w:p w14:paraId="4E6328DF" w14:textId="77777777" w:rsidR="00C311FE" w:rsidRPr="00E82FD0" w:rsidRDefault="00C311FE" w:rsidP="00C311FE">
      <w:pPr>
        <w:rPr>
          <w:szCs w:val="20"/>
        </w:rPr>
      </w:pPr>
    </w:p>
    <w:p w14:paraId="4D23C74F" w14:textId="77777777" w:rsidR="00C311FE" w:rsidRPr="00492BA3" w:rsidRDefault="00C311FE" w:rsidP="00C311FE">
      <w:pPr>
        <w:rPr>
          <w:szCs w:val="20"/>
        </w:rPr>
      </w:pPr>
      <w:r>
        <w:rPr>
          <w:noProof/>
          <w:szCs w:val="20"/>
        </w:rPr>
        <w:drawing>
          <wp:inline distT="0" distB="0" distL="0" distR="0" wp14:anchorId="18B298EB" wp14:editId="0D773494">
            <wp:extent cx="2939419" cy="270869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853" cy="2720153"/>
                    </a:xfrm>
                    <a:prstGeom prst="rect">
                      <a:avLst/>
                    </a:prstGeom>
                    <a:noFill/>
                  </pic:spPr>
                </pic:pic>
              </a:graphicData>
            </a:graphic>
          </wp:inline>
        </w:drawing>
      </w:r>
    </w:p>
    <w:p w14:paraId="70A1EDE6" w14:textId="77777777" w:rsidR="00C311FE" w:rsidRPr="003B6FE3" w:rsidRDefault="00C311FE" w:rsidP="00C311FE">
      <w:pPr>
        <w:rPr>
          <w:szCs w:val="20"/>
        </w:rPr>
      </w:pPr>
      <w:r>
        <w:rPr>
          <w:noProof/>
          <w:szCs w:val="20"/>
        </w:rPr>
        <w:drawing>
          <wp:inline distT="0" distB="0" distL="0" distR="0" wp14:anchorId="426046DC" wp14:editId="3FBB3F46">
            <wp:extent cx="2941952" cy="3096883"/>
            <wp:effectExtent l="0" t="0" r="0" b="889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8023" cy="3113801"/>
                    </a:xfrm>
                    <a:prstGeom prst="rect">
                      <a:avLst/>
                    </a:prstGeom>
                    <a:noFill/>
                  </pic:spPr>
                </pic:pic>
              </a:graphicData>
            </a:graphic>
          </wp:inline>
        </w:drawing>
      </w:r>
    </w:p>
    <w:p w14:paraId="0F308658" w14:textId="77777777" w:rsidR="00C311FE" w:rsidRPr="00C926B0" w:rsidRDefault="00C311FE" w:rsidP="00C311FE">
      <w:pPr>
        <w:rPr>
          <w:sz w:val="18"/>
          <w:szCs w:val="18"/>
        </w:rPr>
      </w:pPr>
      <w:bookmarkStart w:id="41" w:name="_Hlk135119431"/>
      <w:r w:rsidRPr="00C926B0">
        <w:rPr>
          <w:sz w:val="18"/>
          <w:szCs w:val="18"/>
        </w:rPr>
        <w:t>*Subject to rounding</w:t>
      </w:r>
    </w:p>
    <w:p w14:paraId="539EA620" w14:textId="77777777" w:rsidR="00C311FE" w:rsidRPr="00A03569" w:rsidRDefault="00C311FE" w:rsidP="00C311FE">
      <w:bookmarkStart w:id="42" w:name="_Hlk167356872"/>
      <w:bookmarkEnd w:id="41"/>
      <w:r w:rsidRPr="00A03569">
        <w:t>In 202</w:t>
      </w:r>
      <w:r>
        <w:t>3</w:t>
      </w:r>
      <w:r w:rsidRPr="00A03569">
        <w:t>/2</w:t>
      </w:r>
      <w:r>
        <w:t>4</w:t>
      </w:r>
      <w:r w:rsidRPr="00A03569">
        <w:t xml:space="preserve">, the PFCC continued to invest in Northamptonshire Police and by 2024, officer numbers </w:t>
      </w:r>
      <w:r>
        <w:t xml:space="preserve">had </w:t>
      </w:r>
      <w:r w:rsidRPr="00A03569">
        <w:t>increased to over 1,501</w:t>
      </w:r>
      <w:r>
        <w:t>, which is the most the force has ever had.</w:t>
      </w:r>
    </w:p>
    <w:p w14:paraId="0857F065" w14:textId="77777777" w:rsidR="00C311FE" w:rsidRPr="00A03569" w:rsidRDefault="00C311FE" w:rsidP="00C311FE"/>
    <w:p w14:paraId="30AE1335" w14:textId="77777777" w:rsidR="00C311FE" w:rsidRPr="00A03569" w:rsidRDefault="00C311FE" w:rsidP="00C311FE">
      <w:r w:rsidRPr="00A03569">
        <w:t xml:space="preserve">In addition to </w:t>
      </w:r>
      <w:r>
        <w:t xml:space="preserve">funding of </w:t>
      </w:r>
      <w:r w:rsidRPr="00A03569">
        <w:t>officer</w:t>
      </w:r>
      <w:r>
        <w:t xml:space="preserve"> uplift</w:t>
      </w:r>
      <w:r w:rsidRPr="00A03569">
        <w:t>, the 202</w:t>
      </w:r>
      <w:r>
        <w:t>3</w:t>
      </w:r>
      <w:r w:rsidRPr="00A03569">
        <w:t>/2</w:t>
      </w:r>
      <w:r>
        <w:t>4</w:t>
      </w:r>
      <w:r w:rsidRPr="00A03569">
        <w:t xml:space="preserve"> budget included ring-fencing the sum of almost £1m for the Chief Constable to support</w:t>
      </w:r>
      <w:r>
        <w:t xml:space="preserve"> new</w:t>
      </w:r>
      <w:r w:rsidRPr="00A03569">
        <w:t xml:space="preserve"> </w:t>
      </w:r>
      <w:r>
        <w:t xml:space="preserve">areas of </w:t>
      </w:r>
      <w:r w:rsidRPr="00A03569">
        <w:t>investment.</w:t>
      </w:r>
    </w:p>
    <w:p w14:paraId="21239ACB" w14:textId="77777777" w:rsidR="00C311FE" w:rsidRPr="005057AC" w:rsidRDefault="00C311FE" w:rsidP="00C311FE">
      <w:pPr>
        <w:pStyle w:val="RedBullet"/>
        <w:numPr>
          <w:ilvl w:val="0"/>
          <w:numId w:val="0"/>
        </w:numPr>
        <w:ind w:left="720"/>
        <w:rPr>
          <w:rFonts w:eastAsiaTheme="minorEastAsia"/>
          <w:highlight w:val="yellow"/>
        </w:rPr>
      </w:pPr>
    </w:p>
    <w:p w14:paraId="6DF61C9C" w14:textId="77777777" w:rsidR="00C311FE" w:rsidRPr="00323B38" w:rsidRDefault="00C311FE" w:rsidP="00C311FE">
      <w:r w:rsidRPr="00323B38">
        <w:t>Within the OPFCC Commissioning and Delivery Budget, the PFCC has provided additional investment into Early Intervention and Youth Work teams in 202</w:t>
      </w:r>
      <w:r>
        <w:t>3</w:t>
      </w:r>
      <w:r w:rsidRPr="00323B38">
        <w:t>/2</w:t>
      </w:r>
      <w:r>
        <w:t>4</w:t>
      </w:r>
      <w:r w:rsidRPr="00323B38">
        <w:t xml:space="preserve"> and will continue to support and embed the investments made in previous years, which includes to: </w:t>
      </w:r>
    </w:p>
    <w:p w14:paraId="15B475B9" w14:textId="66C40925" w:rsidR="00C311FE" w:rsidRPr="00323B38" w:rsidRDefault="00C311FE" w:rsidP="0059684C">
      <w:pPr>
        <w:pStyle w:val="RedBullet"/>
      </w:pPr>
      <w:r w:rsidRPr="0059684C">
        <w:t>Prioritise</w:t>
      </w:r>
      <w:r w:rsidRPr="00323B38">
        <w:t xml:space="preserve"> work to support victims and the vulnerable</w:t>
      </w:r>
      <w:r w:rsidR="00CD5B31">
        <w:t>.</w:t>
      </w:r>
    </w:p>
    <w:p w14:paraId="47150729" w14:textId="099FC27C" w:rsidR="00C311FE" w:rsidRPr="00323B38" w:rsidRDefault="00C311FE" w:rsidP="00C311FE">
      <w:pPr>
        <w:pStyle w:val="RedBullet"/>
        <w:ind w:left="714" w:hanging="357"/>
        <w:rPr>
          <w:rFonts w:cstheme="minorHAnsi"/>
        </w:rPr>
      </w:pPr>
      <w:r w:rsidRPr="00323B38">
        <w:rPr>
          <w:rFonts w:cstheme="minorHAnsi"/>
        </w:rPr>
        <w:t>Take forward initiatives to reduce domestic violence</w:t>
      </w:r>
      <w:r w:rsidR="00CD5B31">
        <w:rPr>
          <w:rFonts w:cstheme="minorHAnsi"/>
        </w:rPr>
        <w:t>.</w:t>
      </w:r>
    </w:p>
    <w:p w14:paraId="0CC07847" w14:textId="50F4D40E" w:rsidR="00C311FE" w:rsidRPr="00323B38" w:rsidRDefault="00C311FE" w:rsidP="00C311FE">
      <w:pPr>
        <w:pStyle w:val="RedBullet"/>
        <w:ind w:left="714" w:hanging="357"/>
        <w:rPr>
          <w:rFonts w:cstheme="minorHAnsi"/>
        </w:rPr>
      </w:pPr>
      <w:r w:rsidRPr="00323B38">
        <w:rPr>
          <w:rFonts w:cstheme="minorHAnsi"/>
        </w:rPr>
        <w:t>Work with partners to take forward initiatives to reduce re-offending</w:t>
      </w:r>
      <w:r w:rsidR="00CD5B31">
        <w:rPr>
          <w:rFonts w:cstheme="minorHAnsi"/>
        </w:rPr>
        <w:t>.</w:t>
      </w:r>
    </w:p>
    <w:p w14:paraId="4ED3011A" w14:textId="5B780217" w:rsidR="00C311FE" w:rsidRPr="00323B38" w:rsidRDefault="00C311FE" w:rsidP="00C311FE">
      <w:pPr>
        <w:pStyle w:val="RedBullet"/>
        <w:ind w:left="714" w:hanging="357"/>
        <w:rPr>
          <w:rFonts w:cstheme="minorHAnsi"/>
        </w:rPr>
      </w:pPr>
      <w:r w:rsidRPr="00323B38">
        <w:rPr>
          <w:rFonts w:cstheme="minorHAnsi"/>
        </w:rPr>
        <w:t>With increased investment to continue to prioritise Early Intervention and engagement work</w:t>
      </w:r>
      <w:r w:rsidR="00CD5B31">
        <w:rPr>
          <w:rFonts w:cstheme="minorHAnsi"/>
        </w:rPr>
        <w:t>.</w:t>
      </w:r>
    </w:p>
    <w:p w14:paraId="0FDE1CF6" w14:textId="25F50080" w:rsidR="00C311FE" w:rsidRPr="00323B38" w:rsidRDefault="00C311FE" w:rsidP="00C311FE">
      <w:pPr>
        <w:pStyle w:val="RedBullet"/>
        <w:ind w:left="714" w:hanging="357"/>
        <w:rPr>
          <w:rFonts w:cstheme="minorHAnsi"/>
        </w:rPr>
      </w:pPr>
      <w:r w:rsidRPr="00323B38">
        <w:rPr>
          <w:rFonts w:cstheme="minorHAnsi"/>
        </w:rPr>
        <w:t>With the increased investment to continue to prioritise targeted Youth Intervention and engagement work, including increasing capacity in neighbourhoods</w:t>
      </w:r>
      <w:r w:rsidR="00CD5B31">
        <w:rPr>
          <w:rFonts w:cstheme="minorHAnsi"/>
        </w:rPr>
        <w:t>.</w:t>
      </w:r>
    </w:p>
    <w:p w14:paraId="5709CD07" w14:textId="5B5F8C7A" w:rsidR="00C311FE" w:rsidRPr="00323B38" w:rsidRDefault="00C311FE" w:rsidP="00C311FE">
      <w:pPr>
        <w:pStyle w:val="RedBullet"/>
        <w:ind w:left="714" w:hanging="357"/>
        <w:rPr>
          <w:rFonts w:cstheme="minorHAnsi"/>
        </w:rPr>
      </w:pPr>
      <w:r w:rsidRPr="00323B38">
        <w:rPr>
          <w:rFonts w:cstheme="minorHAnsi"/>
        </w:rPr>
        <w:t>Continue to take forward work on crime prevention</w:t>
      </w:r>
      <w:r w:rsidR="00CD5B31">
        <w:rPr>
          <w:rFonts w:cstheme="minorHAnsi"/>
        </w:rPr>
        <w:t>.</w:t>
      </w:r>
    </w:p>
    <w:p w14:paraId="2E0B6035" w14:textId="77777777" w:rsidR="00C311FE" w:rsidRPr="00323B38" w:rsidRDefault="00C311FE" w:rsidP="00C311FE">
      <w:pPr>
        <w:pStyle w:val="RedBullet"/>
        <w:ind w:left="714" w:hanging="357"/>
      </w:pPr>
      <w:r w:rsidRPr="00323B38">
        <w:t>Continue to take forward work with the Road Safety Alliance, including the conclusion of the roll out of automatic number plate recognition (ANPR) cameras and other initiatives.</w:t>
      </w:r>
    </w:p>
    <w:p w14:paraId="0576A2DB" w14:textId="77777777" w:rsidR="00C311FE" w:rsidRPr="00323B38" w:rsidRDefault="00C311FE" w:rsidP="00C311FE">
      <w:pPr>
        <w:pStyle w:val="RedBullet"/>
        <w:numPr>
          <w:ilvl w:val="0"/>
          <w:numId w:val="0"/>
        </w:numPr>
        <w:ind w:left="720" w:hanging="360"/>
      </w:pPr>
    </w:p>
    <w:p w14:paraId="78F81ABE" w14:textId="207921D6" w:rsidR="00C311FE" w:rsidRPr="00CB7A1B" w:rsidRDefault="00C311FE" w:rsidP="00C311FE">
      <w:pPr>
        <w:rPr>
          <w:rFonts w:cs="Arial"/>
          <w:szCs w:val="20"/>
        </w:rPr>
      </w:pPr>
      <w:r w:rsidRPr="00323B38">
        <w:t>Rigorous budgetary control arrangements are in place together with a devolved system of budgetary control, which ensured resources were allocated to priorities as required.  Monthly control reports on budgetary performance for the group are considered.</w:t>
      </w:r>
      <w:bookmarkEnd w:id="42"/>
    </w:p>
    <w:p w14:paraId="4A1A4FAE" w14:textId="75C15A09" w:rsidR="00967709" w:rsidRDefault="00C311FE" w:rsidP="00C311FE">
      <w:pPr>
        <w:pStyle w:val="VAHeadingLevel2"/>
      </w:pPr>
      <w:r>
        <w:br w:type="column"/>
      </w:r>
      <w:r w:rsidR="00967709">
        <w:lastRenderedPageBreak/>
        <w:t>Group Revenue Outturn</w:t>
      </w:r>
    </w:p>
    <w:p w14:paraId="1A48C393" w14:textId="77777777" w:rsidR="0059684C" w:rsidRDefault="0059684C" w:rsidP="0059684C"/>
    <w:p w14:paraId="68F73E53" w14:textId="7483B11F" w:rsidR="0059684C" w:rsidRDefault="0059684C" w:rsidP="0059684C">
      <w:r>
        <w:t>The total budget envelope for the OPFCC Group, including the OCC in 2023/24 was £168.6m.  The provisional year-end outturn is as follows:</w:t>
      </w:r>
    </w:p>
    <w:p w14:paraId="3CC446CB" w14:textId="77777777" w:rsidR="00CD5B31" w:rsidRDefault="00CD5B31" w:rsidP="0059684C"/>
    <w:tbl>
      <w:tblPr>
        <w:tblW w:w="4360" w:type="dxa"/>
        <w:tblLook w:val="04A0" w:firstRow="1" w:lastRow="0" w:firstColumn="1" w:lastColumn="0" w:noHBand="0" w:noVBand="1"/>
      </w:tblPr>
      <w:tblGrid>
        <w:gridCol w:w="3416"/>
        <w:gridCol w:w="944"/>
      </w:tblGrid>
      <w:tr w:rsidR="00967709" w:rsidRPr="00967709" w14:paraId="10902AC2" w14:textId="77777777" w:rsidTr="0059684C">
        <w:trPr>
          <w:trHeight w:val="510"/>
        </w:trPr>
        <w:tc>
          <w:tcPr>
            <w:tcW w:w="3416" w:type="dxa"/>
            <w:tcBorders>
              <w:top w:val="nil"/>
              <w:left w:val="nil"/>
              <w:bottom w:val="nil"/>
              <w:right w:val="nil"/>
            </w:tcBorders>
            <w:shd w:val="clear" w:color="auto" w:fill="000099"/>
            <w:noWrap/>
            <w:vAlign w:val="center"/>
            <w:hideMark/>
          </w:tcPr>
          <w:p w14:paraId="31755E05" w14:textId="77777777" w:rsidR="00967709" w:rsidRPr="00967709" w:rsidRDefault="00967709" w:rsidP="00967709">
            <w:pPr>
              <w:spacing w:line="240" w:lineRule="auto"/>
              <w:jc w:val="left"/>
              <w:rPr>
                <w:rFonts w:eastAsia="Times New Roman" w:cs="Calibri"/>
                <w:b/>
                <w:bCs/>
                <w:color w:val="FFFFFF"/>
                <w:szCs w:val="20"/>
                <w:lang w:eastAsia="en-GB"/>
              </w:rPr>
            </w:pPr>
            <w:r w:rsidRPr="00967709">
              <w:rPr>
                <w:rFonts w:eastAsia="Times New Roman" w:cs="Calibri"/>
                <w:b/>
                <w:bCs/>
                <w:color w:val="FFFFFF"/>
                <w:szCs w:val="20"/>
                <w:lang w:eastAsia="en-GB"/>
              </w:rPr>
              <w:t>2023/24 Group Budget</w:t>
            </w:r>
          </w:p>
        </w:tc>
        <w:tc>
          <w:tcPr>
            <w:tcW w:w="944" w:type="dxa"/>
            <w:tcBorders>
              <w:top w:val="nil"/>
              <w:left w:val="nil"/>
              <w:bottom w:val="nil"/>
              <w:right w:val="nil"/>
            </w:tcBorders>
            <w:shd w:val="clear" w:color="auto" w:fill="000099"/>
            <w:vAlign w:val="center"/>
            <w:hideMark/>
          </w:tcPr>
          <w:p w14:paraId="7EA4BA68" w14:textId="77777777" w:rsidR="00967709" w:rsidRPr="00967709" w:rsidRDefault="00967709" w:rsidP="00967709">
            <w:pPr>
              <w:spacing w:line="240" w:lineRule="auto"/>
              <w:jc w:val="center"/>
              <w:rPr>
                <w:rFonts w:eastAsia="Times New Roman" w:cs="Calibri"/>
                <w:b/>
                <w:bCs/>
                <w:color w:val="FFFFFF"/>
                <w:szCs w:val="20"/>
                <w:lang w:eastAsia="en-GB"/>
              </w:rPr>
            </w:pPr>
            <w:r w:rsidRPr="00967709">
              <w:rPr>
                <w:rFonts w:eastAsia="Times New Roman" w:cs="Calibri"/>
                <w:b/>
                <w:bCs/>
                <w:color w:val="FFFFFF"/>
                <w:szCs w:val="20"/>
                <w:lang w:eastAsia="en-GB"/>
              </w:rPr>
              <w:t>Variance</w:t>
            </w:r>
            <w:r w:rsidRPr="00967709">
              <w:rPr>
                <w:rFonts w:eastAsia="Times New Roman" w:cs="Calibri"/>
                <w:b/>
                <w:bCs/>
                <w:color w:val="FFFFFF"/>
                <w:szCs w:val="20"/>
                <w:lang w:eastAsia="en-GB"/>
              </w:rPr>
              <w:br/>
              <w:t>£m</w:t>
            </w:r>
          </w:p>
        </w:tc>
      </w:tr>
      <w:tr w:rsidR="00967709" w:rsidRPr="00967709" w14:paraId="06F67B07" w14:textId="77777777" w:rsidTr="000B79EC">
        <w:trPr>
          <w:trHeight w:val="315"/>
        </w:trPr>
        <w:tc>
          <w:tcPr>
            <w:tcW w:w="3416" w:type="dxa"/>
            <w:tcBorders>
              <w:top w:val="nil"/>
              <w:left w:val="nil"/>
              <w:bottom w:val="nil"/>
              <w:right w:val="nil"/>
            </w:tcBorders>
            <w:shd w:val="clear" w:color="000000" w:fill="FFFFFF"/>
            <w:noWrap/>
            <w:vAlign w:val="center"/>
            <w:hideMark/>
          </w:tcPr>
          <w:p w14:paraId="05C51B70"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Chief Constable</w:t>
            </w:r>
          </w:p>
        </w:tc>
        <w:tc>
          <w:tcPr>
            <w:tcW w:w="944" w:type="dxa"/>
            <w:tcBorders>
              <w:top w:val="nil"/>
              <w:left w:val="nil"/>
              <w:bottom w:val="nil"/>
              <w:right w:val="nil"/>
            </w:tcBorders>
            <w:shd w:val="clear" w:color="auto" w:fill="CCECFF"/>
            <w:noWrap/>
            <w:vAlign w:val="center"/>
            <w:hideMark/>
          </w:tcPr>
          <w:p w14:paraId="75BA4BAF"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(0.759)</w:t>
            </w:r>
          </w:p>
        </w:tc>
      </w:tr>
      <w:tr w:rsidR="00967709" w:rsidRPr="00967709" w14:paraId="3895DF76" w14:textId="77777777" w:rsidTr="000B79EC">
        <w:trPr>
          <w:trHeight w:val="315"/>
        </w:trPr>
        <w:tc>
          <w:tcPr>
            <w:tcW w:w="3416" w:type="dxa"/>
            <w:tcBorders>
              <w:top w:val="nil"/>
              <w:left w:val="nil"/>
              <w:bottom w:val="nil"/>
              <w:right w:val="nil"/>
            </w:tcBorders>
            <w:shd w:val="clear" w:color="000000" w:fill="FFFFFF"/>
            <w:noWrap/>
            <w:vAlign w:val="center"/>
            <w:hideMark/>
          </w:tcPr>
          <w:p w14:paraId="38DA7829"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auto" w:fill="CCECFF"/>
            <w:noWrap/>
            <w:vAlign w:val="center"/>
            <w:hideMark/>
          </w:tcPr>
          <w:p w14:paraId="304094B6"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(0.302)</w:t>
            </w:r>
          </w:p>
        </w:tc>
      </w:tr>
      <w:tr w:rsidR="00967709" w:rsidRPr="00967709" w14:paraId="243E4B39" w14:textId="77777777" w:rsidTr="000B79EC">
        <w:trPr>
          <w:trHeight w:val="315"/>
        </w:trPr>
        <w:tc>
          <w:tcPr>
            <w:tcW w:w="3416" w:type="dxa"/>
            <w:tcBorders>
              <w:top w:val="nil"/>
              <w:left w:val="nil"/>
              <w:bottom w:val="nil"/>
              <w:right w:val="nil"/>
            </w:tcBorders>
            <w:shd w:val="clear" w:color="auto" w:fill="auto"/>
            <w:noWrap/>
            <w:vAlign w:val="bottom"/>
            <w:hideMark/>
          </w:tcPr>
          <w:p w14:paraId="68AA876F" w14:textId="77777777" w:rsidR="00967709" w:rsidRPr="00967709" w:rsidRDefault="00967709" w:rsidP="00967709">
            <w:pPr>
              <w:spacing w:line="240" w:lineRule="auto"/>
              <w:jc w:val="left"/>
              <w:rPr>
                <w:rFonts w:eastAsia="Times New Roman" w:cs="Calibri"/>
                <w:color w:val="000000"/>
                <w:szCs w:val="20"/>
                <w:lang w:eastAsia="en-GB"/>
              </w:rPr>
            </w:pPr>
            <w:r w:rsidRPr="00967709">
              <w:rPr>
                <w:rFonts w:eastAsia="Times New Roman" w:cs="Calibri"/>
                <w:color w:val="000000"/>
                <w:szCs w:val="20"/>
                <w:lang w:eastAsia="en-GB"/>
              </w:rPr>
              <w:t>Core Funding</w:t>
            </w:r>
          </w:p>
        </w:tc>
        <w:tc>
          <w:tcPr>
            <w:tcW w:w="944" w:type="dxa"/>
            <w:tcBorders>
              <w:top w:val="nil"/>
              <w:left w:val="nil"/>
              <w:bottom w:val="nil"/>
              <w:right w:val="nil"/>
            </w:tcBorders>
            <w:shd w:val="clear" w:color="auto" w:fill="CCECFF"/>
            <w:noWrap/>
            <w:vAlign w:val="center"/>
            <w:hideMark/>
          </w:tcPr>
          <w:p w14:paraId="711A97CB" w14:textId="77777777" w:rsidR="00967709" w:rsidRPr="00967709" w:rsidRDefault="00967709" w:rsidP="00967709">
            <w:pPr>
              <w:spacing w:line="240" w:lineRule="auto"/>
              <w:jc w:val="right"/>
              <w:rPr>
                <w:rFonts w:eastAsia="Times New Roman" w:cs="Calibri"/>
                <w:color w:val="000000"/>
                <w:szCs w:val="20"/>
                <w:lang w:eastAsia="en-GB"/>
              </w:rPr>
            </w:pPr>
            <w:r w:rsidRPr="00967709">
              <w:rPr>
                <w:rFonts w:eastAsia="Times New Roman" w:cs="Calibri"/>
                <w:color w:val="000000"/>
                <w:szCs w:val="20"/>
                <w:lang w:eastAsia="en-GB"/>
              </w:rPr>
              <w:t>(0.023)</w:t>
            </w:r>
          </w:p>
        </w:tc>
      </w:tr>
      <w:tr w:rsidR="00967709" w:rsidRPr="00967709" w14:paraId="4D1951E7" w14:textId="77777777" w:rsidTr="000B79EC">
        <w:trPr>
          <w:trHeight w:val="315"/>
        </w:trPr>
        <w:tc>
          <w:tcPr>
            <w:tcW w:w="3416" w:type="dxa"/>
            <w:tcBorders>
              <w:top w:val="single" w:sz="4" w:space="0" w:color="auto"/>
              <w:left w:val="nil"/>
              <w:bottom w:val="single" w:sz="4" w:space="0" w:color="auto"/>
              <w:right w:val="nil"/>
            </w:tcBorders>
            <w:shd w:val="clear" w:color="000000" w:fill="FFFFFF"/>
            <w:noWrap/>
            <w:vAlign w:val="center"/>
            <w:hideMark/>
          </w:tcPr>
          <w:p w14:paraId="04D88295" w14:textId="77777777" w:rsidR="00967709" w:rsidRPr="00967709" w:rsidRDefault="00967709" w:rsidP="00967709">
            <w:pPr>
              <w:spacing w:line="240" w:lineRule="auto"/>
              <w:jc w:val="left"/>
              <w:rPr>
                <w:rFonts w:eastAsia="Times New Roman" w:cs="Calibri"/>
                <w:b/>
                <w:bCs/>
                <w:color w:val="auto"/>
                <w:szCs w:val="20"/>
                <w:lang w:eastAsia="en-GB"/>
              </w:rPr>
            </w:pPr>
            <w:r w:rsidRPr="00967709">
              <w:rPr>
                <w:rFonts w:eastAsia="Times New Roman" w:cs="Calibri"/>
                <w:b/>
                <w:bCs/>
                <w:color w:val="auto"/>
                <w:szCs w:val="20"/>
                <w:lang w:eastAsia="en-GB"/>
              </w:rPr>
              <w:t>Over/(Under)</w:t>
            </w:r>
          </w:p>
        </w:tc>
        <w:tc>
          <w:tcPr>
            <w:tcW w:w="944" w:type="dxa"/>
            <w:tcBorders>
              <w:top w:val="single" w:sz="4" w:space="0" w:color="auto"/>
              <w:left w:val="nil"/>
              <w:bottom w:val="single" w:sz="4" w:space="0" w:color="auto"/>
              <w:right w:val="nil"/>
            </w:tcBorders>
            <w:shd w:val="clear" w:color="auto" w:fill="CCECFF"/>
            <w:noWrap/>
            <w:vAlign w:val="center"/>
            <w:hideMark/>
          </w:tcPr>
          <w:p w14:paraId="01163C70" w14:textId="77777777" w:rsidR="00967709" w:rsidRPr="00967709" w:rsidRDefault="00967709" w:rsidP="00967709">
            <w:pPr>
              <w:spacing w:line="240" w:lineRule="auto"/>
              <w:jc w:val="right"/>
              <w:rPr>
                <w:rFonts w:eastAsia="Times New Roman" w:cs="Calibri"/>
                <w:b/>
                <w:bCs/>
                <w:color w:val="auto"/>
                <w:szCs w:val="20"/>
                <w:lang w:eastAsia="en-GB"/>
              </w:rPr>
            </w:pPr>
            <w:r w:rsidRPr="00967709">
              <w:rPr>
                <w:rFonts w:eastAsia="Times New Roman" w:cs="Calibri"/>
                <w:b/>
                <w:bCs/>
                <w:color w:val="auto"/>
                <w:szCs w:val="20"/>
                <w:lang w:eastAsia="en-GB"/>
              </w:rPr>
              <w:t>(1.084)</w:t>
            </w:r>
          </w:p>
        </w:tc>
      </w:tr>
    </w:tbl>
    <w:p w14:paraId="4995B8D4" w14:textId="77777777" w:rsidR="00967709" w:rsidRPr="0043308A" w:rsidRDefault="00967709" w:rsidP="00C311FE">
      <w:pPr>
        <w:pStyle w:val="VAHeadingLevel2"/>
        <w:rPr>
          <w:sz w:val="20"/>
          <w:szCs w:val="20"/>
        </w:rPr>
      </w:pPr>
    </w:p>
    <w:p w14:paraId="6126DCC3" w14:textId="0FE0755C" w:rsidR="00C311FE" w:rsidRPr="00CB7A1B" w:rsidRDefault="00C311FE" w:rsidP="00C311FE">
      <w:pPr>
        <w:pStyle w:val="VAHeadingLevel2"/>
      </w:pPr>
      <w:r w:rsidRPr="00CB7A1B">
        <w:t>Budget Outturn of the Chief Constable</w:t>
      </w:r>
    </w:p>
    <w:p w14:paraId="2AF01ADA" w14:textId="77777777" w:rsidR="00C311FE" w:rsidRPr="00CB7A1B" w:rsidRDefault="00C311FE" w:rsidP="00C311FE">
      <w:pPr>
        <w:rPr>
          <w:rFonts w:cs="Arial"/>
          <w:szCs w:val="20"/>
        </w:rPr>
      </w:pPr>
    </w:p>
    <w:p w14:paraId="5842FA41" w14:textId="73CB0791" w:rsidR="00C311FE" w:rsidRPr="0059684C" w:rsidRDefault="00C311FE" w:rsidP="00C311FE">
      <w:pPr>
        <w:rPr>
          <w:rFonts w:cs="Arial"/>
          <w:szCs w:val="20"/>
        </w:rPr>
      </w:pPr>
      <w:r w:rsidRPr="00A03569">
        <w:rPr>
          <w:rFonts w:cs="Arial"/>
          <w:szCs w:val="20"/>
        </w:rPr>
        <w:t>The PFCC allocated £</w:t>
      </w:r>
      <w:r>
        <w:rPr>
          <w:rFonts w:cs="Arial"/>
          <w:szCs w:val="20"/>
        </w:rPr>
        <w:t>160.589</w:t>
      </w:r>
      <w:r w:rsidRPr="00A03569">
        <w:rPr>
          <w:rFonts w:cs="Arial"/>
          <w:szCs w:val="20"/>
        </w:rPr>
        <w:t>m for the Chief Constable</w:t>
      </w:r>
      <w:r>
        <w:rPr>
          <w:rFonts w:cs="Arial"/>
          <w:szCs w:val="20"/>
        </w:rPr>
        <w:t xml:space="preserve">, plus £0.946m for investments.  </w:t>
      </w:r>
      <w:r w:rsidR="0059684C">
        <w:rPr>
          <w:rFonts w:cs="Arial"/>
          <w:szCs w:val="20"/>
        </w:rPr>
        <w:t>A cashable efficiency savings target of</w:t>
      </w:r>
      <w:r>
        <w:rPr>
          <w:rFonts w:cs="Arial"/>
          <w:szCs w:val="20"/>
        </w:rPr>
        <w:t xml:space="preserve"> £0.</w:t>
      </w:r>
      <w:r w:rsidRPr="0059684C">
        <w:rPr>
          <w:rFonts w:cs="Arial"/>
          <w:szCs w:val="20"/>
        </w:rPr>
        <w:t xml:space="preserve">500m </w:t>
      </w:r>
      <w:r w:rsidR="0059684C" w:rsidRPr="0059684C">
        <w:rPr>
          <w:rFonts w:cs="Arial"/>
          <w:szCs w:val="20"/>
        </w:rPr>
        <w:t>was set for the year.</w:t>
      </w:r>
    </w:p>
    <w:p w14:paraId="1C878062" w14:textId="77777777" w:rsidR="00C311FE" w:rsidRPr="0059684C" w:rsidRDefault="00C311FE" w:rsidP="00C311FE">
      <w:pPr>
        <w:rPr>
          <w:noProof/>
          <w:lang w:eastAsia="en-GB"/>
        </w:rPr>
      </w:pPr>
    </w:p>
    <w:p w14:paraId="3D189AEA" w14:textId="77777777" w:rsidR="00CD5B31" w:rsidRDefault="0059684C" w:rsidP="00C311FE">
      <w:pPr>
        <w:rPr>
          <w:noProof/>
        </w:rPr>
      </w:pPr>
      <w:r w:rsidRPr="0059684C">
        <w:rPr>
          <w:noProof/>
        </w:rPr>
        <w:t xml:space="preserve">The Chief Constable underspent by £0.759m.  </w:t>
      </w:r>
    </w:p>
    <w:p w14:paraId="1DE19EB3" w14:textId="77777777" w:rsidR="00CD5B31" w:rsidRDefault="00CD5B31" w:rsidP="00C311FE">
      <w:pPr>
        <w:rPr>
          <w:noProof/>
        </w:rPr>
      </w:pPr>
    </w:p>
    <w:p w14:paraId="1554F13E" w14:textId="73FBCC82" w:rsidR="00C311FE" w:rsidRPr="0059684C" w:rsidRDefault="0059684C" w:rsidP="00C311FE">
      <w:pPr>
        <w:rPr>
          <w:rFonts w:cs="Arial"/>
          <w:szCs w:val="20"/>
        </w:rPr>
      </w:pPr>
      <w:r w:rsidRPr="0059684C">
        <w:rPr>
          <w:noProof/>
        </w:rPr>
        <w:t>Key variances include:</w:t>
      </w:r>
    </w:p>
    <w:p w14:paraId="76B78F7E" w14:textId="77777777" w:rsidR="00C311FE" w:rsidRPr="0059684C" w:rsidRDefault="00C311FE" w:rsidP="00C311FE">
      <w:pPr>
        <w:rPr>
          <w:rFonts w:cs="Arial"/>
          <w:szCs w:val="20"/>
        </w:rPr>
      </w:pPr>
    </w:p>
    <w:p w14:paraId="7B08C8E9" w14:textId="77777777" w:rsidR="00C311FE" w:rsidRPr="0059684C" w:rsidRDefault="00C311FE" w:rsidP="00C311FE">
      <w:pPr>
        <w:pStyle w:val="VAHeadingLevel3"/>
      </w:pPr>
      <w:r w:rsidRPr="0059684C">
        <w:t>Pay and Pensions</w:t>
      </w:r>
    </w:p>
    <w:p w14:paraId="28EBF5A8" w14:textId="5793823D" w:rsidR="0059684C" w:rsidRDefault="0059684C" w:rsidP="0059684C">
      <w:bookmarkStart w:id="43" w:name="_Hlk135046478"/>
      <w:r w:rsidRPr="0059684C">
        <w:t>There was a net underspend</w:t>
      </w:r>
      <w:r w:rsidRPr="00AE2077">
        <w:t xml:space="preserve"> on Police Officer pay of £0.32</w:t>
      </w:r>
      <w:r>
        <w:t>0</w:t>
      </w:r>
      <w:r w:rsidRPr="00AE2077">
        <w:t xml:space="preserve">m which was the result of officer attrition early on in the year, along with additional income for officers posted to regional units.  Recruitment activity was able </w:t>
      </w:r>
      <w:r w:rsidRPr="00AE2077">
        <w:t>to be adjusted to ensure uplift targets were still exceeded.</w:t>
      </w:r>
    </w:p>
    <w:p w14:paraId="7F3C08C4" w14:textId="77777777" w:rsidR="0059684C" w:rsidRDefault="0059684C" w:rsidP="0059684C"/>
    <w:p w14:paraId="3D294622" w14:textId="77777777" w:rsidR="0059684C" w:rsidRPr="00AE2077" w:rsidRDefault="0059684C" w:rsidP="0059684C">
      <w:r>
        <w:t>The underspend was offset by higher pension costs.</w:t>
      </w:r>
    </w:p>
    <w:bookmarkEnd w:id="43"/>
    <w:p w14:paraId="737454CC" w14:textId="77777777" w:rsidR="0059684C" w:rsidRPr="00AE2077" w:rsidRDefault="0059684C" w:rsidP="0059684C"/>
    <w:p w14:paraId="50E61D21" w14:textId="77777777" w:rsidR="0059684C" w:rsidRPr="00AE2077" w:rsidRDefault="0059684C" w:rsidP="0059684C">
      <w:pPr>
        <w:pStyle w:val="VAHeadingLevel3"/>
      </w:pPr>
      <w:r w:rsidRPr="00AE2077">
        <w:t>PCSOs</w:t>
      </w:r>
    </w:p>
    <w:p w14:paraId="26F8611E" w14:textId="370FF940" w:rsidR="0059684C" w:rsidRPr="00AE2077" w:rsidRDefault="0059684C" w:rsidP="0059684C">
      <w:bookmarkStart w:id="44" w:name="_Hlk135046488"/>
      <w:r w:rsidRPr="00AE2077">
        <w:t>There was a £0.4</w:t>
      </w:r>
      <w:r>
        <w:t>25</w:t>
      </w:r>
      <w:r w:rsidRPr="00AE2077">
        <w:t>m underspend on PCSOs due to fluctuations in estimated starter and leaver profiles, but as planned, was transferred to reserves to be earmarked for future investment in neighbourhoods.</w:t>
      </w:r>
    </w:p>
    <w:bookmarkEnd w:id="44"/>
    <w:p w14:paraId="21B2857B" w14:textId="77777777" w:rsidR="0059684C" w:rsidRPr="006B12E6" w:rsidRDefault="0059684C" w:rsidP="0059684C"/>
    <w:p w14:paraId="58B78165" w14:textId="3BDAB373" w:rsidR="0059684C" w:rsidRPr="006B12E6" w:rsidRDefault="00CD5B31" w:rsidP="0059684C">
      <w:pPr>
        <w:pStyle w:val="VAHeadingLevel3"/>
      </w:pPr>
      <w:r>
        <w:t>Non-Pay and Enabling Services</w:t>
      </w:r>
    </w:p>
    <w:p w14:paraId="12EBE4FF" w14:textId="792EFC60" w:rsidR="0059684C" w:rsidRPr="006B12E6" w:rsidRDefault="0059684C" w:rsidP="0059684C">
      <w:bookmarkStart w:id="45" w:name="_Hlk135046504"/>
      <w:r w:rsidRPr="00CD5B31">
        <w:t xml:space="preserve">The </w:t>
      </w:r>
      <w:r w:rsidR="00CD5B31" w:rsidRPr="00CD5B31">
        <w:t>remainder of the underspend</w:t>
      </w:r>
      <w:r w:rsidRPr="00CD5B31">
        <w:t xml:space="preserve"> was due to a number of factors including:</w:t>
      </w:r>
    </w:p>
    <w:p w14:paraId="7EBCD44A" w14:textId="7391FC16" w:rsidR="0059684C" w:rsidRPr="006B12E6" w:rsidRDefault="0059684C" w:rsidP="00CD5B31">
      <w:pPr>
        <w:pStyle w:val="RedBullet"/>
      </w:pPr>
      <w:r w:rsidRPr="006B12E6">
        <w:t>Police staff vacancies and recruitment delays</w:t>
      </w:r>
      <w:r w:rsidR="00CD5B31">
        <w:t>.</w:t>
      </w:r>
    </w:p>
    <w:p w14:paraId="2D2909EE" w14:textId="4280C7A3" w:rsidR="0059684C" w:rsidRPr="006B12E6" w:rsidRDefault="0059684C" w:rsidP="00CD5B31">
      <w:pPr>
        <w:pStyle w:val="RedBullet"/>
      </w:pPr>
      <w:r w:rsidRPr="006B12E6">
        <w:t>Operational contingencies not required</w:t>
      </w:r>
      <w:r w:rsidR="00CD5B31">
        <w:t>.</w:t>
      </w:r>
    </w:p>
    <w:p w14:paraId="1A6EAA6F" w14:textId="61778491" w:rsidR="0059684C" w:rsidRPr="006B12E6" w:rsidRDefault="0059684C" w:rsidP="00CD5B31">
      <w:pPr>
        <w:pStyle w:val="RedBullet"/>
      </w:pPr>
      <w:r w:rsidRPr="006B12E6">
        <w:t>Income generation</w:t>
      </w:r>
      <w:r w:rsidR="00CD5B31">
        <w:t>.</w:t>
      </w:r>
    </w:p>
    <w:p w14:paraId="198F0861" w14:textId="77777777" w:rsidR="0059684C" w:rsidRPr="006B12E6" w:rsidRDefault="0059684C" w:rsidP="0059684C">
      <w:r w:rsidRPr="006B12E6">
        <w:t>Offset by:</w:t>
      </w:r>
    </w:p>
    <w:p w14:paraId="1F413E91" w14:textId="41258C09" w:rsidR="0059684C" w:rsidRPr="006B12E6" w:rsidRDefault="0059684C" w:rsidP="00CD5B31">
      <w:pPr>
        <w:pStyle w:val="RedBullet"/>
      </w:pPr>
      <w:r w:rsidRPr="006B12E6">
        <w:t>Inflation on goods and services</w:t>
      </w:r>
      <w:r w:rsidR="00CD5B31">
        <w:t>.</w:t>
      </w:r>
    </w:p>
    <w:p w14:paraId="250A0589" w14:textId="587A1B8C" w:rsidR="0059684C" w:rsidRPr="006B12E6" w:rsidRDefault="0059684C" w:rsidP="00CD5B31">
      <w:pPr>
        <w:pStyle w:val="RedBullet"/>
      </w:pPr>
      <w:r w:rsidRPr="006B12E6">
        <w:t>Legal costs</w:t>
      </w:r>
      <w:r w:rsidR="00CD5B31">
        <w:t>.</w:t>
      </w:r>
    </w:p>
    <w:p w14:paraId="39B45907" w14:textId="6895972B" w:rsidR="00C311FE" w:rsidRDefault="0059684C" w:rsidP="0059684C">
      <w:pPr>
        <w:rPr>
          <w:rFonts w:cs="Arial"/>
          <w:szCs w:val="20"/>
        </w:rPr>
      </w:pPr>
      <w:bookmarkStart w:id="46" w:name="_Hlk135046525"/>
      <w:bookmarkEnd w:id="45"/>
      <w:r w:rsidRPr="006B12E6">
        <w:t>Whilst less impactive that the previous year, high price inflation, particularly on premises, utilities and vehicle costs caused pressures across the Enabling Services departments.  However, this was more than offset by a savings due to staff vacancies.</w:t>
      </w:r>
      <w:bookmarkEnd w:id="46"/>
    </w:p>
    <w:p w14:paraId="56C84499" w14:textId="77777777" w:rsidR="00C311FE" w:rsidRPr="00BA5EEC" w:rsidRDefault="00C311FE" w:rsidP="00C311FE">
      <w:pPr>
        <w:rPr>
          <w:rFonts w:cs="Times"/>
          <w:szCs w:val="20"/>
          <w:lang w:eastAsia="en-GB"/>
        </w:rPr>
      </w:pPr>
    </w:p>
    <w:p w14:paraId="5BFC805D" w14:textId="77777777" w:rsidR="00C311FE" w:rsidRDefault="00C311FE" w:rsidP="00C311FE">
      <w:pPr>
        <w:spacing w:after="160" w:line="259" w:lineRule="auto"/>
        <w:jc w:val="left"/>
        <w:rPr>
          <w:rFonts w:asciiTheme="minorHAnsi" w:eastAsia="Times New Roman" w:hAnsiTheme="minorHAnsi" w:cstheme="minorHAnsi"/>
          <w:bCs/>
          <w:smallCaps/>
          <w:color w:val="25316C"/>
          <w:sz w:val="32"/>
        </w:rPr>
      </w:pPr>
      <w:bookmarkStart w:id="47" w:name="_Toc106968616"/>
      <w:r>
        <w:br w:type="page"/>
      </w:r>
    </w:p>
    <w:p w14:paraId="45137BDB" w14:textId="77777777" w:rsidR="00236333" w:rsidRDefault="00236333" w:rsidP="00C311FE">
      <w:pPr>
        <w:pStyle w:val="VAHeading"/>
        <w:sectPr w:rsidR="00236333" w:rsidSect="00166BA7">
          <w:type w:val="continuous"/>
          <w:pgSz w:w="11900" w:h="16840"/>
          <w:pgMar w:top="1440" w:right="1080" w:bottom="1440" w:left="1080" w:header="709" w:footer="397" w:gutter="0"/>
          <w:cols w:num="2" w:space="708"/>
          <w:docGrid w:linePitch="360"/>
        </w:sectPr>
      </w:pPr>
      <w:bookmarkStart w:id="48" w:name="_Toc76736391"/>
      <w:bookmarkStart w:id="49" w:name="_Toc167964120"/>
      <w:bookmarkEnd w:id="47"/>
    </w:p>
    <w:p w14:paraId="00D56760" w14:textId="77777777" w:rsidR="00C311FE" w:rsidRPr="006A6C47" w:rsidRDefault="00C311FE" w:rsidP="00C311FE">
      <w:pPr>
        <w:pStyle w:val="VAHeading"/>
      </w:pPr>
      <w:r w:rsidRPr="006A6C47">
        <w:lastRenderedPageBreak/>
        <w:t>Force Operational Performance</w:t>
      </w:r>
      <w:bookmarkEnd w:id="48"/>
      <w:bookmarkEnd w:id="49"/>
    </w:p>
    <w:p w14:paraId="493EAB2B" w14:textId="77777777" w:rsidR="00236333" w:rsidRPr="006A6C47" w:rsidRDefault="00236333" w:rsidP="00C311FE">
      <w:pPr>
        <w:pStyle w:val="VAHeading"/>
      </w:pPr>
    </w:p>
    <w:p w14:paraId="0638B219" w14:textId="22640CEE" w:rsidR="00C311FE" w:rsidRPr="006A6C47" w:rsidRDefault="00C311FE" w:rsidP="00C311FE">
      <w:pPr>
        <w:rPr>
          <w:rFonts w:cs="Arial"/>
          <w:szCs w:val="20"/>
        </w:rPr>
      </w:pPr>
      <w:r w:rsidRPr="006A6C47">
        <w:rPr>
          <w:rFonts w:cs="Arial"/>
          <w:szCs w:val="20"/>
        </w:rPr>
        <w:t>The Chief set out 14 Key Performance Questions for 2023/24 with 28 KPIs, as summarised in the following tables.</w:t>
      </w:r>
    </w:p>
    <w:p w14:paraId="178347BE" w14:textId="77777777" w:rsidR="00236333" w:rsidRPr="006A6C47" w:rsidRDefault="00236333" w:rsidP="00C311FE">
      <w:pPr>
        <w:rPr>
          <w:rFonts w:cs="Arial"/>
          <w:szCs w:val="20"/>
        </w:rPr>
        <w:sectPr w:rsidR="00236333" w:rsidRPr="006A6C47" w:rsidSect="00236333">
          <w:type w:val="continuous"/>
          <w:pgSz w:w="11900" w:h="16840"/>
          <w:pgMar w:top="1440" w:right="1080" w:bottom="1440" w:left="1080" w:header="709" w:footer="397" w:gutter="0"/>
          <w:cols w:num="2" w:space="708"/>
          <w:docGrid w:linePitch="360"/>
        </w:sectPr>
      </w:pPr>
    </w:p>
    <w:p w14:paraId="2B03A5FD" w14:textId="77777777" w:rsidR="00236333" w:rsidRPr="006A6C47" w:rsidRDefault="00236333" w:rsidP="00C311FE">
      <w:pPr>
        <w:rPr>
          <w:rFonts w:cs="Arial"/>
          <w:szCs w:val="20"/>
        </w:rPr>
      </w:pPr>
    </w:p>
    <w:p w14:paraId="06FE673A" w14:textId="77777777" w:rsidR="00236333" w:rsidRPr="006A6C47" w:rsidRDefault="00236333" w:rsidP="00C311FE">
      <w:pPr>
        <w:rPr>
          <w:rFonts w:cs="Arial"/>
          <w:szCs w:val="20"/>
        </w:rPr>
        <w:sectPr w:rsidR="00236333" w:rsidRPr="006A6C47" w:rsidSect="00166BA7">
          <w:type w:val="continuous"/>
          <w:pgSz w:w="11900" w:h="16840"/>
          <w:pgMar w:top="1440" w:right="1080" w:bottom="1440" w:left="1080" w:header="709" w:footer="397" w:gutter="0"/>
          <w:cols w:num="2" w:space="708"/>
          <w:docGrid w:linePitch="360"/>
        </w:sectPr>
      </w:pPr>
    </w:p>
    <w:p w14:paraId="27321F83" w14:textId="77777777" w:rsidR="00236333" w:rsidRPr="006A6C47" w:rsidRDefault="00236333" w:rsidP="00C311FE">
      <w:pPr>
        <w:rPr>
          <w:rFonts w:cs="Arial"/>
          <w:szCs w:val="20"/>
        </w:rPr>
        <w:sectPr w:rsidR="00236333" w:rsidRPr="006A6C47" w:rsidSect="00236333">
          <w:type w:val="continuous"/>
          <w:pgSz w:w="11900" w:h="16840"/>
          <w:pgMar w:top="1440" w:right="1127" w:bottom="1440" w:left="1080" w:header="709" w:footer="397" w:gutter="0"/>
          <w:cols w:space="708"/>
          <w:docGrid w:linePitch="360"/>
        </w:sectPr>
      </w:pPr>
      <w:r w:rsidRPr="006A6C47">
        <w:rPr>
          <w:noProof/>
        </w:rPr>
        <w:drawing>
          <wp:inline distT="0" distB="0" distL="0" distR="0" wp14:anchorId="17E8E455" wp14:editId="3717B150">
            <wp:extent cx="6029325" cy="7437739"/>
            <wp:effectExtent l="0" t="0" r="0" b="0"/>
            <wp:docPr id="478258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774" cy="7440760"/>
                    </a:xfrm>
                    <a:prstGeom prst="rect">
                      <a:avLst/>
                    </a:prstGeom>
                    <a:noFill/>
                  </pic:spPr>
                </pic:pic>
              </a:graphicData>
            </a:graphic>
          </wp:inline>
        </w:drawing>
      </w:r>
    </w:p>
    <w:p w14:paraId="481517BA" w14:textId="043959AE" w:rsidR="00C311FE" w:rsidRPr="006A6C47" w:rsidRDefault="00C311FE" w:rsidP="00C311FE">
      <w:pPr>
        <w:rPr>
          <w:rFonts w:cs="Arial"/>
          <w:szCs w:val="20"/>
        </w:rPr>
      </w:pPr>
    </w:p>
    <w:p w14:paraId="6C3C03F6" w14:textId="69D6DAC5" w:rsidR="00C311FE" w:rsidRPr="006A6C47" w:rsidRDefault="00236333" w:rsidP="00C311FE">
      <w:pPr>
        <w:rPr>
          <w:rFonts w:cs="Arial"/>
          <w:szCs w:val="20"/>
        </w:rPr>
      </w:pPr>
      <w:r w:rsidRPr="006A6C47">
        <w:rPr>
          <w:noProof/>
        </w:rPr>
        <w:drawing>
          <wp:anchor distT="0" distB="0" distL="114300" distR="114300" simplePos="0" relativeHeight="251689993" behindDoc="1" locked="0" layoutInCell="1" allowOverlap="1" wp14:anchorId="44917E08" wp14:editId="7293AA47">
            <wp:simplePos x="0" y="0"/>
            <wp:positionH relativeFrom="margin">
              <wp:align>left</wp:align>
            </wp:positionH>
            <wp:positionV relativeFrom="paragraph">
              <wp:posOffset>173991</wp:posOffset>
            </wp:positionV>
            <wp:extent cx="6048375" cy="7441924"/>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7441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4B033" w14:textId="588E6573" w:rsidR="00C311FE" w:rsidRPr="006A6C47" w:rsidRDefault="00C311FE" w:rsidP="00C311FE">
      <w:pPr>
        <w:spacing w:after="160" w:line="259" w:lineRule="auto"/>
        <w:jc w:val="left"/>
        <w:rPr>
          <w:rFonts w:asciiTheme="minorHAnsi" w:eastAsia="Times New Roman" w:hAnsiTheme="minorHAnsi" w:cstheme="minorHAnsi"/>
          <w:bCs/>
          <w:color w:val="25316C"/>
          <w:sz w:val="24"/>
        </w:rPr>
      </w:pPr>
    </w:p>
    <w:p w14:paraId="52A865D3" w14:textId="764EE9D1" w:rsidR="00C311FE" w:rsidRPr="006A6C47" w:rsidRDefault="00C311FE" w:rsidP="00C311FE">
      <w:pPr>
        <w:spacing w:after="160" w:line="259" w:lineRule="auto"/>
        <w:jc w:val="left"/>
        <w:rPr>
          <w:rFonts w:asciiTheme="minorHAnsi" w:eastAsia="Times New Roman" w:hAnsiTheme="minorHAnsi" w:cstheme="minorHAnsi"/>
          <w:bCs/>
          <w:color w:val="25316C"/>
          <w:sz w:val="24"/>
        </w:rPr>
      </w:pPr>
      <w:r w:rsidRPr="006A6C47">
        <w:br w:type="page"/>
      </w:r>
    </w:p>
    <w:p w14:paraId="21572C91" w14:textId="4F526E4E" w:rsidR="00C311FE" w:rsidRPr="006A6C47" w:rsidRDefault="00D92478" w:rsidP="00C311FE">
      <w:pPr>
        <w:pStyle w:val="VAHeadingLevel2"/>
        <w:rPr>
          <w:color w:val="auto"/>
        </w:rPr>
      </w:pPr>
      <w:bookmarkStart w:id="50" w:name="_Hlk167360024"/>
      <w:r w:rsidRPr="006A6C47">
        <w:lastRenderedPageBreak/>
        <w:t>His Majesty's Inspectorate of Constabulary and Fire and Rescue Services (</w:t>
      </w:r>
      <w:r w:rsidR="00C311FE" w:rsidRPr="006A6C47">
        <w:t>HMICFRS</w:t>
      </w:r>
      <w:r w:rsidRPr="006A6C47">
        <w:t>)</w:t>
      </w:r>
    </w:p>
    <w:p w14:paraId="28557325" w14:textId="77777777" w:rsidR="00C311FE" w:rsidRPr="006A6C47" w:rsidRDefault="00C311FE" w:rsidP="00C311FE"/>
    <w:p w14:paraId="712F1C51" w14:textId="5F7FA160" w:rsidR="00C311FE" w:rsidRPr="006A6C47" w:rsidRDefault="00C311FE" w:rsidP="00C311FE">
      <w:r w:rsidRPr="006A6C47">
        <w:t>In 2019, His Majesty's Inspectorate of Constabulary and Fire and Rescue Services (HMICFRS) conducted their PEEL (Police Effectiveness, Efficiency and Legitimacy) assessment which concluded that the Force was failing in a number of areas and put the force into ‘performance oversight’.</w:t>
      </w:r>
    </w:p>
    <w:p w14:paraId="375E5360" w14:textId="77777777" w:rsidR="00C311FE" w:rsidRPr="006A6C47" w:rsidRDefault="00C311FE" w:rsidP="00C311FE"/>
    <w:p w14:paraId="38B15EC5" w14:textId="77777777" w:rsidR="00C311FE" w:rsidRPr="006A6C47" w:rsidRDefault="00C311FE" w:rsidP="00C311FE">
      <w:r w:rsidRPr="006A6C47">
        <w:t>Since then, an improvement plan delivered wholesale change across the force, including a new operating model, a new initial investigation team, investment in equipment to better deal with high tech crime and investment in leadership to ensure that change is sustainable and embedded.</w:t>
      </w:r>
    </w:p>
    <w:p w14:paraId="078D7DB1" w14:textId="77777777" w:rsidR="00C311FE" w:rsidRPr="006A6C47" w:rsidRDefault="00C311FE" w:rsidP="00C311FE"/>
    <w:p w14:paraId="5A1BA5C6" w14:textId="77777777" w:rsidR="00C311FE" w:rsidRPr="006A6C47" w:rsidRDefault="00C311FE" w:rsidP="00C311FE">
      <w:r w:rsidRPr="006A6C47">
        <w:t>The plan set out to stabilise demand, create capacity, focus on quality, create clear ownership, and improve service delivery.</w:t>
      </w:r>
    </w:p>
    <w:p w14:paraId="71B378CA" w14:textId="77777777" w:rsidR="00C311FE" w:rsidRPr="006A6C47" w:rsidRDefault="00C311FE" w:rsidP="00C311FE"/>
    <w:p w14:paraId="0D2DD1C0" w14:textId="77777777" w:rsidR="00C311FE" w:rsidRPr="006A6C47" w:rsidRDefault="00C311FE" w:rsidP="00C311FE">
      <w:r w:rsidRPr="006A6C47">
        <w:t>Following an inspection visit in mid-2023, HMICFRS published its concluding report which highlights a number of areas where the Force is showing both progress and, in some cases, leading the way in terms of good practice.</w:t>
      </w:r>
    </w:p>
    <w:p w14:paraId="31D469AC" w14:textId="77777777" w:rsidR="00C311FE" w:rsidRPr="006A6C47" w:rsidRDefault="00C311FE" w:rsidP="00C311FE"/>
    <w:p w14:paraId="3CE6CACB" w14:textId="77777777" w:rsidR="00C311FE" w:rsidRPr="006A6C47" w:rsidRDefault="00C311FE" w:rsidP="00C311FE">
      <w:r w:rsidRPr="006A6C47">
        <w:t>In 2021 when an "adequate" rating was added for the first-time to the existing four tiers – outstanding, good, requires improvement and inadequate – the Force was judged to be adequate in four and requiring improvement in six areas.</w:t>
      </w:r>
    </w:p>
    <w:p w14:paraId="7CFEA961" w14:textId="77777777" w:rsidR="00C311FE" w:rsidRPr="006A6C47" w:rsidRDefault="00C311FE" w:rsidP="00C311FE"/>
    <w:p w14:paraId="50B4F40F" w14:textId="77777777" w:rsidR="00C311FE" w:rsidRPr="006A6C47" w:rsidRDefault="00C311FE" w:rsidP="00C311FE">
      <w:r w:rsidRPr="006A6C47">
        <w:t>HMICFRS has since revised its inspection criteria, measuring the Force against nine areas of business, including how Northamptonshire Police treats victims of crime, its legitimacy in its use of powers, how it protects vulnerable people and its effectiveness in investigating crime.</w:t>
      </w:r>
    </w:p>
    <w:p w14:paraId="4903CD2C" w14:textId="77777777" w:rsidR="00C311FE" w:rsidRPr="006A6C47" w:rsidRDefault="00C311FE" w:rsidP="00C311FE"/>
    <w:p w14:paraId="31E2F624" w14:textId="01D20D26" w:rsidR="00C311FE" w:rsidRPr="006A6C47" w:rsidRDefault="00C311FE" w:rsidP="00C311FE">
      <w:r w:rsidRPr="006A6C47">
        <w:t xml:space="preserve">One is now judged to be outstanding, one good, six are now adequate with </w:t>
      </w:r>
      <w:r w:rsidR="00AE460A" w:rsidRPr="006A6C47">
        <w:t xml:space="preserve">two </w:t>
      </w:r>
      <w:r w:rsidRPr="006A6C47">
        <w:t>area</w:t>
      </w:r>
      <w:r w:rsidR="00AE460A" w:rsidRPr="006A6C47">
        <w:t>s</w:t>
      </w:r>
      <w:r w:rsidRPr="006A6C47">
        <w:t xml:space="preserve"> requiring improvement.</w:t>
      </w:r>
    </w:p>
    <w:p w14:paraId="6B097ECB" w14:textId="77777777" w:rsidR="00C311FE" w:rsidRPr="006A6C47" w:rsidRDefault="00C311FE" w:rsidP="00C311FE"/>
    <w:p w14:paraId="66522908" w14:textId="77777777" w:rsidR="00C311FE" w:rsidRPr="006A6C47" w:rsidRDefault="00C311FE" w:rsidP="00C311FE">
      <w:r w:rsidRPr="006A6C47">
        <w:t>Among the key areas of progress highlighted were:</w:t>
      </w:r>
    </w:p>
    <w:p w14:paraId="78FCF856" w14:textId="77777777" w:rsidR="00C311FE" w:rsidRPr="006A6C47" w:rsidRDefault="00C311FE" w:rsidP="00CD5B31">
      <w:pPr>
        <w:pStyle w:val="RedBullet"/>
      </w:pPr>
      <w:r w:rsidRPr="006A6C47">
        <w:t>Good overall approach to using police powers and treating people fairly and with respect.  The watchdog also noted the Force's external scrutiny panel worked effectively and involved young people.</w:t>
      </w:r>
    </w:p>
    <w:p w14:paraId="1BCFF2AE" w14:textId="77777777" w:rsidR="00C311FE" w:rsidRPr="006A6C47" w:rsidRDefault="00C311FE" w:rsidP="00CD5B31">
      <w:pPr>
        <w:pStyle w:val="RedBullet"/>
      </w:pPr>
      <w:r w:rsidRPr="006A6C47">
        <w:t>Top ranking across all Forces when it comes to quality of case files submitted to the Crown Prosecution Service for them to take forward to court proceedings.</w:t>
      </w:r>
    </w:p>
    <w:p w14:paraId="139DC55F" w14:textId="77777777" w:rsidR="00C311FE" w:rsidRPr="006A6C47" w:rsidRDefault="00C311FE" w:rsidP="00CD5B31">
      <w:pPr>
        <w:pStyle w:val="RedBullet"/>
      </w:pPr>
      <w:r w:rsidRPr="006A6C47">
        <w:t>Improvements have been noted in the way the Force protects vulnerable people and manages registered sex offenders and those suspected of accessing indecent images of children.</w:t>
      </w:r>
    </w:p>
    <w:p w14:paraId="26A97DEB" w14:textId="77777777" w:rsidR="00C311FE" w:rsidRPr="006A6C47" w:rsidRDefault="00C311FE" w:rsidP="00CD5B31">
      <w:pPr>
        <w:pStyle w:val="RedBullet"/>
      </w:pPr>
      <w:r w:rsidRPr="006A6C47">
        <w:t>The Force's approach to investigating shoplifting, linked to the cost-of-living crisis, has been cited as promising practice. The Force later showcased its approach to retail crime when the policing minister visited Northampton in December 2023.</w:t>
      </w:r>
    </w:p>
    <w:p w14:paraId="4F5060E2" w14:textId="77777777" w:rsidR="00C311FE" w:rsidRPr="006A6C47" w:rsidRDefault="00C311FE" w:rsidP="00C311FE"/>
    <w:p w14:paraId="59A1A700" w14:textId="77777777" w:rsidR="00C311FE" w:rsidRPr="0089716B" w:rsidRDefault="00C311FE" w:rsidP="00C311FE">
      <w:r w:rsidRPr="006A6C47">
        <w:t>HMICFRS also flagged key areas linked to building trust and confidence including a positive and proportionate approach to Stop and Search powers, very good compliance around Body Worn Video and an arrest rate figure (34%) for domestic abuse offenders, higher than</w:t>
      </w:r>
      <w:r w:rsidRPr="0089716B">
        <w:t xml:space="preserve"> the national average.</w:t>
      </w:r>
    </w:p>
    <w:p w14:paraId="2990903B" w14:textId="77777777" w:rsidR="00C311FE" w:rsidRPr="0089716B" w:rsidRDefault="00C311FE" w:rsidP="00C311FE"/>
    <w:p w14:paraId="29F9EA1F" w14:textId="77777777" w:rsidR="00C311FE" w:rsidRPr="0089716B" w:rsidRDefault="00C311FE" w:rsidP="00C311FE">
      <w:r w:rsidRPr="0089716B">
        <w:t>The Force was also shown to be complying fully with the Victim's Code of Practice with victims kept regularly updated on cases by officers and staff.</w:t>
      </w:r>
    </w:p>
    <w:p w14:paraId="7397740F" w14:textId="77777777" w:rsidR="00C311FE" w:rsidRPr="0089716B" w:rsidRDefault="00C311FE" w:rsidP="00C311FE"/>
    <w:p w14:paraId="144C6A9F" w14:textId="77777777" w:rsidR="00C311FE" w:rsidRPr="0089716B" w:rsidRDefault="00C311FE" w:rsidP="00C311FE">
      <w:r w:rsidRPr="0089716B">
        <w:t>Partnership working – a weakness highlighted in previous reports – has also improved in part by the data-sharing activity, known as the Observatory, between partner agencies, which has addressed the Force's early intervention and prevention activity whereby support is provided to those at risk of starting a life of crime before it is too late.</w:t>
      </w:r>
    </w:p>
    <w:p w14:paraId="52A32350" w14:textId="77777777" w:rsidR="00C311FE" w:rsidRPr="0089716B" w:rsidRDefault="00C311FE" w:rsidP="00C311FE"/>
    <w:p w14:paraId="578E8DD3" w14:textId="77777777" w:rsidR="00C311FE" w:rsidRPr="0089716B" w:rsidRDefault="00C311FE" w:rsidP="00C311FE">
      <w:r w:rsidRPr="0089716B">
        <w:t>The re-launch of Northamptonshire Talking, an online community engagement platform is also gaining traction with more sign-ups and the ability for users to engage with police via translation tools when English is not their first language.</w:t>
      </w:r>
    </w:p>
    <w:p w14:paraId="12E3C8B9" w14:textId="77777777" w:rsidR="00C311FE" w:rsidRPr="0089716B" w:rsidRDefault="00C311FE" w:rsidP="00C311FE"/>
    <w:p w14:paraId="4798185B" w14:textId="77777777" w:rsidR="00C311FE" w:rsidRDefault="00C311FE" w:rsidP="00C311FE">
      <w:r w:rsidRPr="0089716B">
        <w:t>Acting Chief Constable Ivan Balhatchet said:</w:t>
      </w:r>
    </w:p>
    <w:p w14:paraId="30EB28E9" w14:textId="77777777" w:rsidR="00C311FE" w:rsidRPr="00942592" w:rsidRDefault="00C311FE" w:rsidP="00C311FE">
      <w:pPr>
        <w:rPr>
          <w:color w:val="25316C"/>
        </w:rPr>
      </w:pPr>
      <w:r w:rsidRPr="00942592">
        <w:rPr>
          <w:color w:val="25316C"/>
        </w:rPr>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488D41EB" w14:textId="77777777" w:rsidR="00C311FE" w:rsidRPr="00942592" w:rsidRDefault="00C311FE" w:rsidP="00C311FE">
      <w:pPr>
        <w:rPr>
          <w:color w:val="25316C"/>
        </w:rPr>
      </w:pPr>
    </w:p>
    <w:p w14:paraId="6E26B4F3" w14:textId="77777777" w:rsidR="00C311FE" w:rsidRPr="00942592" w:rsidRDefault="00C311FE" w:rsidP="00C311FE">
      <w:pPr>
        <w:rPr>
          <w:color w:val="25316C"/>
        </w:rPr>
      </w:pPr>
      <w:r w:rsidRPr="00942592">
        <w:rPr>
          <w:color w:val="25316C"/>
        </w:rPr>
        <w:t xml:space="preserve">"We took the findings from the last inspection and have worked hard to improve across a wide range of areas </w:t>
      </w:r>
      <w:r w:rsidRPr="00942592">
        <w:rPr>
          <w:color w:val="25316C"/>
        </w:rPr>
        <w:lastRenderedPageBreak/>
        <w:t>and while there is still work to do, there are a lot of positives to be drawn from this report.</w:t>
      </w:r>
    </w:p>
    <w:p w14:paraId="5DF8D3A6" w14:textId="77777777" w:rsidR="00C311FE" w:rsidRPr="00942592" w:rsidRDefault="00C311FE" w:rsidP="00C311FE">
      <w:pPr>
        <w:rPr>
          <w:color w:val="25316C"/>
        </w:rPr>
      </w:pPr>
    </w:p>
    <w:p w14:paraId="2DDC6D6F" w14:textId="77777777" w:rsidR="00C311FE" w:rsidRPr="0089716B" w:rsidRDefault="00C311FE" w:rsidP="00C311FE">
      <w:r w:rsidRPr="00942592">
        <w:rPr>
          <w:color w:val="25316C"/>
        </w:rPr>
        <w:t>"This Force and policing in general have never been under more scrutiny than it has over the past couple of years</w:t>
      </w:r>
      <w:r>
        <w:rPr>
          <w:color w:val="25316C"/>
        </w:rPr>
        <w:t>,</w:t>
      </w:r>
      <w:r w:rsidRPr="00942592">
        <w:rPr>
          <w:color w:val="25316C"/>
        </w:rPr>
        <w:t xml:space="preserve"> so it is especially encouraging to see how well we have been assessed in terms of our legitimacy, the way we use powers and treat the public with fairness and respect."</w:t>
      </w:r>
    </w:p>
    <w:p w14:paraId="7C5F04E7" w14:textId="77777777" w:rsidR="00C311FE" w:rsidRPr="0089716B" w:rsidRDefault="00C311FE" w:rsidP="00C311FE"/>
    <w:p w14:paraId="644BF9FE" w14:textId="77777777" w:rsidR="00C311FE" w:rsidRPr="0089716B" w:rsidRDefault="00C311FE" w:rsidP="00C311FE">
      <w:r w:rsidRPr="0089716B">
        <w:t>One area which HMICFRS has stated that the force requires improvement is how it investigates crime.</w:t>
      </w:r>
      <w:r>
        <w:t xml:space="preserve"> </w:t>
      </w:r>
      <w:r w:rsidRPr="0089716B">
        <w:t xml:space="preserve"> Inspectors identified the Force sometimes allocated crimes to officers wh</w:t>
      </w:r>
      <w:r>
        <w:t>o</w:t>
      </w:r>
      <w:r w:rsidRPr="0089716B">
        <w:t xml:space="preserve"> lacked the capacity or capability to investigate effectively.</w:t>
      </w:r>
    </w:p>
    <w:p w14:paraId="51C26AA7" w14:textId="77777777" w:rsidR="00C311FE" w:rsidRPr="0089716B" w:rsidRDefault="00C311FE" w:rsidP="00C311FE"/>
    <w:p w14:paraId="2A82594B" w14:textId="7C0E5954" w:rsidR="00C311FE" w:rsidRPr="0089716B" w:rsidRDefault="00C311FE" w:rsidP="00C311FE">
      <w:r w:rsidRPr="0089716B">
        <w:t xml:space="preserve">An area highlighted as needing specific attention was domestic abuse, but that approach is now subject to a detailed review in Force designed </w:t>
      </w:r>
      <w:r w:rsidR="00AE460A">
        <w:t xml:space="preserve">to </w:t>
      </w:r>
      <w:r w:rsidRPr="0089716B">
        <w:t>ensure we have the most robust response possible moving forward.</w:t>
      </w:r>
    </w:p>
    <w:p w14:paraId="65A856CE" w14:textId="77777777" w:rsidR="00C311FE" w:rsidRPr="0089716B" w:rsidRDefault="00C311FE" w:rsidP="00C311FE"/>
    <w:p w14:paraId="0616FE65" w14:textId="77777777" w:rsidR="00C311FE" w:rsidRPr="005C0F21" w:rsidRDefault="00C311FE" w:rsidP="00C311FE">
      <w:r w:rsidRPr="0089716B">
        <w:t>Work has already been put in place to address the findings of the latest report, including internal campaigns to identify why new recruits are leaving the Force, new technology to further bolster efficiency and performance. A new youth violence intervention unit to build on the Force's approach to prevent and deter crime is also now in place.</w:t>
      </w:r>
      <w:r>
        <w:t xml:space="preserve"> </w:t>
      </w:r>
    </w:p>
    <w:p w14:paraId="3B2A2F33" w14:textId="77777777" w:rsidR="00C311FE" w:rsidRPr="00697411" w:rsidRDefault="00C311FE" w:rsidP="00C311FE"/>
    <w:p w14:paraId="5C618E71" w14:textId="77777777" w:rsidR="00C311FE" w:rsidRPr="009543F5" w:rsidRDefault="00C311FE" w:rsidP="00C311FE">
      <w:pPr>
        <w:pStyle w:val="VAHeadingLevel3"/>
      </w:pPr>
      <w:bookmarkStart w:id="51" w:name="_Hlk167360062"/>
      <w:bookmarkEnd w:id="50"/>
      <w:r w:rsidRPr="009543F5">
        <w:t xml:space="preserve">The Accountability Board </w:t>
      </w:r>
    </w:p>
    <w:p w14:paraId="25A279DE" w14:textId="77777777" w:rsidR="00C311FE" w:rsidRPr="005C0F21" w:rsidRDefault="00C311FE" w:rsidP="00C311FE">
      <w:pPr>
        <w:rPr>
          <w:rFonts w:cs="Arial"/>
          <w:szCs w:val="20"/>
        </w:rPr>
      </w:pPr>
      <w:r w:rsidRPr="005C0F21">
        <w:rPr>
          <w:rFonts w:cs="Arial"/>
          <w:szCs w:val="20"/>
        </w:rPr>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6529F3F1" w14:textId="77777777" w:rsidR="00C311FE" w:rsidRPr="005C0F21" w:rsidRDefault="00C311FE" w:rsidP="00C311FE">
      <w:pPr>
        <w:rPr>
          <w:rFonts w:cs="Arial"/>
          <w:szCs w:val="20"/>
        </w:rPr>
      </w:pPr>
    </w:p>
    <w:p w14:paraId="15804A88" w14:textId="77777777" w:rsidR="00C311FE" w:rsidRPr="005C0F21" w:rsidRDefault="00C311FE" w:rsidP="00C311FE">
      <w:pPr>
        <w:rPr>
          <w:rFonts w:cs="Arial"/>
          <w:szCs w:val="20"/>
        </w:rPr>
      </w:pPr>
      <w:r w:rsidRPr="005C0F21">
        <w:rPr>
          <w:rFonts w:cs="Arial"/>
          <w:szCs w:val="20"/>
        </w:rPr>
        <w:t>The records of the Accountability Board are published on the OPFCC website.  Areas for discussion and accountability include:</w:t>
      </w:r>
    </w:p>
    <w:p w14:paraId="75B7FF0C" w14:textId="77777777" w:rsidR="00C311FE" w:rsidRPr="005C0F21" w:rsidRDefault="00C311FE" w:rsidP="00CD5B31">
      <w:pPr>
        <w:pStyle w:val="RedBullet"/>
      </w:pPr>
      <w:r w:rsidRPr="005C0F21">
        <w:t>Focus on areas of concern in performance and service delivery at a strategic level.</w:t>
      </w:r>
    </w:p>
    <w:p w14:paraId="2EC05FAE" w14:textId="77777777" w:rsidR="00C311FE" w:rsidRPr="005C0F21" w:rsidRDefault="00C311FE" w:rsidP="00CD5B31">
      <w:pPr>
        <w:pStyle w:val="RedBullet"/>
      </w:pPr>
      <w:r w:rsidRPr="005C0F21">
        <w:t xml:space="preserve">Discussions between the Force and the OPFCC in respect of the strategic budget setting and medium-term financial planning. </w:t>
      </w:r>
    </w:p>
    <w:p w14:paraId="2523547A" w14:textId="77777777" w:rsidR="00C311FE" w:rsidRPr="005C0F21" w:rsidRDefault="00C311FE" w:rsidP="00CD5B31">
      <w:pPr>
        <w:pStyle w:val="RedBullet"/>
      </w:pPr>
      <w:r w:rsidRPr="005C0F21">
        <w:t>Strategic consideration of key identified corporate level risks and scrutiny activity.</w:t>
      </w:r>
    </w:p>
    <w:p w14:paraId="576CA3FC" w14:textId="77777777" w:rsidR="00C311FE" w:rsidRPr="009543F5" w:rsidRDefault="00C311FE" w:rsidP="00C311FE"/>
    <w:p w14:paraId="7DDBE850" w14:textId="77777777" w:rsidR="00C311FE" w:rsidRPr="00B40CEE" w:rsidRDefault="00C311FE" w:rsidP="00C311FE">
      <w:pPr>
        <w:pStyle w:val="VAHeadingLevel3"/>
      </w:pPr>
      <w:r w:rsidRPr="00B40CEE">
        <w:t xml:space="preserve">Review of Complaints against the Force </w:t>
      </w:r>
    </w:p>
    <w:p w14:paraId="786C493C" w14:textId="77777777" w:rsidR="00C311FE" w:rsidRPr="00F33558" w:rsidRDefault="00C311FE" w:rsidP="00C311FE">
      <w:r w:rsidRPr="00B40CEE">
        <w:t>All PCCs became the relevant review body for less serious complaints</w:t>
      </w:r>
      <w:r w:rsidRPr="00F33558">
        <w:t xml:space="preserve">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6D426C85" w14:textId="77777777" w:rsidR="00C311FE" w:rsidRPr="00F33558" w:rsidRDefault="00C311FE" w:rsidP="00C311FE"/>
    <w:p w14:paraId="284A0F8C" w14:textId="77777777" w:rsidR="00C311FE" w:rsidRPr="00F33558" w:rsidRDefault="00C311FE" w:rsidP="00C311FE">
      <w:r w:rsidRPr="00F33558">
        <w:t>The OPFCC Customer Service Team is responsible for the receipt and recording of complaints against the Force, the informal resolution of low-level complaints and for ensuring that all reviews are appropriately processed and considered.</w:t>
      </w:r>
      <w:r>
        <w:t xml:space="preserve"> </w:t>
      </w:r>
      <w:r w:rsidRPr="00F33558">
        <w:t xml:space="preserve">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51"/>
    <w:p w14:paraId="3C43309F" w14:textId="77777777" w:rsidR="00C311FE" w:rsidRPr="007F2679" w:rsidRDefault="00C311FE" w:rsidP="00C311FE">
      <w:pPr>
        <w:rPr>
          <w:szCs w:val="20"/>
          <w:highlight w:val="yellow"/>
        </w:rPr>
      </w:pPr>
    </w:p>
    <w:p w14:paraId="78AD1787" w14:textId="77777777" w:rsidR="00C311FE" w:rsidRPr="004C1CEF" w:rsidRDefault="00C311FE" w:rsidP="00C311FE">
      <w:pPr>
        <w:pStyle w:val="VAHeading"/>
      </w:pPr>
      <w:bookmarkStart w:id="52" w:name="_Toc167964121"/>
      <w:r w:rsidRPr="00C926B0">
        <w:t>External Factors</w:t>
      </w:r>
      <w:bookmarkEnd w:id="52"/>
    </w:p>
    <w:p w14:paraId="236C9918" w14:textId="77777777" w:rsidR="00C311FE" w:rsidRDefault="00C311FE" w:rsidP="00C311FE">
      <w:pPr>
        <w:pStyle w:val="VAHeadingLevel3"/>
      </w:pPr>
    </w:p>
    <w:p w14:paraId="1839FBB9" w14:textId="77777777" w:rsidR="00C311FE" w:rsidRPr="008A1D5A" w:rsidRDefault="00C311FE" w:rsidP="00C311FE">
      <w:pPr>
        <w:pStyle w:val="VAHeadingLevel3"/>
      </w:pPr>
      <w:r w:rsidRPr="008A1D5A">
        <w:t xml:space="preserve">National Perspective </w:t>
      </w:r>
    </w:p>
    <w:p w14:paraId="037A9F0F" w14:textId="77777777" w:rsidR="00C311FE" w:rsidRPr="00F33558" w:rsidRDefault="00C311FE" w:rsidP="00C311FE">
      <w:pPr>
        <w:rPr>
          <w:szCs w:val="20"/>
        </w:rPr>
      </w:pPr>
      <w:bookmarkStart w:id="53" w:name="_Hlk167360137"/>
      <w:r w:rsidRPr="00F33558">
        <w:rPr>
          <w:szCs w:val="20"/>
        </w:rPr>
        <w:t xml:space="preserve">One of the PFCC key roles is to lobby central Government on behalf of the public in Northamptonshire.  During the year, the PFCC continued to lobby for both a fairer funding settlement from the funding formula review and the opportunity to set a precept level based on local needs and circumstances.  PFCCs </w:t>
      </w:r>
      <w:r>
        <w:rPr>
          <w:szCs w:val="20"/>
        </w:rPr>
        <w:t>await information</w:t>
      </w:r>
      <w:r w:rsidRPr="00F33558">
        <w:rPr>
          <w:szCs w:val="20"/>
        </w:rPr>
        <w:t xml:space="preserve"> on the </w:t>
      </w:r>
      <w:r>
        <w:rPr>
          <w:szCs w:val="20"/>
        </w:rPr>
        <w:t xml:space="preserve">potential </w:t>
      </w:r>
      <w:r w:rsidRPr="00F33558">
        <w:rPr>
          <w:szCs w:val="20"/>
        </w:rPr>
        <w:t xml:space="preserve">precept </w:t>
      </w:r>
      <w:r>
        <w:rPr>
          <w:szCs w:val="20"/>
        </w:rPr>
        <w:t xml:space="preserve">flexibility </w:t>
      </w:r>
      <w:r w:rsidRPr="00F33558">
        <w:rPr>
          <w:szCs w:val="20"/>
        </w:rPr>
        <w:t xml:space="preserve">and </w:t>
      </w:r>
      <w:r>
        <w:rPr>
          <w:szCs w:val="20"/>
        </w:rPr>
        <w:t>grant levels</w:t>
      </w:r>
      <w:r w:rsidRPr="00F33558">
        <w:rPr>
          <w:szCs w:val="20"/>
        </w:rPr>
        <w:t xml:space="preserve"> </w:t>
      </w:r>
      <w:r>
        <w:rPr>
          <w:szCs w:val="20"/>
        </w:rPr>
        <w:t>beyond</w:t>
      </w:r>
      <w:r w:rsidRPr="00F33558">
        <w:rPr>
          <w:szCs w:val="20"/>
        </w:rPr>
        <w:t xml:space="preserve"> 2024/25 </w:t>
      </w:r>
      <w:r>
        <w:rPr>
          <w:szCs w:val="20"/>
        </w:rPr>
        <w:t>which will</w:t>
      </w:r>
      <w:r w:rsidRPr="00F33558">
        <w:rPr>
          <w:szCs w:val="20"/>
        </w:rPr>
        <w:t xml:space="preserve"> need to be considered in terms of affordability for local taxpayers and long term sustainable funding for policing in the future.</w:t>
      </w:r>
    </w:p>
    <w:p w14:paraId="1234B46E" w14:textId="77777777" w:rsidR="00C311FE" w:rsidRPr="00F33558" w:rsidRDefault="00C311FE" w:rsidP="00C311FE">
      <w:pPr>
        <w:rPr>
          <w:szCs w:val="20"/>
        </w:rPr>
      </w:pPr>
    </w:p>
    <w:p w14:paraId="0AFA995C" w14:textId="77777777" w:rsidR="00C311FE" w:rsidRPr="00F33558" w:rsidRDefault="00C311FE" w:rsidP="00C311FE">
      <w:pPr>
        <w:pStyle w:val="VAHeadingLevel3"/>
      </w:pPr>
      <w:r w:rsidRPr="00F33558">
        <w:t xml:space="preserve">Central Government  </w:t>
      </w:r>
    </w:p>
    <w:p w14:paraId="4ADA1724" w14:textId="77777777" w:rsidR="00C311FE" w:rsidRPr="00F33558" w:rsidRDefault="00C311FE" w:rsidP="00C311FE">
      <w:pPr>
        <w:rPr>
          <w:szCs w:val="20"/>
        </w:rPr>
      </w:pPr>
      <w:r w:rsidRPr="00F33558">
        <w:rPr>
          <w:szCs w:val="20"/>
        </w:rPr>
        <w:t>The Home Secretary produces the Strategic Policing Requirement, which outlines the resources and capabilities that are required for Northamptonshire to support any national efforts to prevent and deter threats to National Security.</w:t>
      </w:r>
    </w:p>
    <w:p w14:paraId="2BB6AD2D" w14:textId="77777777" w:rsidR="00C311FE" w:rsidRPr="00F33558" w:rsidRDefault="00C311FE" w:rsidP="00C311FE">
      <w:pPr>
        <w:rPr>
          <w:szCs w:val="20"/>
        </w:rPr>
      </w:pPr>
    </w:p>
    <w:p w14:paraId="1A1E5CCF" w14:textId="77777777" w:rsidR="00C311FE" w:rsidRPr="00F33558" w:rsidRDefault="00C311FE" w:rsidP="00C311FE">
      <w:pPr>
        <w:rPr>
          <w:szCs w:val="20"/>
        </w:rPr>
      </w:pPr>
      <w:r w:rsidRPr="00F33558">
        <w:rPr>
          <w:szCs w:val="20"/>
        </w:rPr>
        <w:t xml:space="preserve">The PFCC has a statutory duty to have regard to this and continues to ensure that Northamptonshire contributes to the national agenda with appropriate levels of resourcing whenever required.  This includes lobbying </w:t>
      </w:r>
      <w:r w:rsidRPr="00F33558">
        <w:rPr>
          <w:szCs w:val="20"/>
        </w:rPr>
        <w:lastRenderedPageBreak/>
        <w:t>the Government (in particular, the Home Office and Ministry of Justice) for change that will make a difference to the safety of residents in Northamptonshire.</w:t>
      </w:r>
    </w:p>
    <w:p w14:paraId="19DB334A" w14:textId="77777777" w:rsidR="00C311FE" w:rsidRPr="00F33558" w:rsidRDefault="00C311FE" w:rsidP="00C311FE">
      <w:pPr>
        <w:rPr>
          <w:szCs w:val="20"/>
        </w:rPr>
      </w:pPr>
    </w:p>
    <w:p w14:paraId="094B594E" w14:textId="77777777" w:rsidR="00C311FE" w:rsidRPr="00F33558" w:rsidRDefault="00C311FE" w:rsidP="00C311FE">
      <w:pPr>
        <w:pStyle w:val="VAHeadingLevel3"/>
      </w:pPr>
      <w:r w:rsidRPr="00F33558">
        <w:t xml:space="preserve">Local Perspective </w:t>
      </w:r>
    </w:p>
    <w:p w14:paraId="2AADBA63" w14:textId="77777777" w:rsidR="00C311FE" w:rsidRPr="00F33558" w:rsidRDefault="00C311FE" w:rsidP="00C311FE">
      <w:r w:rsidRPr="00F33558">
        <w:t xml:space="preserve">The public ultimately hold policing to account.  At local level </w:t>
      </w:r>
      <w:r>
        <w:t>tax</w:t>
      </w:r>
      <w:r w:rsidRPr="00F33558">
        <w:t>payers vote for the PFCC in each policing geographical area as well as paying for the police element of the council tax.</w:t>
      </w:r>
    </w:p>
    <w:p w14:paraId="65D43284" w14:textId="77777777" w:rsidR="00C311FE" w:rsidRPr="00F33558" w:rsidRDefault="00C311FE" w:rsidP="00C311FE"/>
    <w:p w14:paraId="18A2E7E5" w14:textId="77777777" w:rsidR="00C311FE" w:rsidRPr="00F33558" w:rsidRDefault="00C311FE" w:rsidP="00C311FE">
      <w:r>
        <w:t>Before deciding on the level of</w:t>
      </w:r>
      <w:r w:rsidRPr="00F33558">
        <w:t xml:space="preserve"> precept, the PFCC undertook as wide a range of consultation as possible to obtain the views of Northamptonshire residents.  </w:t>
      </w:r>
    </w:p>
    <w:p w14:paraId="3CA6EBEC" w14:textId="77777777" w:rsidR="00C311FE" w:rsidRPr="00F33558" w:rsidRDefault="00C311FE" w:rsidP="00C311FE"/>
    <w:p w14:paraId="6AB58B42" w14:textId="77777777" w:rsidR="00C311FE" w:rsidRPr="00F33558" w:rsidRDefault="00C311FE" w:rsidP="00C311FE">
      <w:r w:rsidRPr="00F33558">
        <w:t>The highlights from the consultations informed the PFCC precept proposals</w:t>
      </w:r>
      <w:r>
        <w:t xml:space="preserve"> and t</w:t>
      </w:r>
      <w:r w:rsidRPr="00F33558">
        <w:t>he consultation reports are available on the OPFCC website.</w:t>
      </w:r>
    </w:p>
    <w:bookmarkEnd w:id="53"/>
    <w:p w14:paraId="51AC4A9A" w14:textId="77777777" w:rsidR="00C311FE" w:rsidRPr="00913E1E" w:rsidRDefault="00C311FE" w:rsidP="00C311FE">
      <w:pPr>
        <w:rPr>
          <w:szCs w:val="20"/>
        </w:rPr>
      </w:pPr>
    </w:p>
    <w:p w14:paraId="59B6D7CD" w14:textId="77777777" w:rsidR="00C311FE" w:rsidRPr="00913E1E" w:rsidRDefault="00C311FE" w:rsidP="00C311FE">
      <w:pPr>
        <w:pStyle w:val="VAHeading"/>
      </w:pPr>
      <w:bookmarkStart w:id="54" w:name="_Toc167964122"/>
      <w:bookmarkStart w:id="55" w:name="_Hlk167360488"/>
      <w:r w:rsidRPr="00913E1E">
        <w:t>Outlook</w:t>
      </w:r>
      <w:bookmarkEnd w:id="54"/>
    </w:p>
    <w:p w14:paraId="5681B5DA" w14:textId="77777777" w:rsidR="00C311FE" w:rsidRPr="00913E1E" w:rsidRDefault="00C311FE" w:rsidP="00C311FE"/>
    <w:p w14:paraId="492A58FE" w14:textId="77777777" w:rsidR="00C311FE" w:rsidRPr="002E3E09" w:rsidRDefault="00C311FE" w:rsidP="00C311FE">
      <w:pPr>
        <w:pStyle w:val="VAHeadingLevel2"/>
      </w:pPr>
      <w:r w:rsidRPr="002E3E09">
        <w:t>Risks and Opportunities</w:t>
      </w:r>
    </w:p>
    <w:p w14:paraId="78A4D838" w14:textId="77777777" w:rsidR="00C311FE" w:rsidRPr="002E3E09" w:rsidRDefault="00C311FE" w:rsidP="00C311FE">
      <w:bookmarkStart w:id="56" w:name="_Hlk167360201"/>
      <w:r w:rsidRPr="002E3E09">
        <w:t>There are some significant areas of uncertainty which include:</w:t>
      </w:r>
    </w:p>
    <w:p w14:paraId="6707D547" w14:textId="77777777" w:rsidR="00C311FE" w:rsidRPr="002E3E09" w:rsidRDefault="00C311FE" w:rsidP="00C311FE"/>
    <w:p w14:paraId="328DE53A" w14:textId="77777777" w:rsidR="00C311FE" w:rsidRPr="002E3E09" w:rsidRDefault="00C311FE" w:rsidP="00C311FE">
      <w:pPr>
        <w:pStyle w:val="VAHeadingLevel3"/>
      </w:pPr>
      <w:r w:rsidRPr="002E3E09">
        <w:t>The Comprehensive Spending Review (CSR)</w:t>
      </w:r>
    </w:p>
    <w:p w14:paraId="089FB325" w14:textId="77777777" w:rsidR="00C311FE" w:rsidRDefault="00C311FE" w:rsidP="00C311FE">
      <w:r>
        <w:t>This is a governmental process carried out by HM Treasury to set firm expenditure limits and, through public service agreements, define the key improvements that the public can expect from these resources.  The 2021 spending review covered a three-year period to 2024/25.  The next spending review is anticipated in 2024, but until it is announced there is considerable uncertainty around future levels of funding.</w:t>
      </w:r>
    </w:p>
    <w:p w14:paraId="71A85A72" w14:textId="77777777" w:rsidR="00C311FE" w:rsidRPr="002E3E09" w:rsidRDefault="00C311FE" w:rsidP="00C311FE"/>
    <w:p w14:paraId="62A2B69B" w14:textId="77777777" w:rsidR="00C311FE" w:rsidRPr="002E3E09" w:rsidRDefault="00C311FE" w:rsidP="00C311FE">
      <w:pPr>
        <w:pStyle w:val="VAHeadingLevel3"/>
      </w:pPr>
      <w:r>
        <w:t>Economy</w:t>
      </w:r>
    </w:p>
    <w:p w14:paraId="687038F0" w14:textId="77777777" w:rsidR="008C4A5D" w:rsidRPr="008C4A5D" w:rsidRDefault="008C4A5D" w:rsidP="008C4A5D">
      <w:r w:rsidRPr="008C4A5D">
        <w:t>The last effects of the conflicts in Gaza and Ukraine, Brexit and the pandemic have all had an impact on the national and international economies and cost of living.  In the UK, we continue to face higher costs of living and inflation rates than the Bank of England target.</w:t>
      </w:r>
    </w:p>
    <w:p w14:paraId="317508C0" w14:textId="77777777" w:rsidR="00C311FE" w:rsidRPr="00F33558" w:rsidRDefault="00C311FE" w:rsidP="00C311FE"/>
    <w:p w14:paraId="71DD73A8" w14:textId="77777777" w:rsidR="00C311FE" w:rsidRPr="00F33558" w:rsidRDefault="00C311FE" w:rsidP="00C311FE">
      <w:pPr>
        <w:pStyle w:val="VAHeadingLevel3"/>
      </w:pPr>
      <w:r w:rsidRPr="00F33558">
        <w:t>Police Funding Formula</w:t>
      </w:r>
    </w:p>
    <w:p w14:paraId="57AADFED" w14:textId="77777777" w:rsidR="00C311FE" w:rsidRDefault="00C311FE" w:rsidP="00C311FE">
      <w:pPr>
        <w:rPr>
          <w:rFonts w:asciiTheme="minorHAnsi" w:hAnsiTheme="minorHAnsi" w:cstheme="minorHAnsi"/>
          <w:color w:val="auto"/>
          <w:szCs w:val="20"/>
        </w:rPr>
      </w:pPr>
      <w:r w:rsidRPr="00F33558">
        <w:rPr>
          <w:rFonts w:asciiTheme="minorHAnsi" w:hAnsiTheme="minorHAnsi" w:cstheme="minorHAnsi"/>
          <w:color w:val="auto"/>
          <w:szCs w:val="20"/>
        </w:rPr>
        <w:t xml:space="preserve">Funding to Police is by way of national police grants and local council tax precept. </w:t>
      </w:r>
      <w:r>
        <w:rPr>
          <w:rFonts w:asciiTheme="minorHAnsi" w:hAnsiTheme="minorHAnsi" w:cstheme="minorHAnsi"/>
          <w:color w:val="auto"/>
          <w:szCs w:val="20"/>
        </w:rPr>
        <w:t xml:space="preserve"> </w:t>
      </w:r>
      <w:r w:rsidRPr="00F33558">
        <w:rPr>
          <w:rFonts w:asciiTheme="minorHAnsi" w:hAnsiTheme="minorHAnsi" w:cstheme="minorHAnsi"/>
          <w:color w:val="auto"/>
          <w:szCs w:val="20"/>
        </w:rPr>
        <w:t>There are significant differences between force areas in terms of what funding is provided locally and nationally.</w:t>
      </w:r>
    </w:p>
    <w:p w14:paraId="515D7684" w14:textId="77777777" w:rsidR="00C311FE" w:rsidRPr="00F33558" w:rsidRDefault="00C311FE" w:rsidP="00C311FE">
      <w:pPr>
        <w:rPr>
          <w:rFonts w:asciiTheme="minorHAnsi" w:eastAsia="Times New Roman" w:hAnsiTheme="minorHAnsi" w:cstheme="minorHAnsi"/>
          <w:bCs/>
          <w:color w:val="auto"/>
          <w:szCs w:val="20"/>
          <w:lang w:val="en"/>
        </w:rPr>
      </w:pPr>
    </w:p>
    <w:p w14:paraId="0998839E" w14:textId="77777777" w:rsidR="00C311FE" w:rsidRPr="005C1F69" w:rsidRDefault="00C311FE" w:rsidP="00C311FE">
      <w:pPr>
        <w:rPr>
          <w:color w:val="auto"/>
          <w:lang w:val="en"/>
        </w:rPr>
      </w:pPr>
      <w:r w:rsidRPr="00F33558">
        <w:rPr>
          <w:color w:val="auto"/>
          <w:lang w:val="en"/>
        </w:rPr>
        <w:t xml:space="preserve">The police allocation formula (PAF) is essentially a </w:t>
      </w:r>
      <w:r w:rsidRPr="005C1F69">
        <w:rPr>
          <w:color w:val="auto"/>
          <w:lang w:val="en"/>
        </w:rPr>
        <w:t>calculation that uses various data sources (such as population density) to share money between police authorities in England and Wales.</w:t>
      </w:r>
    </w:p>
    <w:p w14:paraId="3AFDF9D3" w14:textId="77777777" w:rsidR="00C311FE" w:rsidRPr="005C1F69" w:rsidRDefault="00C311FE" w:rsidP="00C311FE">
      <w:pPr>
        <w:rPr>
          <w:color w:val="auto"/>
          <w:lang w:val="en"/>
        </w:rPr>
      </w:pPr>
    </w:p>
    <w:p w14:paraId="3C65DAAF" w14:textId="77777777" w:rsidR="00C311FE" w:rsidRPr="005C1F69" w:rsidRDefault="00C311FE" w:rsidP="00C311FE">
      <w:pPr>
        <w:rPr>
          <w:rFonts w:asciiTheme="minorHAnsi" w:eastAsia="Times New Roman" w:hAnsiTheme="minorHAnsi" w:cs="Times New Roman"/>
          <w:bCs/>
          <w:color w:val="auto"/>
          <w:szCs w:val="20"/>
          <w:lang w:val="en"/>
        </w:rPr>
      </w:pPr>
      <w:r w:rsidRPr="005C1F69">
        <w:rPr>
          <w:rFonts w:asciiTheme="minorHAnsi" w:hAnsiTheme="minorHAnsi" w:cstheme="minorHAnsi"/>
          <w:color w:val="auto"/>
          <w:szCs w:val="20"/>
        </w:rPr>
        <w:t>The National Police Funding Formula was “frozen” in 2011/12 and includes population is a key factor in the allocations.</w:t>
      </w:r>
    </w:p>
    <w:p w14:paraId="2A834CE8" w14:textId="77777777" w:rsidR="00C311FE" w:rsidRPr="005C1F69" w:rsidRDefault="00C311FE" w:rsidP="00C311FE">
      <w:pPr>
        <w:autoSpaceDE w:val="0"/>
        <w:autoSpaceDN w:val="0"/>
        <w:adjustRightInd w:val="0"/>
        <w:rPr>
          <w:rFonts w:asciiTheme="minorHAnsi" w:hAnsiTheme="minorHAnsi" w:cstheme="minorHAnsi"/>
          <w:b/>
          <w:bCs/>
          <w:color w:val="auto"/>
          <w:szCs w:val="20"/>
        </w:rPr>
      </w:pPr>
    </w:p>
    <w:p w14:paraId="0A2A3840" w14:textId="77777777" w:rsidR="00C311FE" w:rsidRPr="005C1F69" w:rsidRDefault="00C311FE" w:rsidP="00C311FE">
      <w:pPr>
        <w:rPr>
          <w:rFonts w:eastAsia="Times New Roman"/>
          <w:bCs/>
          <w:color w:val="auto"/>
          <w:lang w:val="en"/>
        </w:rPr>
      </w:pPr>
      <w:r w:rsidRPr="005C1F69">
        <w:rPr>
          <w:color w:val="auto"/>
        </w:rPr>
        <w:t>His Majesty’s Inspectorate of Constabulary (HMICFRS) issue annually the Value for Money profiles</w:t>
      </w:r>
      <w:r>
        <w:rPr>
          <w:color w:val="auto"/>
        </w:rPr>
        <w:t xml:space="preserve"> which reflect that </w:t>
      </w:r>
      <w:r w:rsidRPr="005C1F69">
        <w:rPr>
          <w:color w:val="auto"/>
        </w:rPr>
        <w:t xml:space="preserve">Northamptonshire’s central police grant per head of population is way below the </w:t>
      </w:r>
      <w:r>
        <w:rPr>
          <w:color w:val="auto"/>
        </w:rPr>
        <w:t>n</w:t>
      </w:r>
      <w:r w:rsidRPr="005C1F69">
        <w:rPr>
          <w:color w:val="auto"/>
        </w:rPr>
        <w:t>ational average</w:t>
      </w:r>
      <w:r>
        <w:rPr>
          <w:color w:val="auto"/>
        </w:rPr>
        <w:t>.</w:t>
      </w:r>
    </w:p>
    <w:p w14:paraId="10BCAC2B" w14:textId="77777777" w:rsidR="00C311FE" w:rsidRPr="005C1F69" w:rsidRDefault="00C311FE" w:rsidP="00C311FE">
      <w:pPr>
        <w:rPr>
          <w:color w:val="auto"/>
        </w:rPr>
      </w:pPr>
    </w:p>
    <w:p w14:paraId="3125BAF3" w14:textId="77777777" w:rsidR="00C311FE" w:rsidRPr="005C1F69" w:rsidRDefault="00C311FE" w:rsidP="00C311FE">
      <w:pPr>
        <w:pStyle w:val="VAHeadingLevel3"/>
        <w:rPr>
          <w:rFonts w:eastAsiaTheme="minorEastAsia" w:cstheme="minorBidi"/>
        </w:rPr>
      </w:pPr>
      <w:r w:rsidRPr="005C1F69">
        <w:rPr>
          <w:rFonts w:eastAsiaTheme="minorEastAsia" w:cstheme="minorBidi"/>
        </w:rPr>
        <w:t xml:space="preserve">Changing Demand </w:t>
      </w:r>
    </w:p>
    <w:p w14:paraId="0F81C124" w14:textId="77777777" w:rsidR="00C311FE" w:rsidRPr="005C1F69" w:rsidRDefault="00C311FE" w:rsidP="00C311FE">
      <w:r w:rsidRPr="005C1F69">
        <w:rPr>
          <w:rFonts w:asciiTheme="minorHAnsi" w:eastAsiaTheme="minorEastAsia" w:hAnsiTheme="minorHAnsi"/>
        </w:rPr>
        <w:t>Northamptonshire is a very fast-growing county – its</w:t>
      </w:r>
      <w:r w:rsidRPr="005C1F69">
        <w:t xml:space="preserve"> population has grown higher than national levels </w:t>
      </w:r>
      <w:r>
        <w:t xml:space="preserve">over a number of years.  </w:t>
      </w:r>
      <w:r w:rsidRPr="005C1F69">
        <w:t xml:space="preserve">Increasing population and the demographics of those changes bring </w:t>
      </w:r>
      <w:r w:rsidRPr="005C1F69">
        <w:rPr>
          <w:rFonts w:asciiTheme="minorHAnsi" w:eastAsiaTheme="minorEastAsia" w:hAnsiTheme="minorHAnsi"/>
        </w:rPr>
        <w:t>policing</w:t>
      </w:r>
      <w:r w:rsidRPr="005C1F69">
        <w:t xml:space="preserve"> challenges.  Together with the issue of more complex and changing demands on the police, it is essential that resources are prioritised to meet these challenges.</w:t>
      </w:r>
    </w:p>
    <w:p w14:paraId="7FDB32C7" w14:textId="77777777" w:rsidR="00C311FE" w:rsidRPr="005C1F69" w:rsidRDefault="00C311FE" w:rsidP="00C311FE"/>
    <w:p w14:paraId="1737FF0C" w14:textId="77777777" w:rsidR="00C311FE" w:rsidRPr="00FE18B4" w:rsidRDefault="00C311FE" w:rsidP="00C311FE">
      <w:pPr>
        <w:pStyle w:val="VAHeadingLevel2"/>
        <w:rPr>
          <w:sz w:val="20"/>
          <w:szCs w:val="20"/>
        </w:rPr>
      </w:pPr>
      <w:r w:rsidRPr="00FE18B4">
        <w:rPr>
          <w:sz w:val="20"/>
          <w:szCs w:val="20"/>
        </w:rPr>
        <w:t>HMICFRS</w:t>
      </w:r>
    </w:p>
    <w:p w14:paraId="5A40217C" w14:textId="77777777" w:rsidR="00C311FE" w:rsidRDefault="00C311FE" w:rsidP="00C311FE">
      <w:r w:rsidRPr="00FE18B4">
        <w:t xml:space="preserve">The most recent inspection findings and improvements are outlined earlier in the narrative statement.  There has been a great amount of focus by the Force on areas for improvement, and the HMICFRS recognises the progress that has been made.  </w:t>
      </w:r>
    </w:p>
    <w:p w14:paraId="69517FBD" w14:textId="77777777" w:rsidR="00C311FE" w:rsidRPr="005C1F69" w:rsidRDefault="00C311FE" w:rsidP="00C311FE"/>
    <w:bookmarkEnd w:id="56"/>
    <w:p w14:paraId="769E72DD" w14:textId="77777777" w:rsidR="00C311FE" w:rsidRPr="008A1D5A" w:rsidRDefault="00C311FE" w:rsidP="00C311FE">
      <w:pPr>
        <w:pStyle w:val="VAHeadingLevel2"/>
        <w:rPr>
          <w:sz w:val="20"/>
          <w:szCs w:val="20"/>
        </w:rPr>
      </w:pPr>
      <w:r w:rsidRPr="008A1D5A">
        <w:rPr>
          <w:sz w:val="20"/>
          <w:szCs w:val="20"/>
        </w:rPr>
        <w:t>Estate</w:t>
      </w:r>
    </w:p>
    <w:p w14:paraId="37A97622" w14:textId="77777777" w:rsidR="00C311FE" w:rsidRPr="008A1D5A" w:rsidRDefault="00C311FE" w:rsidP="00C311FE">
      <w:r w:rsidRPr="008A1D5A">
        <w:t>Northamptonshire Police operates within an ageing estate and there had been a history of limited investment.</w:t>
      </w:r>
    </w:p>
    <w:p w14:paraId="7B25B4EA" w14:textId="77777777" w:rsidR="00C311FE" w:rsidRPr="008A1D5A" w:rsidRDefault="00C311FE" w:rsidP="00C311FE"/>
    <w:p w14:paraId="709A688B" w14:textId="51E9D0D3" w:rsidR="00C311FE" w:rsidRPr="005C1F69" w:rsidRDefault="00C311FE" w:rsidP="00C311FE">
      <w:r w:rsidRPr="008A1D5A">
        <w:t xml:space="preserve">The PFCC </w:t>
      </w:r>
      <w:r>
        <w:t>i</w:t>
      </w:r>
      <w:r w:rsidRPr="008A1D5A">
        <w:t>s committed to bringing together the Estates Strategies for NCFRA and the PFCC to improve services for Northamptonshire across both Fire and Policing.  A new longer</w:t>
      </w:r>
      <w:r w:rsidR="00550492">
        <w:t xml:space="preserve"> </w:t>
      </w:r>
      <w:r w:rsidRPr="008A1D5A">
        <w:t>term masterplan and strategy are underway.</w:t>
      </w:r>
    </w:p>
    <w:p w14:paraId="6EA9A04B" w14:textId="77777777" w:rsidR="00C311FE" w:rsidRPr="005C1F69" w:rsidRDefault="00C311FE" w:rsidP="00C311FE"/>
    <w:p w14:paraId="7C774A90" w14:textId="77777777" w:rsidR="00C311FE" w:rsidRPr="005C1F69" w:rsidRDefault="00C311FE" w:rsidP="00C311FE">
      <w:pPr>
        <w:pStyle w:val="VAHeadingLevel2"/>
      </w:pPr>
      <w:bookmarkStart w:id="57" w:name="_Hlk167360385"/>
      <w:r w:rsidRPr="005C1F69">
        <w:rPr>
          <w:sz w:val="20"/>
          <w:szCs w:val="20"/>
        </w:rPr>
        <w:t>Medium Term Financial Outlook</w:t>
      </w:r>
    </w:p>
    <w:p w14:paraId="0774771E" w14:textId="77777777" w:rsidR="00C311FE" w:rsidRPr="005C1F69" w:rsidRDefault="00C311FE" w:rsidP="00C311FE">
      <w:r w:rsidRPr="005C1F69">
        <w:t>Whilst the 202</w:t>
      </w:r>
      <w:r>
        <w:t>4</w:t>
      </w:r>
      <w:r w:rsidRPr="005C1F69">
        <w:t>/2</w:t>
      </w:r>
      <w:r>
        <w:t>5</w:t>
      </w:r>
      <w:r w:rsidRPr="005C1F69">
        <w:t xml:space="preserve"> budget has been balanced, this is predicated on a level of savings and efficiencies and there are shortfalls identified from 202</w:t>
      </w:r>
      <w:r>
        <w:t>5</w:t>
      </w:r>
      <w:r w:rsidRPr="005C1F69">
        <w:t>/2</w:t>
      </w:r>
      <w:r>
        <w:t>6</w:t>
      </w:r>
      <w:r w:rsidRPr="005C1F69">
        <w:t>.  The force has already begun to identify savings to meet this challenge and work to identify further savings continues.</w:t>
      </w:r>
    </w:p>
    <w:p w14:paraId="1A0A76AB" w14:textId="77777777" w:rsidR="00C311FE" w:rsidRPr="005C1F69" w:rsidRDefault="00C311FE" w:rsidP="00C311FE"/>
    <w:p w14:paraId="1E773D83" w14:textId="77777777" w:rsidR="00C311FE" w:rsidRPr="00711884" w:rsidRDefault="00C311FE" w:rsidP="00C311FE">
      <w:r w:rsidRPr="005C1F69">
        <w:lastRenderedPageBreak/>
        <w:t xml:space="preserve">To ensure continuous </w:t>
      </w:r>
      <w:r w:rsidRPr="00711884">
        <w:t>investment in the force with uncertain funding streams in the future, the PFCC has set the force an annual 1% efficiency target.  The PFCC has committed that efficiencies can be reinvested by the force into new opportunities and demands.</w:t>
      </w:r>
    </w:p>
    <w:p w14:paraId="5F7F97B1" w14:textId="77777777" w:rsidR="00C311FE" w:rsidRPr="00711884" w:rsidRDefault="00C311FE" w:rsidP="00C311FE"/>
    <w:p w14:paraId="3CEB379E" w14:textId="77777777" w:rsidR="00C311FE" w:rsidRPr="00711884" w:rsidRDefault="00C311FE" w:rsidP="00C311FE">
      <w:pPr>
        <w:pStyle w:val="VAHeadingLevel2"/>
        <w:rPr>
          <w:sz w:val="20"/>
          <w:szCs w:val="20"/>
        </w:rPr>
      </w:pPr>
      <w:r w:rsidRPr="00711884">
        <w:rPr>
          <w:sz w:val="20"/>
          <w:szCs w:val="20"/>
        </w:rPr>
        <w:t xml:space="preserve">Enabling Services and </w:t>
      </w:r>
      <w:r>
        <w:rPr>
          <w:sz w:val="20"/>
          <w:szCs w:val="20"/>
        </w:rPr>
        <w:t>Joint Working</w:t>
      </w:r>
    </w:p>
    <w:p w14:paraId="26C18BD5" w14:textId="77777777" w:rsidR="00C311FE" w:rsidRPr="00711884" w:rsidRDefault="00C311FE" w:rsidP="00C311FE">
      <w:pPr>
        <w:rPr>
          <w:rFonts w:cs="Arial"/>
        </w:rPr>
      </w:pPr>
      <w:r w:rsidRPr="00711884">
        <w:rPr>
          <w:rFonts w:cs="Arial"/>
        </w:rPr>
        <w:t>Both the Police and Crime Plan and the Fire and Rescue Plan demonstrate the commitment of the PFCC, the CC and NCFRA to actively seek opportunities to work together to deliver more efficient and effective public services.</w:t>
      </w:r>
    </w:p>
    <w:p w14:paraId="6A1E1F47" w14:textId="77777777" w:rsidR="00C311FE" w:rsidRPr="00711884" w:rsidRDefault="00C311FE" w:rsidP="00C311FE">
      <w:pPr>
        <w:rPr>
          <w:rFonts w:cs="Arial"/>
        </w:rPr>
      </w:pPr>
    </w:p>
    <w:p w14:paraId="20A2C9C7" w14:textId="77777777" w:rsidR="00C311FE" w:rsidRPr="00711884" w:rsidRDefault="00C311FE" w:rsidP="00C311FE">
      <w:pPr>
        <w:rPr>
          <w:rFonts w:cs="Arial"/>
        </w:rPr>
      </w:pPr>
      <w:r w:rsidRPr="00711884">
        <w:rPr>
          <w:rFonts w:cs="Arial"/>
        </w:rPr>
        <w:t xml:space="preserve">It is the PFCC’s expectation that over time the following will be delivered: </w:t>
      </w:r>
    </w:p>
    <w:p w14:paraId="202388BF" w14:textId="77777777" w:rsidR="00C311FE" w:rsidRPr="00711884" w:rsidRDefault="00C311FE" w:rsidP="00C311FE">
      <w:pPr>
        <w:pStyle w:val="RedBullet"/>
        <w:ind w:left="714" w:hanging="357"/>
      </w:pPr>
      <w:r w:rsidRPr="00711884">
        <w:t>Shared Enabling Services</w:t>
      </w:r>
    </w:p>
    <w:p w14:paraId="0E41DCBC" w14:textId="77777777" w:rsidR="00C311FE" w:rsidRPr="00711884" w:rsidRDefault="00C311FE" w:rsidP="00C311FE">
      <w:pPr>
        <w:pStyle w:val="RedBullet"/>
        <w:ind w:left="714" w:hanging="357"/>
      </w:pPr>
      <w:r w:rsidRPr="00711884">
        <w:t>Shared Estates Strategy</w:t>
      </w:r>
    </w:p>
    <w:p w14:paraId="0FBDC781" w14:textId="77777777" w:rsidR="00C311FE" w:rsidRPr="00711884" w:rsidRDefault="00C311FE" w:rsidP="00C311FE">
      <w:pPr>
        <w:pStyle w:val="RedBullet"/>
        <w:ind w:left="714" w:hanging="357"/>
      </w:pPr>
      <w:r w:rsidRPr="00711884">
        <w:t>Shared Prevention Approaches</w:t>
      </w:r>
    </w:p>
    <w:p w14:paraId="7E9B63F8" w14:textId="77777777" w:rsidR="00C311FE" w:rsidRPr="00711884" w:rsidRDefault="00C311FE" w:rsidP="00C311FE">
      <w:pPr>
        <w:pStyle w:val="RedBullet"/>
        <w:ind w:left="714" w:hanging="357"/>
      </w:pPr>
      <w:r w:rsidRPr="00711884">
        <w:t>Interoperability</w:t>
      </w:r>
    </w:p>
    <w:p w14:paraId="2A572592" w14:textId="77777777" w:rsidR="00C311FE" w:rsidRPr="00711884" w:rsidRDefault="00C311FE" w:rsidP="00C311FE">
      <w:pPr>
        <w:rPr>
          <w:b/>
          <w:bCs/>
        </w:rPr>
      </w:pPr>
    </w:p>
    <w:p w14:paraId="6C490AE8" w14:textId="77777777" w:rsidR="00C311FE" w:rsidRDefault="00C311FE" w:rsidP="00C311FE">
      <w:pPr>
        <w:rPr>
          <w:rFonts w:cs="Arial"/>
        </w:rPr>
      </w:pPr>
      <w:r w:rsidRPr="00711884">
        <w:rPr>
          <w:rFonts w:cs="Arial"/>
        </w:rPr>
        <w:t>An Assistant Chief Officer for Enabling Services continued in role during the year and shared teams for HR, Finance, Estates, Digital and Fleet are in place and further opportunities continue to be explored.</w:t>
      </w:r>
    </w:p>
    <w:bookmarkEnd w:id="57"/>
    <w:p w14:paraId="49346150" w14:textId="77777777" w:rsidR="00C311FE" w:rsidRPr="00E4546A" w:rsidRDefault="00C311FE" w:rsidP="00C311FE">
      <w:pPr>
        <w:rPr>
          <w:rFonts w:cs="Arial"/>
        </w:rPr>
      </w:pPr>
    </w:p>
    <w:p w14:paraId="79861DCA" w14:textId="77777777" w:rsidR="00C311FE" w:rsidRPr="001D3A64" w:rsidRDefault="00C311FE" w:rsidP="00C311FE">
      <w:pPr>
        <w:pStyle w:val="VAHeading"/>
      </w:pPr>
      <w:bookmarkStart w:id="58" w:name="_Toc167964123"/>
      <w:r w:rsidRPr="001D3A64">
        <w:t>The Financial Statements</w:t>
      </w:r>
      <w:bookmarkEnd w:id="58"/>
    </w:p>
    <w:p w14:paraId="2931C585" w14:textId="77777777" w:rsidR="00C311FE" w:rsidRPr="001D3A64" w:rsidRDefault="00C311FE" w:rsidP="00C311FE">
      <w:pPr>
        <w:rPr>
          <w:lang w:eastAsia="en-GB"/>
        </w:rPr>
      </w:pPr>
    </w:p>
    <w:p w14:paraId="757351F6" w14:textId="77777777" w:rsidR="00C311FE" w:rsidRPr="001D3A64" w:rsidRDefault="00C311FE" w:rsidP="00C311FE">
      <w:pPr>
        <w:rPr>
          <w:rFonts w:cs="Arial"/>
          <w:bCs/>
          <w:szCs w:val="20"/>
        </w:rPr>
      </w:pPr>
      <w:r w:rsidRPr="001D3A64">
        <w:rPr>
          <w:rFonts w:cs="Arial"/>
          <w:bCs/>
          <w:szCs w:val="20"/>
        </w:rPr>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641C319E" w14:textId="77777777" w:rsidR="00C311FE" w:rsidRPr="001D3A64" w:rsidRDefault="00C311FE" w:rsidP="00C311FE">
      <w:pPr>
        <w:rPr>
          <w:rFonts w:cs="Arial"/>
          <w:bCs/>
          <w:szCs w:val="20"/>
        </w:rPr>
      </w:pPr>
    </w:p>
    <w:p w14:paraId="28A85FEE" w14:textId="32F6F055" w:rsidR="00C311FE" w:rsidRPr="001D3A64" w:rsidRDefault="00C311FE" w:rsidP="00C311FE">
      <w:pPr>
        <w:rPr>
          <w:rFonts w:cs="Arial"/>
          <w:bCs/>
          <w:szCs w:val="20"/>
        </w:rPr>
      </w:pPr>
      <w:r w:rsidRPr="001D3A64">
        <w:rPr>
          <w:rFonts w:cs="Arial"/>
          <w:bCs/>
          <w:szCs w:val="20"/>
        </w:rPr>
        <w:t>This document contains the accounts of the Chief Constable</w:t>
      </w:r>
      <w:r w:rsidR="002D4EEF">
        <w:rPr>
          <w:rFonts w:cs="Arial"/>
          <w:bCs/>
          <w:szCs w:val="20"/>
        </w:rPr>
        <w:t xml:space="preserve"> as well as supplementary information</w:t>
      </w:r>
      <w:r w:rsidRPr="001D3A64">
        <w:rPr>
          <w:rFonts w:cs="Arial"/>
          <w:bCs/>
          <w:szCs w:val="20"/>
        </w:rPr>
        <w:t xml:space="preserve">, which should be read in conjunction with the OPFCC </w:t>
      </w:r>
      <w:r w:rsidR="002D4EEF">
        <w:rPr>
          <w:rFonts w:cs="Arial"/>
          <w:bCs/>
          <w:szCs w:val="20"/>
        </w:rPr>
        <w:t xml:space="preserve">accounts </w:t>
      </w:r>
      <w:r w:rsidRPr="001D3A64">
        <w:rPr>
          <w:rFonts w:cs="Arial"/>
          <w:bCs/>
          <w:szCs w:val="20"/>
        </w:rPr>
        <w:t>and are consolidated into the group position.</w:t>
      </w:r>
    </w:p>
    <w:p w14:paraId="5D609B0F" w14:textId="27039D44" w:rsidR="009E7F67" w:rsidRDefault="009E7F67" w:rsidP="00C311FE"/>
    <w:p w14:paraId="459B40B6" w14:textId="080C5D36" w:rsidR="00C311FE" w:rsidRPr="001D3A64" w:rsidRDefault="00C311FE" w:rsidP="00C311FE">
      <w:r w:rsidRPr="001D3A64">
        <w:t>The key s</w:t>
      </w:r>
      <w:r w:rsidR="009E7F67">
        <w:t>ections</w:t>
      </w:r>
      <w:r w:rsidRPr="001D3A64">
        <w:t xml:space="preserve"> are as follows:</w:t>
      </w:r>
    </w:p>
    <w:p w14:paraId="700E686C" w14:textId="77777777" w:rsidR="00C311FE" w:rsidRDefault="00C311FE" w:rsidP="00C311FE">
      <w:pPr>
        <w:rPr>
          <w:rFonts w:cs="Arial"/>
          <w:bCs/>
          <w:szCs w:val="20"/>
        </w:rPr>
      </w:pPr>
    </w:p>
    <w:p w14:paraId="15E10B4D" w14:textId="64920E2B" w:rsidR="002F0EED" w:rsidRPr="002F0EED" w:rsidRDefault="002F0EED" w:rsidP="002F0EED">
      <w:pPr>
        <w:pStyle w:val="VAHeadingLevel2"/>
      </w:pPr>
      <w:r w:rsidRPr="002F0EED">
        <w:t>Primary Statements</w:t>
      </w:r>
    </w:p>
    <w:p w14:paraId="1C678B5E" w14:textId="77777777" w:rsidR="002F0EED" w:rsidRDefault="002F0EED" w:rsidP="00C311FE">
      <w:pPr>
        <w:rPr>
          <w:rFonts w:cs="Arial"/>
          <w:bCs/>
          <w:szCs w:val="20"/>
        </w:rPr>
      </w:pPr>
    </w:p>
    <w:p w14:paraId="09984B4B" w14:textId="77777777" w:rsidR="002F0EED" w:rsidRPr="002F0EED" w:rsidRDefault="002F0EED" w:rsidP="002F0EED">
      <w:pPr>
        <w:pStyle w:val="VAHeadingLevel2"/>
        <w:rPr>
          <w:sz w:val="20"/>
          <w:szCs w:val="20"/>
        </w:rPr>
      </w:pPr>
      <w:r w:rsidRPr="002F0EED">
        <w:rPr>
          <w:sz w:val="20"/>
          <w:szCs w:val="20"/>
        </w:rPr>
        <w:t>Movement in Reserves Statement (MiRS)</w:t>
      </w:r>
    </w:p>
    <w:p w14:paraId="328D217D" w14:textId="77777777" w:rsidR="002F0EED" w:rsidRPr="001D3A64" w:rsidRDefault="002F0EED" w:rsidP="002F0EED">
      <w:pPr>
        <w:rPr>
          <w:rFonts w:cs="Arial"/>
          <w:bCs/>
          <w:szCs w:val="20"/>
        </w:rPr>
      </w:pPr>
      <w:r w:rsidRPr="001D3A64">
        <w:rPr>
          <w:rFonts w:cs="Arial"/>
          <w:bCs/>
          <w:szCs w:val="20"/>
        </w:rPr>
        <w:t xml:space="preserve">This statement shows the movement in the year on the different reserves held by the PFCC.  It shows how the deficit/(surplus) for the year in the Comprehensive </w:t>
      </w:r>
      <w:r w:rsidRPr="001D3A64">
        <w:rPr>
          <w:rFonts w:cs="Arial"/>
          <w:bCs/>
          <w:szCs w:val="20"/>
        </w:rPr>
        <w:t>Income and Expenditure Statement is adjusted by the costs that are not a charge to local taxpayers.</w:t>
      </w:r>
    </w:p>
    <w:p w14:paraId="6B4A7673" w14:textId="77777777" w:rsidR="002F0EED" w:rsidRPr="001D3A64" w:rsidRDefault="002F0EED" w:rsidP="002F0EED">
      <w:pPr>
        <w:rPr>
          <w:rFonts w:cs="Arial"/>
          <w:bCs/>
          <w:szCs w:val="20"/>
        </w:rPr>
      </w:pPr>
    </w:p>
    <w:p w14:paraId="22AF02E7" w14:textId="77777777" w:rsidR="002F0EED" w:rsidRPr="002F0EED" w:rsidRDefault="002F0EED" w:rsidP="002F0EED">
      <w:pPr>
        <w:pStyle w:val="VAHeadingLevel2"/>
        <w:rPr>
          <w:sz w:val="20"/>
          <w:szCs w:val="20"/>
        </w:rPr>
      </w:pPr>
      <w:r w:rsidRPr="002F0EED">
        <w:rPr>
          <w:sz w:val="20"/>
          <w:szCs w:val="20"/>
        </w:rPr>
        <w:t>Comprehensive Income and Expenditure Statement (CIES)</w:t>
      </w:r>
    </w:p>
    <w:p w14:paraId="2F0F2BC4" w14:textId="77777777" w:rsidR="002F0EED" w:rsidRPr="001D3A64" w:rsidRDefault="002F0EED" w:rsidP="002F0EED">
      <w:pPr>
        <w:rPr>
          <w:rFonts w:cs="Arial"/>
          <w:bCs/>
          <w:szCs w:val="20"/>
        </w:rPr>
      </w:pPr>
      <w:r w:rsidRPr="001D3A64">
        <w:rPr>
          <w:rFonts w:cs="Arial"/>
          <w:bCs/>
          <w:szCs w:val="20"/>
        </w:rPr>
        <w:t>This statement shows the income and expenditure accounting cost in the year of providing services under IFRS.</w:t>
      </w:r>
    </w:p>
    <w:p w14:paraId="740EBB7E" w14:textId="77777777" w:rsidR="002F0EED" w:rsidRPr="001D3A64" w:rsidRDefault="002F0EED" w:rsidP="002F0EED">
      <w:pPr>
        <w:rPr>
          <w:rFonts w:cs="Arial"/>
          <w:bCs/>
          <w:szCs w:val="20"/>
        </w:rPr>
      </w:pPr>
    </w:p>
    <w:p w14:paraId="743BC0F0" w14:textId="77777777" w:rsidR="002F0EED" w:rsidRPr="002F0EED" w:rsidRDefault="002F0EED" w:rsidP="002F0EED">
      <w:pPr>
        <w:pStyle w:val="VAHeadingLevel2"/>
        <w:rPr>
          <w:sz w:val="20"/>
          <w:szCs w:val="20"/>
        </w:rPr>
      </w:pPr>
      <w:r w:rsidRPr="002F0EED">
        <w:rPr>
          <w:sz w:val="20"/>
          <w:szCs w:val="20"/>
        </w:rPr>
        <w:t>Balance Sheet (BS)</w:t>
      </w:r>
    </w:p>
    <w:p w14:paraId="3365B43E" w14:textId="77777777" w:rsidR="002F0EED" w:rsidRDefault="002F0EED" w:rsidP="002F0EED">
      <w:pPr>
        <w:rPr>
          <w:rFonts w:cs="Arial"/>
          <w:bCs/>
          <w:szCs w:val="20"/>
        </w:rPr>
      </w:pPr>
      <w:r w:rsidRPr="001D3A64">
        <w:rPr>
          <w:rFonts w:cs="Arial"/>
          <w:bCs/>
          <w:szCs w:val="20"/>
        </w:rPr>
        <w:t>The balance sheet shows the PFCC’s assets, liabilities and reserve balances at the financial year end date.</w:t>
      </w:r>
    </w:p>
    <w:p w14:paraId="5FC08E81" w14:textId="77777777" w:rsidR="002F0EED" w:rsidRPr="002F0EED" w:rsidRDefault="002F0EED" w:rsidP="002F0EED">
      <w:pPr>
        <w:rPr>
          <w:rFonts w:cs="Arial"/>
          <w:bCs/>
          <w:sz w:val="16"/>
          <w:szCs w:val="16"/>
        </w:rPr>
      </w:pPr>
    </w:p>
    <w:p w14:paraId="7927DED9" w14:textId="77777777" w:rsidR="002F0EED" w:rsidRPr="002F0EED" w:rsidRDefault="002F0EED" w:rsidP="002F0EED">
      <w:pPr>
        <w:pStyle w:val="VAHeadingLevel2"/>
        <w:rPr>
          <w:sz w:val="20"/>
          <w:szCs w:val="20"/>
        </w:rPr>
      </w:pPr>
      <w:r w:rsidRPr="002F0EED">
        <w:rPr>
          <w:sz w:val="20"/>
          <w:szCs w:val="20"/>
        </w:rPr>
        <w:t xml:space="preserve">Cash Flow Statement </w:t>
      </w:r>
    </w:p>
    <w:p w14:paraId="099D31EE" w14:textId="77777777" w:rsidR="002F0EED" w:rsidRPr="001D3A64" w:rsidRDefault="002F0EED" w:rsidP="002F0EED">
      <w:pPr>
        <w:rPr>
          <w:rFonts w:cs="Arial"/>
          <w:bCs/>
          <w:szCs w:val="20"/>
        </w:rPr>
      </w:pPr>
      <w:r w:rsidRPr="001D3A64">
        <w:rPr>
          <w:rFonts w:cs="Arial"/>
          <w:bCs/>
          <w:szCs w:val="20"/>
        </w:rPr>
        <w:t xml:space="preserve">This statement shows the reason for changes in cash balances during the year and the balance held by the PFCC at the end of the financial year. </w:t>
      </w:r>
    </w:p>
    <w:p w14:paraId="0B319E73" w14:textId="77777777" w:rsidR="002F0EED" w:rsidRDefault="002F0EED" w:rsidP="00C311FE">
      <w:pPr>
        <w:rPr>
          <w:rFonts w:cs="Arial"/>
          <w:bCs/>
          <w:szCs w:val="20"/>
        </w:rPr>
      </w:pPr>
    </w:p>
    <w:p w14:paraId="036865A6" w14:textId="253D8547" w:rsidR="00EE3454" w:rsidRPr="002F0EED" w:rsidRDefault="00EE3454" w:rsidP="00EE3454">
      <w:pPr>
        <w:pStyle w:val="VAHeadingLevel2"/>
      </w:pPr>
      <w:r>
        <w:t xml:space="preserve">Key </w:t>
      </w:r>
      <w:r w:rsidR="004F0EA3">
        <w:t>Disclosures</w:t>
      </w:r>
    </w:p>
    <w:p w14:paraId="787BE130" w14:textId="77777777" w:rsidR="00C311FE" w:rsidRPr="001D3A64" w:rsidRDefault="00C311FE" w:rsidP="00C311FE">
      <w:pPr>
        <w:rPr>
          <w:rFonts w:cs="Arial"/>
          <w:bCs/>
          <w:szCs w:val="20"/>
        </w:rPr>
      </w:pPr>
    </w:p>
    <w:p w14:paraId="437AEEDD" w14:textId="77777777" w:rsidR="00C311FE" w:rsidRPr="004F0EA3" w:rsidRDefault="00C311FE" w:rsidP="00C311FE">
      <w:pPr>
        <w:pStyle w:val="VAHeadingLevel2"/>
        <w:rPr>
          <w:sz w:val="20"/>
          <w:szCs w:val="20"/>
        </w:rPr>
      </w:pPr>
      <w:r w:rsidRPr="004F0EA3">
        <w:rPr>
          <w:sz w:val="20"/>
          <w:szCs w:val="20"/>
        </w:rPr>
        <w:t>Notes to the Financial Statements</w:t>
      </w:r>
    </w:p>
    <w:p w14:paraId="5E2A7B03" w14:textId="77777777" w:rsidR="00C311FE" w:rsidRPr="001D3A64" w:rsidRDefault="00C311FE" w:rsidP="00C311FE">
      <w:pPr>
        <w:rPr>
          <w:rFonts w:cs="Arial"/>
          <w:bCs/>
          <w:szCs w:val="20"/>
        </w:rPr>
      </w:pPr>
      <w:r w:rsidRPr="001D3A64">
        <w:rPr>
          <w:rFonts w:cs="Arial"/>
          <w:bCs/>
          <w:szCs w:val="20"/>
        </w:rPr>
        <w:t xml:space="preserve">These include information required by the Code and additional material items of interest to assist the reader’s understanding of the reported figures. </w:t>
      </w:r>
    </w:p>
    <w:p w14:paraId="1EBDFD0E" w14:textId="77777777" w:rsidR="00C311FE" w:rsidRPr="001D3A64" w:rsidRDefault="00C311FE" w:rsidP="00C311FE">
      <w:pPr>
        <w:rPr>
          <w:rFonts w:cs="Arial"/>
          <w:bCs/>
          <w:szCs w:val="20"/>
        </w:rPr>
      </w:pPr>
    </w:p>
    <w:p w14:paraId="79A1C931" w14:textId="77777777" w:rsidR="00C311FE" w:rsidRPr="004F0EA3" w:rsidRDefault="00C311FE" w:rsidP="00C311FE">
      <w:pPr>
        <w:pStyle w:val="VAHeadingLevel2"/>
        <w:rPr>
          <w:sz w:val="20"/>
          <w:szCs w:val="20"/>
        </w:rPr>
      </w:pPr>
      <w:r w:rsidRPr="004F0EA3">
        <w:rPr>
          <w:sz w:val="20"/>
          <w:szCs w:val="20"/>
        </w:rPr>
        <w:t xml:space="preserve">Events after the reporting period and authorised for issue date </w:t>
      </w:r>
    </w:p>
    <w:p w14:paraId="70A29993" w14:textId="20A684E1" w:rsidR="002F0EED" w:rsidRDefault="00C311FE" w:rsidP="00C311FE">
      <w:pPr>
        <w:rPr>
          <w:rFonts w:cs="Arial"/>
          <w:bCs/>
          <w:szCs w:val="20"/>
        </w:rPr>
      </w:pPr>
      <w:r w:rsidRPr="001D3A64">
        <w:rPr>
          <w:rFonts w:cs="Arial"/>
          <w:bCs/>
          <w:szCs w:val="20"/>
        </w:rPr>
        <w:t xml:space="preserve">This summarises any major events that happened between the year-end and the authorised-for-issue date.  Events coming to light after the authorised-for-issue date will not be included in the financial statements. </w:t>
      </w:r>
    </w:p>
    <w:p w14:paraId="7DBF72C8" w14:textId="77777777" w:rsidR="00647F8D" w:rsidRPr="00647F8D" w:rsidRDefault="00647F8D" w:rsidP="00C311FE">
      <w:pPr>
        <w:rPr>
          <w:rFonts w:cs="Arial"/>
          <w:bCs/>
          <w:szCs w:val="20"/>
        </w:rPr>
      </w:pPr>
    </w:p>
    <w:p w14:paraId="7B2F6BC6" w14:textId="77777777" w:rsidR="00C311FE" w:rsidRPr="00647F8D" w:rsidRDefault="00C311FE" w:rsidP="00C311FE">
      <w:pPr>
        <w:pStyle w:val="VAHeadingLevel2"/>
        <w:rPr>
          <w:sz w:val="20"/>
          <w:szCs w:val="20"/>
        </w:rPr>
      </w:pPr>
      <w:r w:rsidRPr="00647F8D">
        <w:rPr>
          <w:sz w:val="20"/>
          <w:szCs w:val="20"/>
        </w:rPr>
        <w:t xml:space="preserve">Accounting Policies </w:t>
      </w:r>
    </w:p>
    <w:p w14:paraId="65467C12" w14:textId="77777777" w:rsidR="00C311FE" w:rsidRPr="001D3A64" w:rsidRDefault="00C311FE" w:rsidP="00C311FE">
      <w:pPr>
        <w:rPr>
          <w:rFonts w:cs="Arial"/>
          <w:bCs/>
          <w:szCs w:val="20"/>
        </w:rPr>
      </w:pPr>
      <w:r w:rsidRPr="001D3A64">
        <w:rPr>
          <w:rFonts w:cs="Arial"/>
          <w:bCs/>
          <w:szCs w:val="20"/>
        </w:rPr>
        <w:t>These outline the principles used for how we account and prepare our financial statements.</w:t>
      </w:r>
    </w:p>
    <w:p w14:paraId="5C12A32B" w14:textId="77777777" w:rsidR="00C311FE" w:rsidRPr="001D3A64" w:rsidRDefault="00C311FE" w:rsidP="00C311FE">
      <w:pPr>
        <w:rPr>
          <w:rFonts w:cs="Arial"/>
          <w:bCs/>
          <w:szCs w:val="20"/>
          <w:u w:val="single"/>
        </w:rPr>
      </w:pPr>
    </w:p>
    <w:p w14:paraId="520A8049" w14:textId="77777777" w:rsidR="00C311FE" w:rsidRPr="00647F8D" w:rsidRDefault="00C311FE" w:rsidP="00C311FE">
      <w:pPr>
        <w:pStyle w:val="VAHeadingLevel2"/>
        <w:rPr>
          <w:sz w:val="20"/>
          <w:szCs w:val="20"/>
        </w:rPr>
      </w:pPr>
      <w:r w:rsidRPr="00647F8D">
        <w:rPr>
          <w:sz w:val="20"/>
          <w:szCs w:val="20"/>
        </w:rPr>
        <w:t xml:space="preserve">Glossary of financial terms </w:t>
      </w:r>
    </w:p>
    <w:p w14:paraId="77E85E49" w14:textId="77777777" w:rsidR="00C311FE" w:rsidRPr="001D3A64" w:rsidRDefault="00C311FE" w:rsidP="00C311FE">
      <w:pPr>
        <w:rPr>
          <w:rFonts w:cs="Arial"/>
          <w:bCs/>
          <w:szCs w:val="20"/>
        </w:rPr>
      </w:pPr>
      <w:r w:rsidRPr="001D3A64">
        <w:rPr>
          <w:rFonts w:cs="Arial"/>
          <w:bCs/>
          <w:szCs w:val="20"/>
        </w:rPr>
        <w:t>The nature of this document means that technical words are unavoidable.  The glossary is intended to simplify and explain such words.</w:t>
      </w:r>
    </w:p>
    <w:p w14:paraId="28761AB2" w14:textId="77777777" w:rsidR="00C311FE" w:rsidRPr="001D3A64" w:rsidRDefault="00C311FE" w:rsidP="00C311FE">
      <w:pPr>
        <w:rPr>
          <w:rFonts w:cs="Arial"/>
          <w:bCs/>
          <w:szCs w:val="20"/>
        </w:rPr>
      </w:pPr>
    </w:p>
    <w:p w14:paraId="55EAE206" w14:textId="77777777" w:rsidR="00C311FE" w:rsidRPr="00647F8D" w:rsidRDefault="00C311FE" w:rsidP="00C311FE">
      <w:pPr>
        <w:pStyle w:val="VAHeadingLevel2"/>
        <w:rPr>
          <w:sz w:val="20"/>
          <w:szCs w:val="20"/>
        </w:rPr>
      </w:pPr>
      <w:r w:rsidRPr="00647F8D">
        <w:rPr>
          <w:sz w:val="20"/>
          <w:szCs w:val="20"/>
        </w:rPr>
        <w:t xml:space="preserve">Statement of Provisions </w:t>
      </w:r>
    </w:p>
    <w:p w14:paraId="2EEDE556" w14:textId="77777777" w:rsidR="00C311FE" w:rsidRPr="001D3A64" w:rsidRDefault="00C311FE" w:rsidP="00C311FE">
      <w:pPr>
        <w:rPr>
          <w:rFonts w:cs="Arial"/>
          <w:szCs w:val="20"/>
        </w:rPr>
      </w:pPr>
      <w:r w:rsidRPr="001D3A64">
        <w:rPr>
          <w:rFonts w:cs="Arial"/>
          <w:szCs w:val="20"/>
        </w:rPr>
        <w:t xml:space="preserve">Provisions are made where an event has taken place that gives the PFCC a legal or constructive obligation that requires settlement by a transfer of economic benefits or service potential, and a reliable estimate can be made of the amount of the obligation.  These </w:t>
      </w:r>
      <w:r w:rsidRPr="001D3A64">
        <w:rPr>
          <w:rFonts w:cs="Arial"/>
          <w:szCs w:val="20"/>
        </w:rPr>
        <w:lastRenderedPageBreak/>
        <w:t>accounts include a number of provisions, detailed in the Notes to the Financial Statements.</w:t>
      </w:r>
    </w:p>
    <w:p w14:paraId="7783CFF5" w14:textId="77777777" w:rsidR="00C311FE" w:rsidRPr="001D3A64" w:rsidRDefault="00C311FE" w:rsidP="00C311FE">
      <w:pPr>
        <w:rPr>
          <w:rFonts w:cs="Arial"/>
          <w:color w:val="0070C0"/>
          <w:szCs w:val="20"/>
        </w:rPr>
      </w:pPr>
    </w:p>
    <w:p w14:paraId="16CDE14B" w14:textId="77777777" w:rsidR="00C311FE" w:rsidRPr="00647F8D" w:rsidRDefault="00C311FE" w:rsidP="00C311FE">
      <w:pPr>
        <w:pStyle w:val="VAHeadingLevel2"/>
        <w:rPr>
          <w:sz w:val="20"/>
          <w:szCs w:val="20"/>
        </w:rPr>
      </w:pPr>
      <w:r w:rsidRPr="00647F8D">
        <w:rPr>
          <w:sz w:val="20"/>
          <w:szCs w:val="20"/>
        </w:rPr>
        <w:t>Pensions</w:t>
      </w:r>
    </w:p>
    <w:p w14:paraId="7348B450" w14:textId="77777777" w:rsidR="00C311FE" w:rsidRPr="001D3A64" w:rsidRDefault="00C311FE" w:rsidP="00C311FE">
      <w:pPr>
        <w:rPr>
          <w:rFonts w:cs="Arial"/>
          <w:szCs w:val="20"/>
        </w:rPr>
      </w:pPr>
      <w:r w:rsidRPr="001D3A64">
        <w:rPr>
          <w:rFonts w:cs="Arial"/>
          <w:color w:val="000000"/>
          <w:szCs w:val="20"/>
        </w:rPr>
        <w:t xml:space="preserve">The PFCC’s staff, Police Staff and Police Officers are offered retirement benefits as part of their terms and conditions of employment.  Although these benefits will not actually be payable until employees retire, International </w:t>
      </w:r>
      <w:r w:rsidRPr="001D3A64">
        <w:rPr>
          <w:rFonts w:cs="Arial"/>
          <w:szCs w:val="20"/>
        </w:rPr>
        <w:t>Accounting Standard (IAS) 19 requires that the commitment to make future payments is disclosed at the time that employees and officers earn their future entitlement.</w:t>
      </w:r>
    </w:p>
    <w:p w14:paraId="473A5880" w14:textId="77777777" w:rsidR="00C311FE" w:rsidRPr="001D3A64" w:rsidRDefault="00C311FE" w:rsidP="00C311FE">
      <w:pPr>
        <w:rPr>
          <w:rFonts w:cs="Arial"/>
          <w:szCs w:val="20"/>
        </w:rPr>
      </w:pPr>
    </w:p>
    <w:p w14:paraId="2461EEA8" w14:textId="77777777" w:rsidR="00C311FE" w:rsidRPr="001D3A64" w:rsidRDefault="00C311FE" w:rsidP="00C311FE">
      <w:pPr>
        <w:rPr>
          <w:rFonts w:cs="Arial"/>
          <w:szCs w:val="20"/>
        </w:rPr>
      </w:pPr>
      <w:r w:rsidRPr="001D3A64">
        <w:rPr>
          <w:rFonts w:cs="Arial"/>
          <w:szCs w:val="20"/>
        </w:rPr>
        <w:t>The PFCC and Chief Constable participate in two pension schemes:</w:t>
      </w:r>
    </w:p>
    <w:p w14:paraId="5C0D79CC" w14:textId="77777777" w:rsidR="00C311FE" w:rsidRPr="001D3A64" w:rsidRDefault="00C311FE" w:rsidP="00C311FE">
      <w:pPr>
        <w:rPr>
          <w:rFonts w:cs="Arial"/>
          <w:szCs w:val="20"/>
        </w:rPr>
      </w:pPr>
    </w:p>
    <w:p w14:paraId="0C066DFD" w14:textId="77777777" w:rsidR="00C311FE" w:rsidRPr="001D3A64" w:rsidRDefault="00C311FE" w:rsidP="00C311FE">
      <w:pPr>
        <w:pStyle w:val="VAHeadingLevel2"/>
      </w:pPr>
      <w:r w:rsidRPr="001D3A64">
        <w:rPr>
          <w:rFonts w:cs="Arial"/>
        </w:rPr>
        <w:t>T</w:t>
      </w:r>
      <w:r w:rsidRPr="001D3A64">
        <w:t>he Police Pension Scheme (PPS)</w:t>
      </w:r>
    </w:p>
    <w:p w14:paraId="6DB64572" w14:textId="77777777" w:rsidR="00C311FE" w:rsidRPr="001D3A64" w:rsidRDefault="00C311FE" w:rsidP="00C311FE">
      <w:pPr>
        <w:rPr>
          <w:szCs w:val="20"/>
        </w:rPr>
      </w:pPr>
      <w:r w:rsidRPr="001D3A64">
        <w:rPr>
          <w:szCs w:val="20"/>
        </w:rPr>
        <w:t xml:space="preserve">This is an unfunded defined benefit final salary scheme </w:t>
      </w:r>
      <w:r w:rsidRPr="001D3A64">
        <w:t>for police officers</w:t>
      </w:r>
      <w:r w:rsidRPr="001D3A64">
        <w:rPr>
          <w:szCs w:val="20"/>
        </w:rPr>
        <w:t xml:space="preserve">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04930BA5" w14:textId="77777777" w:rsidR="00C311FE" w:rsidRPr="001D3A64" w:rsidRDefault="00C311FE" w:rsidP="00C311FE">
      <w:pPr>
        <w:rPr>
          <w:szCs w:val="20"/>
        </w:rPr>
      </w:pPr>
    </w:p>
    <w:p w14:paraId="18327BB5" w14:textId="77777777" w:rsidR="00C311FE" w:rsidRPr="001D3A64" w:rsidRDefault="00C311FE" w:rsidP="00C311FE">
      <w:pPr>
        <w:pStyle w:val="VAHeadingLevel2"/>
      </w:pPr>
      <w:r w:rsidRPr="001D3A64">
        <w:t>The Local Government Pension Scheme (LGPS)</w:t>
      </w:r>
    </w:p>
    <w:p w14:paraId="63C07C29" w14:textId="77777777" w:rsidR="00C311FE" w:rsidRPr="001D3A64" w:rsidRDefault="00C311FE" w:rsidP="00C311FE">
      <w:pPr>
        <w:rPr>
          <w:szCs w:val="20"/>
        </w:rPr>
      </w:pPr>
      <w:r w:rsidRPr="001D3A64">
        <w:rPr>
          <w:szCs w:val="20"/>
        </w:rPr>
        <w:t>This is offered to all staff employed by the PFCC and Chief Constable and is administered locally by Northamptonshire County Council.  This is a funded defined benefit final salary scheme and both employers and employees pay contributions calculated at a level intended to balance the pension liabilities with investment assets.</w:t>
      </w:r>
    </w:p>
    <w:p w14:paraId="6A680D94" w14:textId="77777777" w:rsidR="00C311FE" w:rsidRPr="001D3A64" w:rsidRDefault="00C311FE" w:rsidP="00C311FE">
      <w:pPr>
        <w:rPr>
          <w:szCs w:val="20"/>
        </w:rPr>
      </w:pPr>
    </w:p>
    <w:p w14:paraId="34DDDB0E" w14:textId="77777777" w:rsidR="00C311FE" w:rsidRPr="001D3A64" w:rsidRDefault="00C311FE" w:rsidP="00C311FE">
      <w:pPr>
        <w:pStyle w:val="VAHeadingLevel2"/>
      </w:pPr>
      <w:r w:rsidRPr="001D3A64">
        <w:t xml:space="preserve">Material and unusual charges </w:t>
      </w:r>
    </w:p>
    <w:p w14:paraId="3E297E54" w14:textId="77777777" w:rsidR="00C311FE" w:rsidRDefault="00C311FE" w:rsidP="00C311FE">
      <w:r w:rsidRPr="001D3A64">
        <w:t>The accounts conform to proper practice and contain full and frank disclosures of all material sums.</w:t>
      </w:r>
    </w:p>
    <w:p w14:paraId="58E038FA" w14:textId="77777777" w:rsidR="00C311FE" w:rsidRDefault="00C311FE" w:rsidP="00C311FE"/>
    <w:p w14:paraId="604C22BA" w14:textId="77C60511" w:rsidR="000300BF" w:rsidRPr="000300BF" w:rsidRDefault="000300BF" w:rsidP="00C311FE">
      <w:pPr>
        <w:rPr>
          <w:rFonts w:asciiTheme="minorHAnsi" w:eastAsia="Times New Roman" w:hAnsiTheme="minorHAnsi" w:cs="Times New Roman"/>
          <w:bCs/>
          <w:color w:val="25316C"/>
          <w:sz w:val="24"/>
        </w:rPr>
      </w:pPr>
      <w:r w:rsidRPr="000300BF">
        <w:rPr>
          <w:rFonts w:asciiTheme="minorHAnsi" w:eastAsia="Times New Roman" w:hAnsiTheme="minorHAnsi" w:cs="Times New Roman"/>
          <w:bCs/>
          <w:color w:val="25316C"/>
          <w:sz w:val="24"/>
        </w:rPr>
        <w:t>Supplementary Statements</w:t>
      </w:r>
    </w:p>
    <w:p w14:paraId="0C391091" w14:textId="77777777" w:rsidR="000300BF" w:rsidRDefault="000300BF" w:rsidP="00C311FE"/>
    <w:p w14:paraId="5056CBBD" w14:textId="77777777" w:rsidR="004F0EA3" w:rsidRPr="001D3A64" w:rsidRDefault="004F0EA3" w:rsidP="004F0EA3">
      <w:pPr>
        <w:pStyle w:val="VAHeadingLevel2"/>
      </w:pPr>
      <w:r w:rsidRPr="001D3A64">
        <w:t xml:space="preserve">Annual Governance Statement </w:t>
      </w:r>
      <w:r>
        <w:t>(AGS)</w:t>
      </w:r>
    </w:p>
    <w:p w14:paraId="2CD2ED39" w14:textId="77777777" w:rsidR="004F0EA3" w:rsidRPr="001D3A64" w:rsidRDefault="004F0EA3" w:rsidP="004F0EA3">
      <w:pPr>
        <w:rPr>
          <w:rFonts w:cs="Arial"/>
          <w:bCs/>
          <w:szCs w:val="20"/>
        </w:rPr>
      </w:pPr>
      <w:bookmarkStart w:id="59" w:name="_Hlk167433546"/>
      <w:r w:rsidRPr="001D3A64">
        <w:rPr>
          <w:rFonts w:cs="Arial"/>
          <w:bCs/>
          <w:szCs w:val="20"/>
        </w:rPr>
        <w:t xml:space="preserve">This statement explains how the PFCC complies with </w:t>
      </w:r>
      <w:r>
        <w:rPr>
          <w:rFonts w:cs="Arial"/>
          <w:bCs/>
          <w:szCs w:val="20"/>
        </w:rPr>
        <w:t>the</w:t>
      </w:r>
      <w:r w:rsidRPr="001D3A64">
        <w:rPr>
          <w:rFonts w:cs="Arial"/>
          <w:bCs/>
          <w:szCs w:val="20"/>
        </w:rPr>
        <w:t xml:space="preserve"> Code of Corporate Governance. Preparation and publication of the Statement fulfils statutor</w:t>
      </w:r>
      <w:r>
        <w:rPr>
          <w:rFonts w:cs="Arial"/>
          <w:bCs/>
          <w:szCs w:val="20"/>
        </w:rPr>
        <w:t>y</w:t>
      </w:r>
      <w:r w:rsidRPr="001D3A64">
        <w:rPr>
          <w:rFonts w:cs="Arial"/>
          <w:bCs/>
          <w:szCs w:val="20"/>
        </w:rPr>
        <w:t xml:space="preserve"> requirement</w:t>
      </w:r>
      <w:r>
        <w:rPr>
          <w:rFonts w:cs="Arial"/>
          <w:bCs/>
          <w:szCs w:val="20"/>
        </w:rPr>
        <w:t>s</w:t>
      </w:r>
      <w:r w:rsidRPr="001D3A64">
        <w:rPr>
          <w:rFonts w:cs="Arial"/>
          <w:bCs/>
          <w:szCs w:val="20"/>
        </w:rPr>
        <w:t xml:space="preserve"> under the Accounts and Audit Regulations 2011 to conduct a review at least once in each financial year of the effectiveness of </w:t>
      </w:r>
      <w:r>
        <w:rPr>
          <w:rFonts w:cs="Arial"/>
          <w:bCs/>
          <w:szCs w:val="20"/>
        </w:rPr>
        <w:t>the</w:t>
      </w:r>
      <w:r w:rsidRPr="001D3A64">
        <w:rPr>
          <w:rFonts w:cs="Arial"/>
          <w:bCs/>
          <w:szCs w:val="20"/>
        </w:rPr>
        <w:t xml:space="preserve"> system of internal control and to include a statement reporting on the review with </w:t>
      </w:r>
      <w:r>
        <w:rPr>
          <w:rFonts w:cs="Arial"/>
          <w:bCs/>
          <w:szCs w:val="20"/>
        </w:rPr>
        <w:t>the</w:t>
      </w:r>
      <w:r w:rsidRPr="001D3A64">
        <w:rPr>
          <w:rFonts w:cs="Arial"/>
          <w:bCs/>
          <w:szCs w:val="20"/>
        </w:rPr>
        <w:t xml:space="preserve"> Statement of Accounts. </w:t>
      </w:r>
    </w:p>
    <w:bookmarkEnd w:id="59"/>
    <w:p w14:paraId="32E37C33" w14:textId="77777777" w:rsidR="004F0EA3" w:rsidRPr="001D3A64" w:rsidRDefault="004F0EA3" w:rsidP="004F0EA3">
      <w:pPr>
        <w:rPr>
          <w:rFonts w:cs="Arial"/>
          <w:bCs/>
          <w:szCs w:val="20"/>
        </w:rPr>
      </w:pPr>
    </w:p>
    <w:p w14:paraId="694B63DA" w14:textId="77777777" w:rsidR="004F0EA3" w:rsidRPr="001D3A64" w:rsidRDefault="004F0EA3" w:rsidP="004F0EA3">
      <w:pPr>
        <w:pStyle w:val="VAHeadingLevel2"/>
      </w:pPr>
      <w:r w:rsidRPr="001D3A64">
        <w:t xml:space="preserve">Police Pension Fund Account </w:t>
      </w:r>
    </w:p>
    <w:p w14:paraId="0C428448" w14:textId="77777777" w:rsidR="004F0EA3" w:rsidRPr="001D3A64" w:rsidRDefault="004F0EA3" w:rsidP="004F0EA3">
      <w:pPr>
        <w:rPr>
          <w:rFonts w:cs="Arial"/>
          <w:bCs/>
          <w:szCs w:val="20"/>
        </w:rPr>
      </w:pPr>
      <w:r w:rsidRPr="001D3A64">
        <w:rPr>
          <w:rFonts w:cs="Arial"/>
          <w:bCs/>
          <w:szCs w:val="20"/>
        </w:rPr>
        <w:t>The Police Pension Scheme is unfunded and holds no assets.  The purpose of this account is to demonstrate the cash-based transactions taking place over the year and to identify the arrangements needed to balance the account.</w:t>
      </w:r>
    </w:p>
    <w:p w14:paraId="2CF6AE35" w14:textId="77777777" w:rsidR="00C311FE" w:rsidRDefault="00C311FE" w:rsidP="00C311FE"/>
    <w:p w14:paraId="34461B37" w14:textId="77777777" w:rsidR="00166BA7" w:rsidRDefault="00166BA7" w:rsidP="00C311FE"/>
    <w:p w14:paraId="02E9B29B" w14:textId="77777777" w:rsidR="00166BA7" w:rsidRDefault="00166BA7" w:rsidP="00C311FE"/>
    <w:p w14:paraId="61637CB2" w14:textId="77777777" w:rsidR="00166BA7" w:rsidRDefault="00166BA7" w:rsidP="00C311FE"/>
    <w:p w14:paraId="685CFAE7" w14:textId="77777777" w:rsidR="00166BA7" w:rsidRDefault="00166BA7" w:rsidP="00C311FE"/>
    <w:p w14:paraId="5D98D7F7" w14:textId="77777777" w:rsidR="00166BA7" w:rsidRDefault="00166BA7" w:rsidP="00C311FE"/>
    <w:p w14:paraId="0D86F5DE" w14:textId="77777777" w:rsidR="00166BA7" w:rsidRDefault="00166BA7" w:rsidP="00C311FE"/>
    <w:p w14:paraId="7D95F589" w14:textId="77777777" w:rsidR="00166BA7" w:rsidRDefault="00166BA7" w:rsidP="00C311FE"/>
    <w:p w14:paraId="5561E453" w14:textId="77777777" w:rsidR="00166BA7" w:rsidRDefault="00166BA7" w:rsidP="00C311FE"/>
    <w:p w14:paraId="120B5033" w14:textId="77777777" w:rsidR="00166BA7" w:rsidRDefault="00166BA7" w:rsidP="00C311FE"/>
    <w:p w14:paraId="0CDE618F" w14:textId="77777777" w:rsidR="00166BA7" w:rsidRDefault="00166BA7" w:rsidP="00C311FE"/>
    <w:p w14:paraId="5561C050" w14:textId="77777777" w:rsidR="00166BA7" w:rsidRDefault="00166BA7" w:rsidP="00C311FE"/>
    <w:p w14:paraId="23BAF326" w14:textId="77777777" w:rsidR="00166BA7" w:rsidRDefault="00166BA7" w:rsidP="00C311FE"/>
    <w:p w14:paraId="5DB32935" w14:textId="77777777" w:rsidR="00166BA7" w:rsidRDefault="00166BA7" w:rsidP="00C311FE"/>
    <w:p w14:paraId="675E3462" w14:textId="77777777" w:rsidR="00166BA7" w:rsidRDefault="00166BA7" w:rsidP="00C311FE"/>
    <w:p w14:paraId="7FCDD1CF" w14:textId="77777777" w:rsidR="00166BA7" w:rsidRDefault="00166BA7" w:rsidP="00C311FE"/>
    <w:p w14:paraId="25996B15" w14:textId="77777777" w:rsidR="00166BA7" w:rsidRDefault="00166BA7" w:rsidP="00C311FE"/>
    <w:p w14:paraId="7F26A777" w14:textId="77777777" w:rsidR="00166BA7" w:rsidRDefault="00166BA7" w:rsidP="00C311FE"/>
    <w:p w14:paraId="7F59FFE8" w14:textId="77777777" w:rsidR="00166BA7" w:rsidRDefault="00166BA7" w:rsidP="00C311FE"/>
    <w:p w14:paraId="08907742" w14:textId="77777777" w:rsidR="00166BA7" w:rsidRDefault="00166BA7" w:rsidP="00C311FE"/>
    <w:p w14:paraId="3EFAE70A" w14:textId="77777777" w:rsidR="00166BA7" w:rsidRDefault="00166BA7" w:rsidP="00C311FE"/>
    <w:p w14:paraId="696A44E4" w14:textId="77777777" w:rsidR="00166BA7" w:rsidRDefault="00166BA7" w:rsidP="00C311FE"/>
    <w:p w14:paraId="66653F41" w14:textId="77777777" w:rsidR="00166BA7" w:rsidRDefault="00166BA7" w:rsidP="00C311FE"/>
    <w:p w14:paraId="32534330" w14:textId="77777777" w:rsidR="00166BA7" w:rsidRDefault="00166BA7" w:rsidP="00C311FE"/>
    <w:p w14:paraId="4E43FB43" w14:textId="77777777" w:rsidR="00166BA7" w:rsidRDefault="00166BA7" w:rsidP="00C311FE"/>
    <w:p w14:paraId="080189EB" w14:textId="77777777" w:rsidR="00166BA7" w:rsidRDefault="00166BA7" w:rsidP="00C311FE"/>
    <w:p w14:paraId="6AF344A4" w14:textId="77777777" w:rsidR="00166BA7" w:rsidRDefault="00166BA7" w:rsidP="00C311FE"/>
    <w:p w14:paraId="6963B27A" w14:textId="77777777" w:rsidR="00166BA7" w:rsidRDefault="00166BA7" w:rsidP="00C311FE"/>
    <w:p w14:paraId="33D8CD2D" w14:textId="77777777" w:rsidR="006226A7" w:rsidRDefault="006226A7" w:rsidP="00C311FE"/>
    <w:p w14:paraId="10687AB8" w14:textId="77777777" w:rsidR="006226A7" w:rsidRDefault="006226A7" w:rsidP="00C311FE"/>
    <w:p w14:paraId="7C0D60E8" w14:textId="77777777" w:rsidR="006226A7" w:rsidRDefault="006226A7" w:rsidP="00C311FE"/>
    <w:p w14:paraId="79DDB030" w14:textId="77777777" w:rsidR="006226A7" w:rsidRDefault="006226A7" w:rsidP="00C311FE"/>
    <w:p w14:paraId="07E8CCAA" w14:textId="77777777" w:rsidR="00166BA7" w:rsidRPr="001D3A64" w:rsidRDefault="00166BA7" w:rsidP="00C311FE"/>
    <w:p w14:paraId="0E85E380" w14:textId="77777777" w:rsidR="00C311FE" w:rsidRPr="00F56CD7" w:rsidRDefault="00C311FE" w:rsidP="00C311FE">
      <w:pPr>
        <w:pStyle w:val="VAHeading"/>
      </w:pPr>
      <w:bookmarkStart w:id="60" w:name="_Toc167964124"/>
      <w:r w:rsidRPr="00F56CD7">
        <w:t>Summary and Conclusion</w:t>
      </w:r>
      <w:bookmarkEnd w:id="60"/>
    </w:p>
    <w:p w14:paraId="41755A79" w14:textId="77777777" w:rsidR="00C311FE" w:rsidRPr="00F56CD7" w:rsidRDefault="00C311FE" w:rsidP="00C311FE">
      <w:pPr>
        <w:rPr>
          <w:rFonts w:cs="Arial"/>
          <w:szCs w:val="20"/>
        </w:rPr>
      </w:pPr>
    </w:p>
    <w:p w14:paraId="4E1CBDE8" w14:textId="77777777" w:rsidR="00C311FE" w:rsidRPr="00FE18B4" w:rsidRDefault="00C311FE" w:rsidP="00C311FE">
      <w:r w:rsidRPr="00FE18B4">
        <w:t xml:space="preserve">Despite the tight financial climate and future challenges, the PFCC Group continues to demonstrate a strong track record of effective financial management and delivering outturn within the approved budget.  </w:t>
      </w:r>
      <w:r>
        <w:t>However, there is a long-term financial impact of economic uncertainty to consider which will continue to be monitored very closely.</w:t>
      </w:r>
    </w:p>
    <w:p w14:paraId="3FAE40FA" w14:textId="77777777" w:rsidR="00C311FE" w:rsidRPr="00FE18B4" w:rsidRDefault="00C311FE" w:rsidP="00C311FE"/>
    <w:p w14:paraId="1AFF8C8A" w14:textId="77777777" w:rsidR="00C311FE" w:rsidRPr="00FE18B4" w:rsidRDefault="00C311FE" w:rsidP="00C311FE">
      <w:r w:rsidRPr="00FE18B4">
        <w:t>The budgeting process continues to develop with rigorous challenge from both the Chief Constable and the PFCC.</w:t>
      </w:r>
    </w:p>
    <w:p w14:paraId="58BF5C2E" w14:textId="77777777" w:rsidR="00C311FE" w:rsidRPr="00FE18B4" w:rsidRDefault="00C311FE" w:rsidP="00C311FE"/>
    <w:p w14:paraId="40402694" w14:textId="77777777" w:rsidR="00C311FE" w:rsidRPr="00FE18B4" w:rsidRDefault="00C311FE" w:rsidP="00C311FE">
      <w:r w:rsidRPr="00FE18B4">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7814DBBF" w14:textId="77777777" w:rsidR="00C311FE" w:rsidRPr="00FE18B4" w:rsidRDefault="00C311FE" w:rsidP="00C311FE"/>
    <w:p w14:paraId="533F2260" w14:textId="5EF97B62" w:rsidR="00C311FE" w:rsidRPr="00FE18B4" w:rsidRDefault="00C311FE" w:rsidP="00C311FE">
      <w:r w:rsidRPr="00FE18B4">
        <w:t>The 202</w:t>
      </w:r>
      <w:r>
        <w:t>4</w:t>
      </w:r>
      <w:r w:rsidRPr="00FE18B4">
        <w:t>/2</w:t>
      </w:r>
      <w:r>
        <w:t>5</w:t>
      </w:r>
      <w:r w:rsidRPr="00FE18B4">
        <w:t xml:space="preserve"> funding settlement has provided the PFCC with an opportunity to increase investment in policing </w:t>
      </w:r>
      <w:r w:rsidRPr="00FE18B4">
        <w:t xml:space="preserve">in the areas highlighted by the public.  The financial outlook remains challenging, but Northamptonshire </w:t>
      </w:r>
      <w:r w:rsidR="00955140" w:rsidRPr="00FE18B4">
        <w:t>is</w:t>
      </w:r>
      <w:r w:rsidRPr="00FE18B4">
        <w:t xml:space="preserve"> already well prepared in meeting these challenges.  Fire and Police will continue to actively seek and implement opportunities to work together to deliver more efficient and effective public services.</w:t>
      </w:r>
    </w:p>
    <w:p w14:paraId="38169D9C" w14:textId="77777777" w:rsidR="00C311FE" w:rsidRPr="00FE18B4" w:rsidRDefault="00C311FE" w:rsidP="00C311FE"/>
    <w:p w14:paraId="56A93041" w14:textId="77777777" w:rsidR="00C311FE" w:rsidRPr="00FE18B4" w:rsidRDefault="00C311FE" w:rsidP="00C311FE">
      <w:r w:rsidRPr="00FE18B4">
        <w:t>We are confident that the PFCC, Chief Constable and their respective leadership teams will continue to deliver strong and effective financial management in order to maintain an appropriate level of funding for essential operational services in Northamptonshire.</w:t>
      </w:r>
    </w:p>
    <w:bookmarkEnd w:id="55"/>
    <w:p w14:paraId="33AD0B80" w14:textId="77777777" w:rsidR="00C311FE" w:rsidRPr="00F56CD7" w:rsidRDefault="00C311FE" w:rsidP="00C311FE">
      <w:pPr>
        <w:rPr>
          <w:rFonts w:cs="Arial"/>
          <w:szCs w:val="20"/>
        </w:rPr>
      </w:pPr>
    </w:p>
    <w:p w14:paraId="109EF7D5" w14:textId="77777777" w:rsidR="00C311FE" w:rsidRPr="00F56CD7" w:rsidRDefault="00C311FE" w:rsidP="00C311FE">
      <w:pPr>
        <w:rPr>
          <w:rFonts w:cs="Arial"/>
          <w:szCs w:val="20"/>
        </w:rPr>
      </w:pPr>
      <w:r w:rsidRPr="00F56CD7">
        <w:rPr>
          <w:rFonts w:cs="Arial"/>
          <w:noProof/>
          <w:szCs w:val="20"/>
          <w:lang w:eastAsia="en-GB"/>
        </w:rPr>
        <mc:AlternateContent>
          <mc:Choice Requires="wps">
            <w:drawing>
              <wp:anchor distT="0" distB="0" distL="114300" distR="114300" simplePos="0" relativeHeight="251686921" behindDoc="0" locked="0" layoutInCell="1" allowOverlap="1" wp14:anchorId="44767BC7" wp14:editId="1A8B064F">
                <wp:simplePos x="0" y="0"/>
                <wp:positionH relativeFrom="column">
                  <wp:posOffset>17780</wp:posOffset>
                </wp:positionH>
                <wp:positionV relativeFrom="paragraph">
                  <wp:posOffset>635</wp:posOffset>
                </wp:positionV>
                <wp:extent cx="2988000" cy="0"/>
                <wp:effectExtent l="0" t="0" r="22225" b="19050"/>
                <wp:wrapNone/>
                <wp:docPr id="449" name="Straight Connector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8000" cy="0"/>
                        </a:xfrm>
                        <a:prstGeom prst="line">
                          <a:avLst/>
                        </a:prstGeom>
                        <a:ln w="12700">
                          <a:solidFill>
                            <a:srgbClr val="00009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4EB6" id="Straight Connector 449" o:spid="_x0000_s1026" alt="&quot;&quot;" style="position:absolute;z-index:2516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05pt" to="23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" strokecolor="#009" strokeweight="1pt">
                <v:stroke joinstyle="miter"/>
              </v:line>
            </w:pict>
          </mc:Fallback>
        </mc:AlternateContent>
      </w:r>
    </w:p>
    <w:bookmarkEnd w:id="11"/>
    <w:p w14:paraId="2874F55C" w14:textId="77777777" w:rsidR="00A62C11" w:rsidRDefault="00A62C11" w:rsidP="00A62C11">
      <w:pPr>
        <w:rPr>
          <w:rFonts w:cs="Arial"/>
          <w:bCs/>
          <w:szCs w:val="20"/>
        </w:rPr>
      </w:pPr>
    </w:p>
    <w:p w14:paraId="29F59940" w14:textId="77777777" w:rsidR="00A62C11" w:rsidRPr="007F2679" w:rsidRDefault="00A62C11" w:rsidP="00A62C11">
      <w:pPr>
        <w:rPr>
          <w:rFonts w:cs="Arial"/>
          <w:bCs/>
          <w:szCs w:val="20"/>
        </w:rPr>
      </w:pPr>
    </w:p>
    <w:p w14:paraId="4E04E306" w14:textId="2B1037C9" w:rsidR="00A62C11" w:rsidRDefault="00A62C11" w:rsidP="00A62C11">
      <w:pPr>
        <w:rPr>
          <w:rFonts w:cs="Arial"/>
          <w:bCs/>
          <w:szCs w:val="20"/>
        </w:rPr>
      </w:pPr>
    </w:p>
    <w:p w14:paraId="2C862E8E" w14:textId="77777777" w:rsidR="00A62C11" w:rsidRPr="007F2679" w:rsidRDefault="00A62C11" w:rsidP="00A62C11">
      <w:pPr>
        <w:rPr>
          <w:rFonts w:cs="Arial"/>
          <w:bCs/>
          <w:szCs w:val="20"/>
        </w:rPr>
      </w:pPr>
    </w:p>
    <w:p w14:paraId="32B4BB1A" w14:textId="77777777" w:rsidR="00A62C11" w:rsidRPr="000B79EC" w:rsidRDefault="00A62C11" w:rsidP="00A62C11">
      <w:pPr>
        <w:pStyle w:val="VAHeadingLevel3"/>
        <w:rPr>
          <w:b/>
          <w:bCs w:val="0"/>
        </w:rPr>
      </w:pPr>
      <w:r w:rsidRPr="000B79EC">
        <w:rPr>
          <w:b/>
          <w:bCs w:val="0"/>
        </w:rPr>
        <w:t>Nick Alexander</w:t>
      </w:r>
    </w:p>
    <w:p w14:paraId="5A7AB327" w14:textId="77777777" w:rsidR="00A62C11" w:rsidRPr="000B79EC" w:rsidRDefault="00A62C11" w:rsidP="00A62C11">
      <w:pPr>
        <w:pStyle w:val="VAHeadingLevel3"/>
        <w:rPr>
          <w:b/>
          <w:bCs w:val="0"/>
        </w:rPr>
      </w:pPr>
      <w:r w:rsidRPr="000B79EC">
        <w:rPr>
          <w:b/>
          <w:bCs w:val="0"/>
        </w:rPr>
        <w:t>Chief Finance Officer (s151)</w:t>
      </w:r>
    </w:p>
    <w:p w14:paraId="3037CFC9" w14:textId="77777777" w:rsidR="00A62C11" w:rsidRPr="008A1D5A" w:rsidRDefault="00A62C11" w:rsidP="00A62C11">
      <w:pPr>
        <w:pStyle w:val="VAHeadingLevel3"/>
      </w:pPr>
      <w:r w:rsidRPr="008A1D5A">
        <w:t>Date:</w:t>
      </w:r>
      <w:r>
        <w:t xml:space="preserve"> 27</w:t>
      </w:r>
      <w:r w:rsidRPr="00667299">
        <w:rPr>
          <w:vertAlign w:val="superscript"/>
        </w:rPr>
        <w:t>th</w:t>
      </w:r>
      <w:r>
        <w:t xml:space="preserve"> February 2025</w:t>
      </w:r>
    </w:p>
    <w:p w14:paraId="682B2C15" w14:textId="2838EA32" w:rsidR="00A62C11" w:rsidRPr="008A1D5A" w:rsidRDefault="00A62C11" w:rsidP="00A62C11">
      <w:pPr>
        <w:pStyle w:val="VAHeadingLevel3"/>
      </w:pPr>
    </w:p>
    <w:p w14:paraId="5B470834" w14:textId="77777777" w:rsidR="00A62C11" w:rsidRPr="008A1D5A" w:rsidRDefault="00A62C11" w:rsidP="00A62C11">
      <w:pPr>
        <w:pStyle w:val="VAHeadingLevel3"/>
      </w:pPr>
    </w:p>
    <w:p w14:paraId="4F12A648" w14:textId="77777777" w:rsidR="00A62C11" w:rsidRPr="008A1D5A" w:rsidRDefault="00A62C11" w:rsidP="00A62C11">
      <w:pPr>
        <w:pStyle w:val="VAHeadingLevel3"/>
      </w:pPr>
    </w:p>
    <w:p w14:paraId="1981E782" w14:textId="77777777" w:rsidR="00A62C11" w:rsidRPr="000B79EC" w:rsidRDefault="00A62C11" w:rsidP="00A62C11">
      <w:pPr>
        <w:pStyle w:val="VAHeadingLevel3"/>
        <w:rPr>
          <w:b/>
          <w:bCs w:val="0"/>
        </w:rPr>
      </w:pPr>
      <w:r w:rsidRPr="000B79EC">
        <w:rPr>
          <w:b/>
          <w:bCs w:val="0"/>
        </w:rPr>
        <w:t>Ivan Balhatchet</w:t>
      </w:r>
    </w:p>
    <w:p w14:paraId="279B276A" w14:textId="77777777" w:rsidR="00A62C11" w:rsidRPr="000B79EC" w:rsidRDefault="00A62C11" w:rsidP="00A62C11">
      <w:pPr>
        <w:pStyle w:val="VAHeadingLevel3"/>
        <w:rPr>
          <w:b/>
          <w:bCs w:val="0"/>
        </w:rPr>
      </w:pPr>
      <w:r w:rsidRPr="000B79EC">
        <w:rPr>
          <w:b/>
          <w:bCs w:val="0"/>
        </w:rPr>
        <w:t>Northamptonshire Chief Constable</w:t>
      </w:r>
    </w:p>
    <w:p w14:paraId="2099B733" w14:textId="0643E866" w:rsidR="00C311FE" w:rsidRDefault="00A62C11" w:rsidP="00A62C11">
      <w:pPr>
        <w:pStyle w:val="VAHeadingLevel3"/>
        <w:sectPr w:rsidR="00C311FE" w:rsidSect="00166BA7">
          <w:type w:val="continuous"/>
          <w:pgSz w:w="11900" w:h="16840"/>
          <w:pgMar w:top="1440" w:right="1080" w:bottom="1440" w:left="1080" w:header="709" w:footer="397" w:gutter="0"/>
          <w:cols w:num="2" w:space="708"/>
          <w:docGrid w:linePitch="360"/>
        </w:sectPr>
      </w:pPr>
      <w:r w:rsidRPr="008A1D5A">
        <w:t>Date</w:t>
      </w:r>
      <w:r>
        <w:t>: 27</w:t>
      </w:r>
      <w:r w:rsidRPr="00667299">
        <w:rPr>
          <w:vertAlign w:val="superscript"/>
        </w:rPr>
        <w:t>th</w:t>
      </w:r>
      <w:r>
        <w:t xml:space="preserve"> February 2025</w:t>
      </w:r>
    </w:p>
    <w:p w14:paraId="096D43B2" w14:textId="77777777" w:rsidR="00C311FE" w:rsidRDefault="00C311FE" w:rsidP="00A71646"/>
    <w:p w14:paraId="05483C6B" w14:textId="77777777" w:rsidR="00C311FE" w:rsidRDefault="00C311FE" w:rsidP="00A71646"/>
    <w:p w14:paraId="78023E27" w14:textId="77777777" w:rsidR="00C311FE" w:rsidRDefault="00C311FE" w:rsidP="00A71646"/>
    <w:p w14:paraId="5F0EAFAE" w14:textId="77777777" w:rsidR="00C311FE" w:rsidRDefault="00C311FE" w:rsidP="00A71646"/>
    <w:p w14:paraId="4BA7F28C" w14:textId="77777777" w:rsidR="00C311FE" w:rsidRDefault="00C311FE" w:rsidP="00A71646"/>
    <w:p w14:paraId="6F621FD5" w14:textId="77777777" w:rsidR="00C311FE" w:rsidRDefault="00C311FE" w:rsidP="00A71646"/>
    <w:p w14:paraId="2B101E35" w14:textId="77777777" w:rsidR="00C311FE" w:rsidRDefault="00C311FE" w:rsidP="00A71646"/>
    <w:p w14:paraId="1A6652C1" w14:textId="77777777" w:rsidR="00C311FE" w:rsidRDefault="00C311FE" w:rsidP="00A71646"/>
    <w:p w14:paraId="1B6EA400" w14:textId="77777777" w:rsidR="00C311FE" w:rsidRDefault="00C311FE" w:rsidP="00A71646"/>
    <w:bookmarkEnd w:id="7"/>
    <w:bookmarkEnd w:id="8"/>
    <w:p w14:paraId="2B41F93E" w14:textId="476206F1" w:rsidR="002522D4" w:rsidRDefault="002522D4" w:rsidP="00A71646"/>
    <w:p w14:paraId="679FC901" w14:textId="77777777" w:rsidR="00166BA7" w:rsidRDefault="00166BA7" w:rsidP="00A71646"/>
    <w:p w14:paraId="03167A0B" w14:textId="77777777" w:rsidR="00166BA7" w:rsidRPr="002B6791" w:rsidRDefault="00166BA7" w:rsidP="00A71646"/>
    <w:p w14:paraId="1D038EF3" w14:textId="77777777" w:rsidR="002522D4" w:rsidRPr="006E50A7" w:rsidRDefault="002522D4" w:rsidP="00A71646"/>
    <w:p w14:paraId="1586005D" w14:textId="77777777" w:rsidR="00A71646" w:rsidRDefault="00A71646">
      <w:pPr>
        <w:spacing w:line="240" w:lineRule="auto"/>
        <w:jc w:val="left"/>
        <w:rPr>
          <w:rFonts w:asciiTheme="minorHAnsi" w:eastAsia="Times New Roman" w:hAnsiTheme="minorHAnsi" w:cs="Times New Roman"/>
          <w:b/>
          <w:bCs/>
          <w:smallCaps/>
          <w:color w:val="25316C"/>
          <w:sz w:val="36"/>
        </w:rPr>
      </w:pPr>
      <w:bookmarkStart w:id="61" w:name="PCCResponsibilities"/>
      <w:r>
        <w:br w:type="page"/>
      </w:r>
    </w:p>
    <w:p w14:paraId="7258BF67" w14:textId="138FFA67" w:rsidR="00C311FE" w:rsidRPr="002B6791" w:rsidRDefault="00C311FE" w:rsidP="00C311FE">
      <w:pPr>
        <w:pStyle w:val="ChapterHeading"/>
      </w:pPr>
      <w:bookmarkStart w:id="62" w:name="_Toc191281423"/>
      <w:r w:rsidRPr="002B6791">
        <w:lastRenderedPageBreak/>
        <w:t>Statement of Responsibilities</w:t>
      </w:r>
      <w:bookmarkEnd w:id="62"/>
    </w:p>
    <w:p w14:paraId="04FA0662" w14:textId="77777777" w:rsidR="00C311FE" w:rsidRDefault="00C311FE" w:rsidP="002522D4">
      <w:pPr>
        <w:pStyle w:val="VAHeadingLevel2"/>
      </w:pPr>
    </w:p>
    <w:p w14:paraId="2C8FC86F" w14:textId="2CD86727" w:rsidR="002522D4" w:rsidRPr="00613D05" w:rsidRDefault="002522D4" w:rsidP="002522D4">
      <w:pPr>
        <w:pStyle w:val="VAHeadingLevel2"/>
      </w:pPr>
      <w:r w:rsidRPr="00613D05">
        <w:t>The P</w:t>
      </w:r>
      <w:r w:rsidR="002A63FF">
        <w:t>F</w:t>
      </w:r>
      <w:r w:rsidRPr="00613D05">
        <w:t>CC’s Responsibilities</w:t>
      </w:r>
    </w:p>
    <w:p w14:paraId="23092118" w14:textId="0547EBC9" w:rsidR="002522D4" w:rsidRPr="00613D05" w:rsidRDefault="002522D4" w:rsidP="002522D4">
      <w:r w:rsidRPr="00613D05">
        <w:t>The P</w:t>
      </w:r>
      <w:r w:rsidR="002A63FF">
        <w:t>F</w:t>
      </w:r>
      <w:r w:rsidRPr="00613D05">
        <w:t>CC is responsible for holding the Chief Constable to a</w:t>
      </w:r>
      <w:r w:rsidR="00166BA7">
        <w:t>c</w:t>
      </w:r>
      <w:r w:rsidRPr="00613D05">
        <w:t xml:space="preserve">count to ensure financial management of the Police service is adequate and effective and that a sound system of internal control is in place including arrangements for risk management. </w:t>
      </w:r>
      <w:r w:rsidR="00EE1CF2">
        <w:t xml:space="preserve"> </w:t>
      </w:r>
      <w:r w:rsidRPr="00613D05">
        <w:t>The OP</w:t>
      </w:r>
      <w:r w:rsidR="002A63FF">
        <w:t>F</w:t>
      </w:r>
      <w:r w:rsidRPr="00613D05">
        <w:t>CC must make arrangements for the proper administration of its financial affairs and to ensure that one of its officers, namely the CFO, has the responsibility for that administration.</w:t>
      </w:r>
    </w:p>
    <w:p w14:paraId="3047563C" w14:textId="77777777" w:rsidR="002522D4" w:rsidRPr="00613D05" w:rsidRDefault="002522D4" w:rsidP="002522D4">
      <w:pPr>
        <w:rPr>
          <w:b/>
          <w:bCs/>
        </w:rPr>
      </w:pPr>
      <w:r w:rsidRPr="00613D05">
        <w:rPr>
          <w:b/>
          <w:bCs/>
        </w:rPr>
        <w:tab/>
      </w:r>
    </w:p>
    <w:p w14:paraId="3BC3FE55" w14:textId="77777777" w:rsidR="002522D4" w:rsidRPr="00613D05" w:rsidRDefault="002522D4" w:rsidP="002522D4">
      <w:pPr>
        <w:rPr>
          <w:rFonts w:cs="Times New Roman"/>
        </w:rPr>
      </w:pPr>
      <w:r w:rsidRPr="00613D05">
        <w:rPr>
          <w:rFonts w:cs="Times New Roman"/>
        </w:rPr>
        <w:t>The P</w:t>
      </w:r>
      <w:r w:rsidR="00541F0D">
        <w:rPr>
          <w:rFonts w:cs="Times New Roman"/>
        </w:rPr>
        <w:t>F</w:t>
      </w:r>
      <w:r w:rsidRPr="00613D05">
        <w:rPr>
          <w:rFonts w:cs="Times New Roman"/>
        </w:rPr>
        <w:t xml:space="preserve">CC also has a specific responsibility to sign the Statement of Accounts following review by the Joint </w:t>
      </w:r>
      <w:r w:rsidRPr="00613D05">
        <w:t>Independent</w:t>
      </w:r>
      <w:r w:rsidRPr="00613D05">
        <w:rPr>
          <w:rFonts w:cs="Times New Roman"/>
        </w:rPr>
        <w:t xml:space="preserve"> Audit Committee meetings.</w:t>
      </w:r>
    </w:p>
    <w:p w14:paraId="6900E81B" w14:textId="77777777" w:rsidR="002522D4" w:rsidRPr="00613D05" w:rsidRDefault="002522D4" w:rsidP="002522D4">
      <w:pPr>
        <w:rPr>
          <w:b/>
          <w:bCs/>
        </w:rPr>
      </w:pPr>
    </w:p>
    <w:p w14:paraId="62D53CDB" w14:textId="703457E0" w:rsidR="002522D4" w:rsidRPr="00613D05" w:rsidRDefault="002522D4" w:rsidP="002522D4">
      <w:pPr>
        <w:pStyle w:val="VAHeadingLevel2"/>
      </w:pPr>
      <w:r w:rsidRPr="00613D05">
        <w:t>The C</w:t>
      </w:r>
      <w:r w:rsidR="00915B6D">
        <w:t>hief Finance Officer</w:t>
      </w:r>
      <w:r w:rsidRPr="00613D05">
        <w:t>’s Responsibilities</w:t>
      </w:r>
    </w:p>
    <w:p w14:paraId="298C90BA" w14:textId="78A8F8F6" w:rsidR="002522D4" w:rsidRPr="00613D05" w:rsidRDefault="002522D4" w:rsidP="002522D4">
      <w:r w:rsidRPr="00613D05">
        <w:t>The CFO to the P</w:t>
      </w:r>
      <w:r w:rsidR="00D156D1">
        <w:t>F</w:t>
      </w:r>
      <w:r w:rsidRPr="00613D05">
        <w:t xml:space="preserve">CC is responsible for the preparation of the </w:t>
      </w:r>
      <w:r w:rsidR="00C75713">
        <w:t>OPFCC</w:t>
      </w:r>
      <w:r w:rsidRPr="00613D05">
        <w:t>’s Group Accounts in line with statutory best practice set out in the CIPFA/LASAAC Code of Practice on Local Accounting in Great Britain (“The Code”) and the Accounts and Audit Regulations 20</w:t>
      </w:r>
      <w:r w:rsidR="00443841">
        <w:t>1</w:t>
      </w:r>
      <w:r>
        <w:t>5</w:t>
      </w:r>
      <w:r w:rsidRPr="00613D05">
        <w:t>.</w:t>
      </w:r>
    </w:p>
    <w:p w14:paraId="1098EA05" w14:textId="77777777" w:rsidR="002522D4" w:rsidRPr="00613D05" w:rsidRDefault="002522D4" w:rsidP="002522D4"/>
    <w:p w14:paraId="55566901" w14:textId="30213783" w:rsidR="002522D4" w:rsidRPr="00613D05" w:rsidRDefault="002522D4" w:rsidP="002522D4">
      <w:r w:rsidRPr="00613D05">
        <w:t xml:space="preserve">The accounts are required to present fairly the financial position of the </w:t>
      </w:r>
      <w:r w:rsidR="00C75713">
        <w:t>OPFCC</w:t>
      </w:r>
      <w:r w:rsidRPr="00613D05">
        <w:t xml:space="preserve"> at the accounting date and its income and expenditure </w:t>
      </w:r>
      <w:r w:rsidR="00541F0D">
        <w:t>for the year</w:t>
      </w:r>
      <w:r w:rsidR="00FF2D23">
        <w:t xml:space="preserve"> ended 31</w:t>
      </w:r>
      <w:r w:rsidR="00A25C40" w:rsidRPr="00A25C40">
        <w:rPr>
          <w:vertAlign w:val="superscript"/>
        </w:rPr>
        <w:t>st</w:t>
      </w:r>
      <w:r w:rsidR="00A25C40">
        <w:t xml:space="preserve"> </w:t>
      </w:r>
      <w:r w:rsidR="00FF2D23">
        <w:t>March 202</w:t>
      </w:r>
      <w:r w:rsidR="00443841">
        <w:t>4</w:t>
      </w:r>
      <w:r w:rsidRPr="00613D05">
        <w:t>.</w:t>
      </w:r>
    </w:p>
    <w:p w14:paraId="6F072520" w14:textId="77777777" w:rsidR="002522D4" w:rsidRPr="00613D05" w:rsidRDefault="002522D4" w:rsidP="002522D4"/>
    <w:p w14:paraId="00282DB2" w14:textId="77777777" w:rsidR="002522D4" w:rsidRDefault="002522D4" w:rsidP="002522D4">
      <w:r w:rsidRPr="00613D05">
        <w:t xml:space="preserve">In preparing this Statement of Accounts, the </w:t>
      </w:r>
      <w:r>
        <w:t>Section 151 Officer</w:t>
      </w:r>
      <w:r w:rsidRPr="00613D05">
        <w:t>:</w:t>
      </w:r>
    </w:p>
    <w:p w14:paraId="206DBCE3" w14:textId="77777777" w:rsidR="002522D4" w:rsidRPr="00613D05" w:rsidRDefault="002522D4" w:rsidP="002522D4"/>
    <w:p w14:paraId="2CF42549" w14:textId="4FCCD0E5" w:rsidR="002522D4" w:rsidRPr="00613D05" w:rsidRDefault="002522D4" w:rsidP="00E9432E">
      <w:pPr>
        <w:pStyle w:val="RedBullet"/>
      </w:pPr>
      <w:r w:rsidRPr="00613D05">
        <w:t>Selected suitable accounting policie</w:t>
      </w:r>
      <w:r w:rsidR="00EE1CF2">
        <w:t>s and applied them consistently</w:t>
      </w:r>
      <w:r w:rsidR="00E9432E">
        <w:t>.</w:t>
      </w:r>
    </w:p>
    <w:p w14:paraId="2D473B0F" w14:textId="77777777" w:rsidR="002522D4" w:rsidRPr="00613D05" w:rsidRDefault="002522D4" w:rsidP="00AE32D7">
      <w:pPr>
        <w:pStyle w:val="RedBullet"/>
      </w:pPr>
      <w:r w:rsidRPr="00613D05">
        <w:t xml:space="preserve">Made judgements and estimates that </w:t>
      </w:r>
      <w:r w:rsidR="00EE1CF2">
        <w:t>were reasonable and prudent.</w:t>
      </w:r>
    </w:p>
    <w:p w14:paraId="20B18A9D" w14:textId="58AABD62" w:rsidR="002522D4" w:rsidRPr="00613D05" w:rsidRDefault="002522D4" w:rsidP="00AE32D7">
      <w:pPr>
        <w:pStyle w:val="RedBullet"/>
      </w:pPr>
      <w:r w:rsidRPr="00613D05">
        <w:t>Complied with the Code of Practice on Local Authority Acco</w:t>
      </w:r>
      <w:r w:rsidR="0027013B">
        <w:t>unting in the United Kingdom 202</w:t>
      </w:r>
      <w:r w:rsidR="00443841">
        <w:t>3</w:t>
      </w:r>
      <w:r w:rsidR="0027013B">
        <w:t>/2</w:t>
      </w:r>
      <w:r w:rsidR="00443841">
        <w:t>4</w:t>
      </w:r>
      <w:r w:rsidRPr="00613D05">
        <w:t>.</w:t>
      </w:r>
    </w:p>
    <w:p w14:paraId="561F6C8B" w14:textId="77777777" w:rsidR="002522D4" w:rsidRPr="00613D05" w:rsidRDefault="002522D4" w:rsidP="00AE32D7">
      <w:pPr>
        <w:pStyle w:val="RedBullet"/>
      </w:pPr>
      <w:r w:rsidRPr="00613D05">
        <w:t>Kept proper accounting records which are up to date</w:t>
      </w:r>
      <w:r w:rsidR="00EE1CF2">
        <w:t>.</w:t>
      </w:r>
    </w:p>
    <w:p w14:paraId="0E940397" w14:textId="77777777" w:rsidR="002522D4" w:rsidRPr="00613D05" w:rsidRDefault="002522D4" w:rsidP="00AE32D7">
      <w:pPr>
        <w:pStyle w:val="RedBullet"/>
      </w:pPr>
      <w:r w:rsidRPr="00613D05">
        <w:t>Taken reasonable steps for the prevention and detection of fraud and other irregularities.</w:t>
      </w:r>
    </w:p>
    <w:p w14:paraId="5F5A6B54" w14:textId="77777777" w:rsidR="002522D4" w:rsidRPr="00613D05" w:rsidRDefault="002522D4" w:rsidP="002522D4"/>
    <w:p w14:paraId="2AD46D8D" w14:textId="77777777" w:rsidR="002522D4" w:rsidRPr="00613D05" w:rsidRDefault="002522D4" w:rsidP="002522D4">
      <w:pPr>
        <w:pStyle w:val="VAHeadingLevel2"/>
      </w:pPr>
      <w:r w:rsidRPr="00613D05">
        <w:t>The Role of the Chief Constable</w:t>
      </w:r>
    </w:p>
    <w:p w14:paraId="327B939D" w14:textId="77777777" w:rsidR="002522D4" w:rsidRPr="00613D05" w:rsidRDefault="002522D4" w:rsidP="002522D4">
      <w:r w:rsidRPr="00613D05">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w:t>
      </w:r>
      <w:r w:rsidR="00EE1CF2">
        <w:t>, Fire</w:t>
      </w:r>
      <w:r w:rsidRPr="00613D05">
        <w:t xml:space="preserve"> and Crime Commissioner.</w:t>
      </w:r>
    </w:p>
    <w:p w14:paraId="49DABC43" w14:textId="77777777" w:rsidR="002522D4" w:rsidRPr="00613D05" w:rsidRDefault="002522D4" w:rsidP="002522D4"/>
    <w:p w14:paraId="67752217" w14:textId="554C5A64" w:rsidR="002522D4" w:rsidRPr="00613D05" w:rsidRDefault="002522D4" w:rsidP="002522D4">
      <w:r w:rsidRPr="00613D05">
        <w:t>Northamptonshire Police Financ</w:t>
      </w:r>
      <w:r w:rsidR="00EE1CF2">
        <w:t xml:space="preserve">e Department </w:t>
      </w:r>
      <w:r w:rsidRPr="00613D05">
        <w:t>staff under the supervision of, and with the assistance of the P</w:t>
      </w:r>
      <w:r w:rsidR="00EE1CF2">
        <w:t>F</w:t>
      </w:r>
      <w:r w:rsidRPr="00613D05">
        <w:t xml:space="preserve">CC’s Office, carries out the preparation of the accounts and liaises with the external auditors, </w:t>
      </w:r>
      <w:r w:rsidR="00443841">
        <w:t>Grant Thornton</w:t>
      </w:r>
      <w:r w:rsidR="000E09C1">
        <w:t xml:space="preserve"> UK LLP</w:t>
      </w:r>
      <w:r w:rsidRPr="00613D05">
        <w:t>, during the audit process.</w:t>
      </w:r>
    </w:p>
    <w:p w14:paraId="13A9BEB3" w14:textId="77777777" w:rsidR="002522D4" w:rsidRPr="00613D05" w:rsidRDefault="002522D4" w:rsidP="002522D4">
      <w:pPr>
        <w:rPr>
          <w:rFonts w:ascii="Verdana" w:hAnsi="Verdana"/>
          <w:szCs w:val="20"/>
        </w:rPr>
      </w:pPr>
    </w:p>
    <w:p w14:paraId="7205938B" w14:textId="77777777" w:rsidR="002522D4" w:rsidRPr="00613D05" w:rsidRDefault="002522D4" w:rsidP="002522D4">
      <w:pPr>
        <w:pStyle w:val="VAHeadingLevel2"/>
      </w:pPr>
      <w:r w:rsidRPr="00613D05">
        <w:t>Chief Finance Officer Certificate</w:t>
      </w:r>
    </w:p>
    <w:p w14:paraId="5AFA3661" w14:textId="7820033B" w:rsidR="002522D4" w:rsidRPr="00613D05" w:rsidRDefault="002522D4" w:rsidP="002522D4">
      <w:pPr>
        <w:rPr>
          <w:lang w:eastAsia="en-GB"/>
        </w:rPr>
      </w:pPr>
      <w:r w:rsidRPr="00613D05">
        <w:t xml:space="preserve">I </w:t>
      </w:r>
      <w:r w:rsidRPr="00613D05">
        <w:rPr>
          <w:lang w:eastAsia="en-GB"/>
        </w:rPr>
        <w:t xml:space="preserve">certify that the Statement of Accounts presents a true and fair view of the financial position of the </w:t>
      </w:r>
      <w:r w:rsidR="00EE1CF2">
        <w:rPr>
          <w:lang w:eastAsia="en-GB"/>
        </w:rPr>
        <w:t>Office of the Chi</w:t>
      </w:r>
      <w:r w:rsidR="00D156D1">
        <w:rPr>
          <w:lang w:eastAsia="en-GB"/>
        </w:rPr>
        <w:t xml:space="preserve">ef </w:t>
      </w:r>
      <w:r w:rsidR="0027013B">
        <w:rPr>
          <w:lang w:eastAsia="en-GB"/>
        </w:rPr>
        <w:t>Constable as at 31</w:t>
      </w:r>
      <w:r w:rsidR="00454C73" w:rsidRPr="00454C73">
        <w:rPr>
          <w:vertAlign w:val="superscript"/>
          <w:lang w:eastAsia="en-GB"/>
        </w:rPr>
        <w:t>st</w:t>
      </w:r>
      <w:r w:rsidR="00454C73">
        <w:rPr>
          <w:lang w:eastAsia="en-GB"/>
        </w:rPr>
        <w:t xml:space="preserve"> </w:t>
      </w:r>
      <w:r w:rsidR="0027013B">
        <w:rPr>
          <w:lang w:eastAsia="en-GB"/>
        </w:rPr>
        <w:t>March 202</w:t>
      </w:r>
      <w:r w:rsidR="00443841">
        <w:rPr>
          <w:lang w:eastAsia="en-GB"/>
        </w:rPr>
        <w:t>4</w:t>
      </w:r>
      <w:r w:rsidRPr="00613D05">
        <w:rPr>
          <w:lang w:eastAsia="en-GB"/>
        </w:rPr>
        <w:t xml:space="preserve"> and the income and expenditure for the year ended 31</w:t>
      </w:r>
      <w:r w:rsidR="00454C73" w:rsidRPr="00454C73">
        <w:rPr>
          <w:vertAlign w:val="superscript"/>
          <w:lang w:eastAsia="en-GB"/>
        </w:rPr>
        <w:t>st</w:t>
      </w:r>
      <w:r w:rsidR="00454C73">
        <w:rPr>
          <w:lang w:eastAsia="en-GB"/>
        </w:rPr>
        <w:t xml:space="preserve"> </w:t>
      </w:r>
      <w:r w:rsidRPr="00613D05">
        <w:rPr>
          <w:lang w:eastAsia="en-GB"/>
        </w:rPr>
        <w:t>March</w:t>
      </w:r>
      <w:r w:rsidR="002A63FF">
        <w:rPr>
          <w:lang w:eastAsia="en-GB"/>
        </w:rPr>
        <w:t xml:space="preserve"> 20</w:t>
      </w:r>
      <w:r w:rsidR="0027013B">
        <w:rPr>
          <w:lang w:eastAsia="en-GB"/>
        </w:rPr>
        <w:t>2</w:t>
      </w:r>
      <w:r w:rsidR="00443841">
        <w:rPr>
          <w:lang w:eastAsia="en-GB"/>
        </w:rPr>
        <w:t>4</w:t>
      </w:r>
      <w:r w:rsidRPr="00613D05">
        <w:rPr>
          <w:lang w:eastAsia="en-GB"/>
        </w:rPr>
        <w:t>.</w:t>
      </w:r>
    </w:p>
    <w:bookmarkEnd w:id="61"/>
    <w:p w14:paraId="4DD17D73" w14:textId="77777777" w:rsidR="00A62C11" w:rsidRPr="00613D05" w:rsidRDefault="00A62C11" w:rsidP="00A62C11">
      <w:pPr>
        <w:rPr>
          <w:lang w:eastAsia="en-GB"/>
        </w:rPr>
      </w:pPr>
    </w:p>
    <w:p w14:paraId="78C6759F" w14:textId="223E14B7" w:rsidR="00A62C11" w:rsidRDefault="00A62C11" w:rsidP="00A62C11">
      <w:pPr>
        <w:rPr>
          <w:lang w:eastAsia="en-GB"/>
        </w:rPr>
      </w:pPr>
      <w:r>
        <w:rPr>
          <w:lang w:eastAsia="en-GB"/>
        </w:rPr>
        <w:tab/>
      </w:r>
      <w:r>
        <w:rPr>
          <w:lang w:eastAsia="en-GB"/>
        </w:rPr>
        <w:tab/>
      </w:r>
      <w:r>
        <w:rPr>
          <w:lang w:eastAsia="en-GB"/>
        </w:rPr>
        <w:tab/>
      </w:r>
      <w:r>
        <w:rPr>
          <w:lang w:eastAsia="en-GB"/>
        </w:rPr>
        <w:tab/>
      </w:r>
    </w:p>
    <w:p w14:paraId="709B5496" w14:textId="77777777" w:rsidR="00A62C11" w:rsidRPr="00613D05" w:rsidRDefault="00A62C11" w:rsidP="00A62C11">
      <w:pPr>
        <w:rPr>
          <w:lang w:eastAsia="en-GB"/>
        </w:rPr>
      </w:pPr>
    </w:p>
    <w:p w14:paraId="1208FA34" w14:textId="77777777" w:rsidR="00A62C11" w:rsidRPr="000B79EC" w:rsidRDefault="00A62C11" w:rsidP="00A62C11">
      <w:pPr>
        <w:tabs>
          <w:tab w:val="left" w:pos="4253"/>
        </w:tabs>
        <w:rPr>
          <w:b/>
          <w:bCs/>
        </w:rPr>
      </w:pPr>
      <w:r w:rsidRPr="000B79EC">
        <w:rPr>
          <w:b/>
          <w:bCs/>
        </w:rPr>
        <w:t>Nick Alexander</w:t>
      </w:r>
      <w:r w:rsidRPr="000B79EC">
        <w:rPr>
          <w:b/>
          <w:bCs/>
        </w:rPr>
        <w:tab/>
        <w:t>Ivan Balhatchet</w:t>
      </w:r>
    </w:p>
    <w:p w14:paraId="7D734C2B" w14:textId="77777777" w:rsidR="00A62C11" w:rsidRPr="000B79EC" w:rsidRDefault="00A62C11" w:rsidP="00A62C11">
      <w:pPr>
        <w:tabs>
          <w:tab w:val="left" w:pos="4253"/>
        </w:tabs>
        <w:rPr>
          <w:b/>
          <w:bCs/>
        </w:rPr>
      </w:pPr>
      <w:r w:rsidRPr="000B79EC">
        <w:rPr>
          <w:b/>
          <w:bCs/>
          <w:lang w:eastAsia="en-GB"/>
        </w:rPr>
        <w:t>Chief Finance Officer (s151)</w:t>
      </w:r>
      <w:r w:rsidRPr="000B79EC">
        <w:rPr>
          <w:b/>
          <w:bCs/>
          <w:lang w:eastAsia="en-GB"/>
        </w:rPr>
        <w:tab/>
      </w:r>
      <w:r w:rsidRPr="000B79EC">
        <w:rPr>
          <w:b/>
          <w:bCs/>
        </w:rPr>
        <w:t>Northamptonshire Chief Constable</w:t>
      </w:r>
    </w:p>
    <w:p w14:paraId="4B3DFF10" w14:textId="77777777" w:rsidR="00A62C11" w:rsidRDefault="00A62C11" w:rsidP="00A62C11">
      <w:pPr>
        <w:tabs>
          <w:tab w:val="left" w:pos="4253"/>
        </w:tabs>
      </w:pPr>
    </w:p>
    <w:p w14:paraId="246EE2F4" w14:textId="77777777" w:rsidR="00A62C11" w:rsidRPr="004334CB" w:rsidRDefault="00A62C11" w:rsidP="00A62C11">
      <w:pPr>
        <w:tabs>
          <w:tab w:val="left" w:pos="4253"/>
        </w:tabs>
        <w:sectPr w:rsidR="00A62C11" w:rsidRPr="004334CB" w:rsidSect="00A62C11">
          <w:type w:val="continuous"/>
          <w:pgSz w:w="11900" w:h="16840"/>
          <w:pgMar w:top="1418" w:right="1418" w:bottom="1418" w:left="1418" w:header="709" w:footer="397" w:gutter="0"/>
          <w:cols w:space="708"/>
          <w:docGrid w:linePitch="360"/>
        </w:sectPr>
      </w:pPr>
      <w:r w:rsidRPr="00613D05">
        <w:t>Date:</w:t>
      </w:r>
      <w:r>
        <w:t xml:space="preserve"> 27</w:t>
      </w:r>
      <w:r w:rsidRPr="0043123C">
        <w:rPr>
          <w:vertAlign w:val="superscript"/>
        </w:rPr>
        <w:t>th</w:t>
      </w:r>
      <w:r>
        <w:t xml:space="preserve"> February 2025</w:t>
      </w:r>
      <w:r>
        <w:tab/>
      </w:r>
      <w:r w:rsidRPr="00613D05">
        <w:t>Date:</w:t>
      </w:r>
      <w:r>
        <w:t xml:space="preserve"> 27</w:t>
      </w:r>
      <w:r w:rsidRPr="0043123C">
        <w:rPr>
          <w:vertAlign w:val="superscript"/>
        </w:rPr>
        <w:t>th</w:t>
      </w:r>
      <w:r>
        <w:t xml:space="preserve"> February 2025</w:t>
      </w:r>
    </w:p>
    <w:p w14:paraId="36A57E1C" w14:textId="015D43D6" w:rsidR="004766F5" w:rsidRDefault="004766F5" w:rsidP="00C60BA1">
      <w:pPr>
        <w:spacing w:line="240" w:lineRule="auto"/>
        <w:jc w:val="left"/>
        <w:rPr>
          <w:rFonts w:eastAsia="Times New Roman" w:cs="Times New Roman"/>
          <w:b/>
          <w:bCs/>
          <w:smallCaps/>
          <w:color w:val="C00000"/>
          <w:sz w:val="36"/>
          <w:highlight w:val="yellow"/>
          <w:lang w:val="pt-BR"/>
        </w:rPr>
      </w:pPr>
    </w:p>
    <w:p w14:paraId="6350F47C" w14:textId="77777777" w:rsidR="002522D4" w:rsidRPr="00E350DD" w:rsidRDefault="002522D4" w:rsidP="00C60BA1">
      <w:pPr>
        <w:pStyle w:val="ChapterHeading"/>
        <w:rPr>
          <w:lang w:val="pt-BR"/>
        </w:rPr>
      </w:pPr>
      <w:bookmarkStart w:id="63" w:name="_Toc9272494"/>
      <w:bookmarkStart w:id="64" w:name="_Toc191281425"/>
      <w:r w:rsidRPr="00E350DD">
        <w:rPr>
          <w:lang w:val="pt-BR"/>
        </w:rPr>
        <w:lastRenderedPageBreak/>
        <w:t>Movement in Reserves Statement</w:t>
      </w:r>
      <w:bookmarkEnd w:id="63"/>
      <w:bookmarkEnd w:id="64"/>
    </w:p>
    <w:p w14:paraId="5BECB1FB" w14:textId="77777777" w:rsidR="00F60D5A" w:rsidRPr="00844436" w:rsidRDefault="00F60D5A" w:rsidP="00C60BA1">
      <w:pPr>
        <w:rPr>
          <w:sz w:val="12"/>
          <w:szCs w:val="16"/>
          <w:lang w:val="pt-BR"/>
        </w:rPr>
      </w:pPr>
    </w:p>
    <w:p w14:paraId="6F6FA8C8" w14:textId="6D8329EF" w:rsidR="00B97059" w:rsidRPr="00A14CAC" w:rsidRDefault="002522D4" w:rsidP="00C60BA1">
      <w:pPr>
        <w:rPr>
          <w:lang w:val="pt-BR"/>
        </w:rPr>
      </w:pPr>
      <w:r w:rsidRPr="00E350DD">
        <w:rPr>
          <w:lang w:val="pt-BR"/>
        </w:rPr>
        <w:t xml:space="preserve">This statement shows the movement in the year on the different reserves held by the </w:t>
      </w:r>
      <w:r w:rsidR="006A5AA6" w:rsidRPr="00E350DD">
        <w:rPr>
          <w:lang w:val="pt-BR"/>
        </w:rPr>
        <w:t>OCC</w:t>
      </w:r>
      <w:r w:rsidRPr="00E350DD">
        <w:rPr>
          <w:lang w:val="pt-BR"/>
        </w:rPr>
        <w:t xml:space="preserve">, analysed into ‘usable reserves’ (i.e. those that can be applied to fund expenditure or reduce local taxation) and other reserves. </w:t>
      </w:r>
      <w:r w:rsidR="006A5AA6" w:rsidRPr="00E350DD">
        <w:rPr>
          <w:lang w:val="pt-BR"/>
        </w:rPr>
        <w:t xml:space="preserve"> The</w:t>
      </w:r>
      <w:r w:rsidR="006A5AA6" w:rsidRPr="00A14CAC">
        <w:rPr>
          <w:lang w:val="pt-BR"/>
        </w:rPr>
        <w:t xml:space="preserve"> ‘Surplus or deficit on the provision of s</w:t>
      </w:r>
      <w:r w:rsidRPr="00A14CAC">
        <w:rPr>
          <w:lang w:val="pt-BR"/>
        </w:rPr>
        <w:t>ervices</w:t>
      </w:r>
      <w:r w:rsidR="006A5AA6" w:rsidRPr="00A14CAC">
        <w:rPr>
          <w:lang w:val="pt-BR"/>
        </w:rPr>
        <w:t>’</w:t>
      </w:r>
      <w:r w:rsidRPr="00A14CAC">
        <w:rPr>
          <w:lang w:val="pt-BR"/>
        </w:rPr>
        <w:t xml:space="preserve"> line shows the true economic cost of providing the </w:t>
      </w:r>
      <w:r w:rsidR="006A5AA6" w:rsidRPr="00A14CAC">
        <w:rPr>
          <w:lang w:val="pt-BR"/>
        </w:rPr>
        <w:t>O</w:t>
      </w:r>
      <w:r w:rsidR="00C75713" w:rsidRPr="00A14CAC">
        <w:rPr>
          <w:lang w:val="pt-BR"/>
        </w:rPr>
        <w:t>CC</w:t>
      </w:r>
      <w:r w:rsidRPr="00A14CAC">
        <w:rPr>
          <w:lang w:val="pt-BR"/>
        </w:rPr>
        <w:t>’s services, more details of which are shown in the Comprehensive Income and Expenditure Statement.</w:t>
      </w:r>
    </w:p>
    <w:p w14:paraId="29AB014F" w14:textId="77777777" w:rsidR="00B97059" w:rsidRPr="00844436" w:rsidRDefault="00B97059" w:rsidP="00C60BA1">
      <w:pPr>
        <w:rPr>
          <w:sz w:val="14"/>
          <w:szCs w:val="18"/>
          <w:lang w:val="pt-BR"/>
        </w:rPr>
      </w:pPr>
    </w:p>
    <w:p w14:paraId="01069D61" w14:textId="50731235" w:rsidR="002232EA" w:rsidRDefault="002522D4" w:rsidP="00C60BA1">
      <w:pPr>
        <w:rPr>
          <w:lang w:val="pt-BR"/>
        </w:rPr>
      </w:pPr>
      <w:r w:rsidRPr="00A14CAC">
        <w:rPr>
          <w:lang w:val="pt-BR"/>
        </w:rPr>
        <w:t>These are different from the statutory amounts required to be charged to the General Fund Balance for counci</w:t>
      </w:r>
      <w:r w:rsidR="00B97059" w:rsidRPr="00A14CAC">
        <w:rPr>
          <w:lang w:val="pt-BR"/>
        </w:rPr>
        <w:t>l tax setting.</w:t>
      </w:r>
      <w:r w:rsidR="006A5AA6" w:rsidRPr="00A14CAC">
        <w:rPr>
          <w:lang w:val="pt-BR"/>
        </w:rPr>
        <w:t xml:space="preserve"> </w:t>
      </w:r>
      <w:r w:rsidR="00B97059" w:rsidRPr="00A14CAC">
        <w:rPr>
          <w:lang w:val="pt-BR"/>
        </w:rPr>
        <w:t xml:space="preserve"> The ‘Net Increase or</w:t>
      </w:r>
      <w:r w:rsidRPr="00A14CAC">
        <w:rPr>
          <w:lang w:val="pt-BR"/>
        </w:rPr>
        <w:t xml:space="preserve"> Decrease before Transfers to Earmarked Reserves</w:t>
      </w:r>
      <w:r w:rsidR="00B97059" w:rsidRPr="00A14CAC">
        <w:rPr>
          <w:lang w:val="pt-BR"/>
        </w:rPr>
        <w:t>’</w:t>
      </w:r>
      <w:r w:rsidRPr="00A14CAC">
        <w:rPr>
          <w:lang w:val="pt-BR"/>
        </w:rPr>
        <w:t xml:space="preserve"> line sh</w:t>
      </w:r>
      <w:r w:rsidR="00B97059" w:rsidRPr="00A14CAC">
        <w:rPr>
          <w:lang w:val="pt-BR"/>
        </w:rPr>
        <w:t>ows the statutory General Fund b</w:t>
      </w:r>
      <w:r w:rsidRPr="00A14CAC">
        <w:rPr>
          <w:lang w:val="pt-BR"/>
        </w:rPr>
        <w:t xml:space="preserve">alance before any discretionary transfers to or </w:t>
      </w:r>
      <w:r w:rsidR="00F833B1" w:rsidRPr="00A14CAC">
        <w:rPr>
          <w:lang w:val="pt-BR"/>
        </w:rPr>
        <w:t>from earmarked reserves undertaken.</w:t>
      </w:r>
    </w:p>
    <w:tbl>
      <w:tblPr>
        <w:tblW w:w="5000" w:type="pct"/>
        <w:tblLook w:val="04A0" w:firstRow="1" w:lastRow="0" w:firstColumn="1" w:lastColumn="0" w:noHBand="0" w:noVBand="1"/>
      </w:tblPr>
      <w:tblGrid>
        <w:gridCol w:w="4753"/>
        <w:gridCol w:w="908"/>
        <w:gridCol w:w="1195"/>
        <w:gridCol w:w="950"/>
        <w:gridCol w:w="966"/>
        <w:gridCol w:w="867"/>
      </w:tblGrid>
      <w:tr w:rsidR="00C83152" w:rsidRPr="00DD39BC" w14:paraId="5EF8C339" w14:textId="77777777" w:rsidTr="00AC30FC">
        <w:trPr>
          <w:trHeight w:val="1005"/>
        </w:trPr>
        <w:tc>
          <w:tcPr>
            <w:tcW w:w="2466" w:type="pct"/>
            <w:tcBorders>
              <w:top w:val="nil"/>
              <w:left w:val="nil"/>
              <w:bottom w:val="nil"/>
              <w:right w:val="nil"/>
            </w:tcBorders>
            <w:shd w:val="clear" w:color="000000" w:fill="000099"/>
            <w:vAlign w:val="center"/>
            <w:hideMark/>
          </w:tcPr>
          <w:p w14:paraId="39C89B6B" w14:textId="77777777" w:rsidR="00C83152" w:rsidRPr="00DD39BC" w:rsidRDefault="00C83152" w:rsidP="00C83152">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Chief Constable</w:t>
            </w:r>
          </w:p>
        </w:tc>
        <w:tc>
          <w:tcPr>
            <w:tcW w:w="471" w:type="pct"/>
            <w:tcBorders>
              <w:top w:val="nil"/>
              <w:left w:val="nil"/>
              <w:bottom w:val="nil"/>
              <w:right w:val="nil"/>
            </w:tcBorders>
            <w:shd w:val="clear" w:color="000000" w:fill="000099"/>
            <w:vAlign w:val="center"/>
            <w:hideMark/>
          </w:tcPr>
          <w:p w14:paraId="5FFF1D1A" w14:textId="632E84CA"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General Fund Balance</w:t>
            </w:r>
          </w:p>
        </w:tc>
        <w:tc>
          <w:tcPr>
            <w:tcW w:w="620" w:type="pct"/>
            <w:tcBorders>
              <w:top w:val="nil"/>
              <w:left w:val="nil"/>
              <w:bottom w:val="nil"/>
              <w:right w:val="nil"/>
            </w:tcBorders>
            <w:shd w:val="clear" w:color="000000" w:fill="000099"/>
            <w:vAlign w:val="center"/>
            <w:hideMark/>
          </w:tcPr>
          <w:p w14:paraId="590C685A" w14:textId="168C3E44"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493" w:type="pct"/>
            <w:tcBorders>
              <w:top w:val="nil"/>
              <w:left w:val="nil"/>
              <w:bottom w:val="nil"/>
              <w:right w:val="nil"/>
            </w:tcBorders>
            <w:shd w:val="clear" w:color="000000" w:fill="000099"/>
            <w:vAlign w:val="center"/>
            <w:hideMark/>
          </w:tcPr>
          <w:p w14:paraId="4C0C32D7" w14:textId="59080DE8"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 General Fund Reserves</w:t>
            </w:r>
          </w:p>
        </w:tc>
        <w:tc>
          <w:tcPr>
            <w:tcW w:w="501" w:type="pct"/>
            <w:tcBorders>
              <w:top w:val="nil"/>
              <w:left w:val="nil"/>
              <w:bottom w:val="nil"/>
              <w:right w:val="nil"/>
            </w:tcBorders>
            <w:shd w:val="clear" w:color="000000" w:fill="000099"/>
            <w:vAlign w:val="center"/>
            <w:hideMark/>
          </w:tcPr>
          <w:p w14:paraId="0B073C66" w14:textId="1A639EED"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Unusable Reserves</w:t>
            </w:r>
          </w:p>
        </w:tc>
        <w:tc>
          <w:tcPr>
            <w:tcW w:w="450" w:type="pct"/>
            <w:tcBorders>
              <w:top w:val="nil"/>
              <w:left w:val="nil"/>
              <w:bottom w:val="nil"/>
              <w:right w:val="nil"/>
            </w:tcBorders>
            <w:shd w:val="clear" w:color="000000" w:fill="000099"/>
            <w:vAlign w:val="center"/>
            <w:hideMark/>
          </w:tcPr>
          <w:p w14:paraId="2FA4C3D0" w14:textId="4AD03503"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w:t>
            </w:r>
            <w:r>
              <w:rPr>
                <w:rFonts w:cs="Calibri"/>
                <w:b/>
                <w:bCs/>
                <w:color w:val="FFFFFF"/>
                <w:sz w:val="16"/>
                <w:szCs w:val="16"/>
              </w:rPr>
              <w:br/>
              <w:t>Reserves</w:t>
            </w:r>
          </w:p>
        </w:tc>
      </w:tr>
      <w:tr w:rsidR="00DD39BC" w:rsidRPr="00DD39BC" w14:paraId="1E50D483" w14:textId="77777777" w:rsidTr="00AC30FC">
        <w:trPr>
          <w:trHeight w:val="290"/>
        </w:trPr>
        <w:tc>
          <w:tcPr>
            <w:tcW w:w="2466" w:type="pct"/>
            <w:tcBorders>
              <w:top w:val="nil"/>
              <w:left w:val="nil"/>
              <w:bottom w:val="nil"/>
              <w:right w:val="nil"/>
            </w:tcBorders>
            <w:shd w:val="clear" w:color="000000" w:fill="000099"/>
            <w:vAlign w:val="bottom"/>
            <w:hideMark/>
          </w:tcPr>
          <w:p w14:paraId="0866588C" w14:textId="77777777" w:rsidR="00DD39BC" w:rsidRPr="00DD39BC" w:rsidRDefault="00DD39BC" w:rsidP="00DD39BC">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 </w:t>
            </w:r>
          </w:p>
        </w:tc>
        <w:tc>
          <w:tcPr>
            <w:tcW w:w="471" w:type="pct"/>
            <w:tcBorders>
              <w:top w:val="nil"/>
              <w:left w:val="nil"/>
              <w:bottom w:val="nil"/>
              <w:right w:val="nil"/>
            </w:tcBorders>
            <w:shd w:val="clear" w:color="000000" w:fill="000099"/>
            <w:vAlign w:val="bottom"/>
            <w:hideMark/>
          </w:tcPr>
          <w:p w14:paraId="595FA9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620" w:type="pct"/>
            <w:tcBorders>
              <w:top w:val="nil"/>
              <w:left w:val="nil"/>
              <w:bottom w:val="nil"/>
              <w:right w:val="nil"/>
            </w:tcBorders>
            <w:shd w:val="clear" w:color="000000" w:fill="000099"/>
            <w:vAlign w:val="bottom"/>
            <w:hideMark/>
          </w:tcPr>
          <w:p w14:paraId="45F5BD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3" w:type="pct"/>
            <w:tcBorders>
              <w:top w:val="nil"/>
              <w:left w:val="nil"/>
              <w:bottom w:val="nil"/>
              <w:right w:val="nil"/>
            </w:tcBorders>
            <w:shd w:val="clear" w:color="000000" w:fill="000099"/>
            <w:vAlign w:val="bottom"/>
            <w:hideMark/>
          </w:tcPr>
          <w:p w14:paraId="7F7303CD"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501" w:type="pct"/>
            <w:tcBorders>
              <w:top w:val="nil"/>
              <w:left w:val="nil"/>
              <w:bottom w:val="nil"/>
              <w:right w:val="nil"/>
            </w:tcBorders>
            <w:shd w:val="clear" w:color="000000" w:fill="000099"/>
            <w:vAlign w:val="bottom"/>
            <w:hideMark/>
          </w:tcPr>
          <w:p w14:paraId="7A65D3C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50" w:type="pct"/>
            <w:tcBorders>
              <w:top w:val="nil"/>
              <w:left w:val="nil"/>
              <w:bottom w:val="nil"/>
              <w:right w:val="nil"/>
            </w:tcBorders>
            <w:shd w:val="clear" w:color="000000" w:fill="000099"/>
            <w:vAlign w:val="bottom"/>
            <w:hideMark/>
          </w:tcPr>
          <w:p w14:paraId="2F7B0A8F"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r>
      <w:tr w:rsidR="00DD39BC" w:rsidRPr="00DD39BC" w14:paraId="4854DAD1" w14:textId="77777777" w:rsidTr="00AC30FC">
        <w:trPr>
          <w:trHeight w:val="290"/>
        </w:trPr>
        <w:tc>
          <w:tcPr>
            <w:tcW w:w="2466" w:type="pct"/>
            <w:tcBorders>
              <w:top w:val="nil"/>
              <w:left w:val="nil"/>
              <w:bottom w:val="nil"/>
              <w:right w:val="nil"/>
            </w:tcBorders>
            <w:shd w:val="clear" w:color="000000" w:fill="FFFFFF"/>
            <w:noWrap/>
            <w:vAlign w:val="center"/>
            <w:hideMark/>
          </w:tcPr>
          <w:p w14:paraId="1DF560C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2023</w:t>
            </w:r>
          </w:p>
        </w:tc>
        <w:tc>
          <w:tcPr>
            <w:tcW w:w="471" w:type="pct"/>
            <w:tcBorders>
              <w:top w:val="nil"/>
              <w:left w:val="nil"/>
              <w:bottom w:val="nil"/>
              <w:right w:val="nil"/>
            </w:tcBorders>
            <w:shd w:val="clear" w:color="000000" w:fill="CCECFF"/>
            <w:vAlign w:val="bottom"/>
            <w:hideMark/>
          </w:tcPr>
          <w:p w14:paraId="698EC58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nil"/>
              <w:left w:val="nil"/>
              <w:bottom w:val="nil"/>
              <w:right w:val="nil"/>
            </w:tcBorders>
            <w:shd w:val="clear" w:color="000000" w:fill="CCECFF"/>
            <w:vAlign w:val="bottom"/>
            <w:hideMark/>
          </w:tcPr>
          <w:p w14:paraId="253CA2F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nil"/>
              <w:left w:val="nil"/>
              <w:bottom w:val="nil"/>
              <w:right w:val="nil"/>
            </w:tcBorders>
            <w:shd w:val="clear" w:color="000000" w:fill="CCECFF"/>
            <w:vAlign w:val="bottom"/>
            <w:hideMark/>
          </w:tcPr>
          <w:p w14:paraId="224485D2"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39CE839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1,019,784</w:t>
            </w:r>
          </w:p>
        </w:tc>
        <w:tc>
          <w:tcPr>
            <w:tcW w:w="450" w:type="pct"/>
            <w:tcBorders>
              <w:top w:val="nil"/>
              <w:left w:val="nil"/>
              <w:bottom w:val="nil"/>
              <w:right w:val="nil"/>
            </w:tcBorders>
            <w:shd w:val="clear" w:color="000000" w:fill="CCECFF"/>
            <w:vAlign w:val="bottom"/>
            <w:hideMark/>
          </w:tcPr>
          <w:p w14:paraId="429AD11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1,019,784</w:t>
            </w:r>
          </w:p>
        </w:tc>
      </w:tr>
      <w:tr w:rsidR="00DD39BC" w:rsidRPr="00DD39BC" w14:paraId="61D4FE61" w14:textId="77777777" w:rsidTr="00AC30FC">
        <w:trPr>
          <w:trHeight w:val="255"/>
        </w:trPr>
        <w:tc>
          <w:tcPr>
            <w:tcW w:w="2466" w:type="pct"/>
            <w:tcBorders>
              <w:top w:val="nil"/>
              <w:left w:val="nil"/>
              <w:bottom w:val="nil"/>
              <w:right w:val="nil"/>
            </w:tcBorders>
            <w:shd w:val="clear" w:color="000000" w:fill="FFFFFF"/>
            <w:noWrap/>
            <w:vAlign w:val="center"/>
            <w:hideMark/>
          </w:tcPr>
          <w:p w14:paraId="7A5B4DE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1BC7954B"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52B72F18"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5896852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21803145"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4DEEEBB3"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550E1288" w14:textId="77777777" w:rsidTr="00AC30FC">
        <w:trPr>
          <w:trHeight w:val="290"/>
        </w:trPr>
        <w:tc>
          <w:tcPr>
            <w:tcW w:w="2466" w:type="pct"/>
            <w:tcBorders>
              <w:top w:val="nil"/>
              <w:left w:val="nil"/>
              <w:bottom w:val="nil"/>
              <w:right w:val="nil"/>
            </w:tcBorders>
            <w:shd w:val="clear" w:color="000000" w:fill="FFFFFF"/>
            <w:noWrap/>
            <w:vAlign w:val="center"/>
            <w:hideMark/>
          </w:tcPr>
          <w:p w14:paraId="432FAC9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Movement in reserves during 2023/24</w:t>
            </w:r>
          </w:p>
        </w:tc>
        <w:tc>
          <w:tcPr>
            <w:tcW w:w="471" w:type="pct"/>
            <w:tcBorders>
              <w:top w:val="nil"/>
              <w:left w:val="nil"/>
              <w:bottom w:val="nil"/>
              <w:right w:val="nil"/>
            </w:tcBorders>
            <w:shd w:val="clear" w:color="000000" w:fill="CCECFF"/>
            <w:vAlign w:val="bottom"/>
            <w:hideMark/>
          </w:tcPr>
          <w:p w14:paraId="16FD4FDD"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20" w:type="pct"/>
            <w:tcBorders>
              <w:top w:val="nil"/>
              <w:left w:val="nil"/>
              <w:bottom w:val="nil"/>
              <w:right w:val="nil"/>
            </w:tcBorders>
            <w:shd w:val="clear" w:color="000000" w:fill="CCECFF"/>
            <w:vAlign w:val="bottom"/>
            <w:hideMark/>
          </w:tcPr>
          <w:p w14:paraId="0EED8271"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3" w:type="pct"/>
            <w:tcBorders>
              <w:top w:val="nil"/>
              <w:left w:val="nil"/>
              <w:bottom w:val="nil"/>
              <w:right w:val="nil"/>
            </w:tcBorders>
            <w:shd w:val="clear" w:color="000000" w:fill="CCECFF"/>
            <w:vAlign w:val="bottom"/>
            <w:hideMark/>
          </w:tcPr>
          <w:p w14:paraId="48B1E285"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501" w:type="pct"/>
            <w:tcBorders>
              <w:top w:val="nil"/>
              <w:left w:val="nil"/>
              <w:bottom w:val="nil"/>
              <w:right w:val="nil"/>
            </w:tcBorders>
            <w:shd w:val="clear" w:color="000000" w:fill="CCECFF"/>
            <w:vAlign w:val="bottom"/>
            <w:hideMark/>
          </w:tcPr>
          <w:p w14:paraId="6B4BEE5E"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50" w:type="pct"/>
            <w:tcBorders>
              <w:top w:val="nil"/>
              <w:left w:val="nil"/>
              <w:bottom w:val="nil"/>
              <w:right w:val="nil"/>
            </w:tcBorders>
            <w:shd w:val="clear" w:color="000000" w:fill="CCECFF"/>
            <w:vAlign w:val="bottom"/>
            <w:hideMark/>
          </w:tcPr>
          <w:p w14:paraId="5B04751F"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6643A9E4" w14:textId="77777777" w:rsidTr="00AC30FC">
        <w:trPr>
          <w:trHeight w:val="290"/>
        </w:trPr>
        <w:tc>
          <w:tcPr>
            <w:tcW w:w="2466" w:type="pct"/>
            <w:tcBorders>
              <w:top w:val="nil"/>
              <w:left w:val="nil"/>
              <w:bottom w:val="nil"/>
              <w:right w:val="nil"/>
            </w:tcBorders>
            <w:shd w:val="clear" w:color="000000" w:fill="FFFFFF"/>
            <w:noWrap/>
            <w:vAlign w:val="center"/>
            <w:hideMark/>
          </w:tcPr>
          <w:p w14:paraId="17E9D74E" w14:textId="1E9808A3"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 xml:space="preserve">Surplus or </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deficit</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 xml:space="preserve"> on the provision of services</w:t>
            </w:r>
          </w:p>
        </w:tc>
        <w:tc>
          <w:tcPr>
            <w:tcW w:w="471" w:type="pct"/>
            <w:tcBorders>
              <w:top w:val="nil"/>
              <w:left w:val="nil"/>
              <w:bottom w:val="nil"/>
              <w:right w:val="nil"/>
            </w:tcBorders>
            <w:shd w:val="clear" w:color="000000" w:fill="CCECFF"/>
            <w:vAlign w:val="bottom"/>
            <w:hideMark/>
          </w:tcPr>
          <w:p w14:paraId="00F59465"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620" w:type="pct"/>
            <w:tcBorders>
              <w:top w:val="nil"/>
              <w:left w:val="nil"/>
              <w:bottom w:val="nil"/>
              <w:right w:val="nil"/>
            </w:tcBorders>
            <w:shd w:val="clear" w:color="000000" w:fill="CCECFF"/>
            <w:vAlign w:val="bottom"/>
            <w:hideMark/>
          </w:tcPr>
          <w:p w14:paraId="684A9DF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119BCEB4"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501" w:type="pct"/>
            <w:tcBorders>
              <w:top w:val="nil"/>
              <w:left w:val="nil"/>
              <w:bottom w:val="nil"/>
              <w:right w:val="nil"/>
            </w:tcBorders>
            <w:shd w:val="clear" w:color="000000" w:fill="CCECFF"/>
            <w:vAlign w:val="bottom"/>
            <w:hideMark/>
          </w:tcPr>
          <w:p w14:paraId="21557B8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50" w:type="pct"/>
            <w:tcBorders>
              <w:top w:val="nil"/>
              <w:left w:val="nil"/>
              <w:bottom w:val="nil"/>
              <w:right w:val="nil"/>
            </w:tcBorders>
            <w:shd w:val="clear" w:color="000000" w:fill="CCECFF"/>
            <w:vAlign w:val="bottom"/>
            <w:hideMark/>
          </w:tcPr>
          <w:p w14:paraId="67709CF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r>
      <w:tr w:rsidR="00DD39BC" w:rsidRPr="00DD39BC" w14:paraId="3478C47C" w14:textId="77777777" w:rsidTr="00AC30FC">
        <w:trPr>
          <w:trHeight w:val="290"/>
        </w:trPr>
        <w:tc>
          <w:tcPr>
            <w:tcW w:w="2466" w:type="pct"/>
            <w:tcBorders>
              <w:top w:val="nil"/>
              <w:left w:val="nil"/>
              <w:bottom w:val="nil"/>
              <w:right w:val="nil"/>
            </w:tcBorders>
            <w:shd w:val="clear" w:color="000000" w:fill="FFFFFF"/>
            <w:noWrap/>
            <w:vAlign w:val="center"/>
            <w:hideMark/>
          </w:tcPr>
          <w:p w14:paraId="4CD98611"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Other Comprehensive Income / Expenditure</w:t>
            </w:r>
          </w:p>
        </w:tc>
        <w:tc>
          <w:tcPr>
            <w:tcW w:w="471" w:type="pct"/>
            <w:tcBorders>
              <w:top w:val="nil"/>
              <w:left w:val="nil"/>
              <w:bottom w:val="nil"/>
              <w:right w:val="nil"/>
            </w:tcBorders>
            <w:shd w:val="clear" w:color="000000" w:fill="CCECFF"/>
            <w:vAlign w:val="bottom"/>
            <w:hideMark/>
          </w:tcPr>
          <w:p w14:paraId="4FF905C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620" w:type="pct"/>
            <w:tcBorders>
              <w:top w:val="nil"/>
              <w:left w:val="nil"/>
              <w:bottom w:val="nil"/>
              <w:right w:val="nil"/>
            </w:tcBorders>
            <w:shd w:val="clear" w:color="000000" w:fill="CCECFF"/>
            <w:vAlign w:val="bottom"/>
            <w:hideMark/>
          </w:tcPr>
          <w:p w14:paraId="1F5F87B3"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2EE5A0C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3A56392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13,808</w:t>
            </w:r>
          </w:p>
        </w:tc>
        <w:tc>
          <w:tcPr>
            <w:tcW w:w="450" w:type="pct"/>
            <w:tcBorders>
              <w:top w:val="nil"/>
              <w:left w:val="nil"/>
              <w:bottom w:val="nil"/>
              <w:right w:val="nil"/>
            </w:tcBorders>
            <w:shd w:val="clear" w:color="000000" w:fill="CCECFF"/>
            <w:vAlign w:val="bottom"/>
            <w:hideMark/>
          </w:tcPr>
          <w:p w14:paraId="18DB69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r>
      <w:tr w:rsidR="00DD39BC" w:rsidRPr="00DD39BC" w14:paraId="5A6C5900" w14:textId="77777777" w:rsidTr="00AC30FC">
        <w:trPr>
          <w:trHeight w:val="290"/>
        </w:trPr>
        <w:tc>
          <w:tcPr>
            <w:tcW w:w="2466" w:type="pct"/>
            <w:tcBorders>
              <w:top w:val="single" w:sz="4" w:space="0" w:color="auto"/>
              <w:left w:val="nil"/>
              <w:bottom w:val="nil"/>
              <w:right w:val="nil"/>
            </w:tcBorders>
            <w:shd w:val="clear" w:color="000000" w:fill="FFFFFF"/>
            <w:noWrap/>
            <w:vAlign w:val="center"/>
            <w:hideMark/>
          </w:tcPr>
          <w:p w14:paraId="18169F4B"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Total Comprehensive Income and Expenditure</w:t>
            </w:r>
          </w:p>
        </w:tc>
        <w:tc>
          <w:tcPr>
            <w:tcW w:w="471" w:type="pct"/>
            <w:tcBorders>
              <w:top w:val="single" w:sz="4" w:space="0" w:color="auto"/>
              <w:left w:val="nil"/>
              <w:bottom w:val="nil"/>
              <w:right w:val="nil"/>
            </w:tcBorders>
            <w:shd w:val="clear" w:color="000000" w:fill="CCECFF"/>
            <w:vAlign w:val="bottom"/>
            <w:hideMark/>
          </w:tcPr>
          <w:p w14:paraId="36E9B658"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620" w:type="pct"/>
            <w:tcBorders>
              <w:top w:val="single" w:sz="4" w:space="0" w:color="auto"/>
              <w:left w:val="nil"/>
              <w:bottom w:val="nil"/>
              <w:right w:val="nil"/>
            </w:tcBorders>
            <w:shd w:val="clear" w:color="000000" w:fill="CCECFF"/>
            <w:vAlign w:val="bottom"/>
            <w:hideMark/>
          </w:tcPr>
          <w:p w14:paraId="3F052D5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bottom"/>
            <w:hideMark/>
          </w:tcPr>
          <w:p w14:paraId="44A9B8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501" w:type="pct"/>
            <w:tcBorders>
              <w:top w:val="single" w:sz="4" w:space="0" w:color="auto"/>
              <w:left w:val="nil"/>
              <w:bottom w:val="nil"/>
              <w:right w:val="nil"/>
            </w:tcBorders>
            <w:shd w:val="clear" w:color="000000" w:fill="CCECFF"/>
            <w:vAlign w:val="bottom"/>
            <w:hideMark/>
          </w:tcPr>
          <w:p w14:paraId="3E103D5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c>
          <w:tcPr>
            <w:tcW w:w="450" w:type="pct"/>
            <w:tcBorders>
              <w:top w:val="single" w:sz="4" w:space="0" w:color="auto"/>
              <w:left w:val="nil"/>
              <w:bottom w:val="nil"/>
              <w:right w:val="nil"/>
            </w:tcBorders>
            <w:shd w:val="clear" w:color="000000" w:fill="CCECFF"/>
            <w:vAlign w:val="bottom"/>
            <w:hideMark/>
          </w:tcPr>
          <w:p w14:paraId="100CE9A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2AAB02C0" w14:textId="77777777" w:rsidTr="00AC30FC">
        <w:trPr>
          <w:trHeight w:val="74"/>
        </w:trPr>
        <w:tc>
          <w:tcPr>
            <w:tcW w:w="2466" w:type="pct"/>
            <w:tcBorders>
              <w:top w:val="nil"/>
              <w:left w:val="nil"/>
              <w:bottom w:val="nil"/>
              <w:right w:val="nil"/>
            </w:tcBorders>
            <w:shd w:val="clear" w:color="000000" w:fill="FFFFFF"/>
            <w:noWrap/>
            <w:vAlign w:val="center"/>
            <w:hideMark/>
          </w:tcPr>
          <w:p w14:paraId="099F2AB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3A36A6E4"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5DAD4EB2"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5CB0E2A5"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08F3C7E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0B49D632"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7489911E" w14:textId="77777777" w:rsidTr="00AC30FC">
        <w:trPr>
          <w:trHeight w:val="420"/>
        </w:trPr>
        <w:tc>
          <w:tcPr>
            <w:tcW w:w="2466" w:type="pct"/>
            <w:tcBorders>
              <w:top w:val="nil"/>
              <w:left w:val="nil"/>
              <w:bottom w:val="nil"/>
              <w:right w:val="nil"/>
            </w:tcBorders>
            <w:shd w:val="clear" w:color="000000" w:fill="FFFFFF"/>
            <w:vAlign w:val="center"/>
            <w:hideMark/>
          </w:tcPr>
          <w:p w14:paraId="7D953745"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Adjustments between accounting basis and funding basis under regulations (Note 6)</w:t>
            </w:r>
          </w:p>
        </w:tc>
        <w:tc>
          <w:tcPr>
            <w:tcW w:w="471" w:type="pct"/>
            <w:tcBorders>
              <w:top w:val="nil"/>
              <w:left w:val="nil"/>
              <w:bottom w:val="nil"/>
              <w:right w:val="nil"/>
            </w:tcBorders>
            <w:shd w:val="clear" w:color="000000" w:fill="CCECFF"/>
            <w:vAlign w:val="bottom"/>
            <w:hideMark/>
          </w:tcPr>
          <w:p w14:paraId="607642C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000000"/>
                <w:sz w:val="16"/>
                <w:szCs w:val="16"/>
                <w:lang w:eastAsia="en-GB"/>
              </w:rPr>
              <w:t>(24,397)</w:t>
            </w:r>
          </w:p>
        </w:tc>
        <w:tc>
          <w:tcPr>
            <w:tcW w:w="620" w:type="pct"/>
            <w:tcBorders>
              <w:top w:val="nil"/>
              <w:left w:val="nil"/>
              <w:bottom w:val="nil"/>
              <w:right w:val="nil"/>
            </w:tcBorders>
            <w:shd w:val="clear" w:color="000000" w:fill="CCECFF"/>
            <w:vAlign w:val="bottom"/>
            <w:hideMark/>
          </w:tcPr>
          <w:p w14:paraId="33EBED8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7D0376A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000000"/>
                <w:sz w:val="16"/>
                <w:szCs w:val="16"/>
                <w:lang w:eastAsia="en-GB"/>
              </w:rPr>
              <w:t>(24,397)</w:t>
            </w:r>
          </w:p>
        </w:tc>
        <w:tc>
          <w:tcPr>
            <w:tcW w:w="501" w:type="pct"/>
            <w:tcBorders>
              <w:top w:val="nil"/>
              <w:left w:val="nil"/>
              <w:bottom w:val="nil"/>
              <w:right w:val="nil"/>
            </w:tcBorders>
            <w:shd w:val="clear" w:color="000000" w:fill="CCECFF"/>
            <w:vAlign w:val="bottom"/>
            <w:hideMark/>
          </w:tcPr>
          <w:p w14:paraId="08ECE4F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450" w:type="pct"/>
            <w:tcBorders>
              <w:top w:val="nil"/>
              <w:left w:val="nil"/>
              <w:bottom w:val="nil"/>
              <w:right w:val="nil"/>
            </w:tcBorders>
            <w:shd w:val="clear" w:color="000000" w:fill="CCECFF"/>
            <w:vAlign w:val="bottom"/>
            <w:hideMark/>
          </w:tcPr>
          <w:p w14:paraId="031916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6CADB097" w14:textId="77777777" w:rsidTr="00AC30FC">
        <w:trPr>
          <w:trHeight w:val="290"/>
        </w:trPr>
        <w:tc>
          <w:tcPr>
            <w:tcW w:w="2466" w:type="pct"/>
            <w:tcBorders>
              <w:top w:val="single" w:sz="4" w:space="0" w:color="auto"/>
              <w:left w:val="nil"/>
              <w:bottom w:val="nil"/>
              <w:right w:val="nil"/>
            </w:tcBorders>
            <w:shd w:val="clear" w:color="000000" w:fill="FFFFFF"/>
            <w:noWrap/>
            <w:vAlign w:val="center"/>
            <w:hideMark/>
          </w:tcPr>
          <w:p w14:paraId="5C912AE7" w14:textId="6238E851"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Net Increase or Decrease before Transfers to Earmarked Reserves</w:t>
            </w:r>
          </w:p>
        </w:tc>
        <w:tc>
          <w:tcPr>
            <w:tcW w:w="471" w:type="pct"/>
            <w:tcBorders>
              <w:top w:val="single" w:sz="4" w:space="0" w:color="auto"/>
              <w:left w:val="nil"/>
              <w:bottom w:val="nil"/>
              <w:right w:val="nil"/>
            </w:tcBorders>
            <w:shd w:val="clear" w:color="000000" w:fill="CCECFF"/>
            <w:vAlign w:val="bottom"/>
            <w:hideMark/>
          </w:tcPr>
          <w:p w14:paraId="4827CC3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nil"/>
              <w:right w:val="nil"/>
            </w:tcBorders>
            <w:shd w:val="clear" w:color="000000" w:fill="CCECFF"/>
            <w:vAlign w:val="bottom"/>
            <w:hideMark/>
          </w:tcPr>
          <w:p w14:paraId="39D1395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bottom"/>
            <w:hideMark/>
          </w:tcPr>
          <w:p w14:paraId="2A9161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nil"/>
              <w:right w:val="nil"/>
            </w:tcBorders>
            <w:shd w:val="clear" w:color="000000" w:fill="CCECFF"/>
            <w:vAlign w:val="bottom"/>
            <w:hideMark/>
          </w:tcPr>
          <w:p w14:paraId="264E7E4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450" w:type="pct"/>
            <w:tcBorders>
              <w:top w:val="single" w:sz="4" w:space="0" w:color="auto"/>
              <w:left w:val="nil"/>
              <w:bottom w:val="nil"/>
              <w:right w:val="nil"/>
            </w:tcBorders>
            <w:shd w:val="clear" w:color="000000" w:fill="CCECFF"/>
            <w:vAlign w:val="bottom"/>
            <w:hideMark/>
          </w:tcPr>
          <w:p w14:paraId="2C4EF8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1C8565FC" w14:textId="77777777" w:rsidTr="00AC30FC">
        <w:trPr>
          <w:trHeight w:val="255"/>
        </w:trPr>
        <w:tc>
          <w:tcPr>
            <w:tcW w:w="2466" w:type="pct"/>
            <w:tcBorders>
              <w:top w:val="nil"/>
              <w:left w:val="nil"/>
              <w:bottom w:val="nil"/>
              <w:right w:val="nil"/>
            </w:tcBorders>
            <w:shd w:val="clear" w:color="000000" w:fill="FFFFFF"/>
            <w:noWrap/>
            <w:vAlign w:val="center"/>
            <w:hideMark/>
          </w:tcPr>
          <w:p w14:paraId="5E5C723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1B95737B"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4F7BF99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62221F3E"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5215791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1CD46DCF"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32B9258A" w14:textId="77777777" w:rsidTr="00AC30FC">
        <w:trPr>
          <w:trHeight w:val="290"/>
        </w:trPr>
        <w:tc>
          <w:tcPr>
            <w:tcW w:w="2466" w:type="pct"/>
            <w:tcBorders>
              <w:top w:val="nil"/>
              <w:left w:val="nil"/>
              <w:bottom w:val="nil"/>
              <w:right w:val="nil"/>
            </w:tcBorders>
            <w:shd w:val="clear" w:color="000000" w:fill="FFFFFF"/>
            <w:noWrap/>
            <w:vAlign w:val="center"/>
            <w:hideMark/>
          </w:tcPr>
          <w:p w14:paraId="44A62879"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Transfers to / from Earmarked Reserves</w:t>
            </w:r>
          </w:p>
        </w:tc>
        <w:tc>
          <w:tcPr>
            <w:tcW w:w="471" w:type="pct"/>
            <w:tcBorders>
              <w:top w:val="nil"/>
              <w:left w:val="nil"/>
              <w:bottom w:val="nil"/>
              <w:right w:val="nil"/>
            </w:tcBorders>
            <w:shd w:val="clear" w:color="000000" w:fill="CCECFF"/>
            <w:vAlign w:val="bottom"/>
            <w:hideMark/>
          </w:tcPr>
          <w:p w14:paraId="356B7F14" w14:textId="77777777" w:rsidR="00DD39BC" w:rsidRPr="00DD39BC" w:rsidRDefault="00DD39BC" w:rsidP="00DD39BC">
            <w:pPr>
              <w:spacing w:line="240" w:lineRule="auto"/>
              <w:jc w:val="lef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20" w:type="pct"/>
            <w:tcBorders>
              <w:top w:val="nil"/>
              <w:left w:val="nil"/>
              <w:bottom w:val="nil"/>
              <w:right w:val="nil"/>
            </w:tcBorders>
            <w:shd w:val="clear" w:color="000000" w:fill="CCECFF"/>
            <w:vAlign w:val="bottom"/>
            <w:hideMark/>
          </w:tcPr>
          <w:p w14:paraId="77F6E2E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bottom"/>
            <w:hideMark/>
          </w:tcPr>
          <w:p w14:paraId="556C94E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nil"/>
              <w:left w:val="nil"/>
              <w:bottom w:val="nil"/>
              <w:right w:val="nil"/>
            </w:tcBorders>
            <w:shd w:val="clear" w:color="000000" w:fill="CCECFF"/>
            <w:vAlign w:val="bottom"/>
            <w:hideMark/>
          </w:tcPr>
          <w:p w14:paraId="419A71F6"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50" w:type="pct"/>
            <w:tcBorders>
              <w:top w:val="nil"/>
              <w:left w:val="nil"/>
              <w:bottom w:val="nil"/>
              <w:right w:val="nil"/>
            </w:tcBorders>
            <w:shd w:val="clear" w:color="000000" w:fill="CCECFF"/>
            <w:vAlign w:val="bottom"/>
            <w:hideMark/>
          </w:tcPr>
          <w:p w14:paraId="5D12BBB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2CD0729A" w14:textId="77777777" w:rsidTr="00AC30FC">
        <w:trPr>
          <w:trHeight w:val="290"/>
        </w:trPr>
        <w:tc>
          <w:tcPr>
            <w:tcW w:w="2466" w:type="pct"/>
            <w:tcBorders>
              <w:top w:val="single" w:sz="4" w:space="0" w:color="auto"/>
              <w:left w:val="nil"/>
              <w:bottom w:val="single" w:sz="4" w:space="0" w:color="auto"/>
              <w:right w:val="nil"/>
            </w:tcBorders>
            <w:shd w:val="clear" w:color="000000" w:fill="FFFFFF"/>
            <w:noWrap/>
            <w:vAlign w:val="center"/>
            <w:hideMark/>
          </w:tcPr>
          <w:p w14:paraId="03E1FDD9" w14:textId="10E5DB92"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Increase or </w:t>
            </w:r>
            <w:r w:rsidR="009E7D01">
              <w:rPr>
                <w:rFonts w:eastAsia="Times New Roman" w:cs="Calibri"/>
                <w:b/>
                <w:bCs/>
                <w:color w:val="000000"/>
                <w:sz w:val="16"/>
                <w:szCs w:val="16"/>
                <w:lang w:eastAsia="en-GB"/>
              </w:rPr>
              <w:t>d</w:t>
            </w:r>
            <w:r w:rsidRPr="00DD39BC">
              <w:rPr>
                <w:rFonts w:eastAsia="Times New Roman" w:cs="Calibri"/>
                <w:b/>
                <w:bCs/>
                <w:color w:val="000000"/>
                <w:sz w:val="16"/>
                <w:szCs w:val="16"/>
                <w:lang w:eastAsia="en-GB"/>
              </w:rPr>
              <w:t>ecrease in 2023/24</w:t>
            </w:r>
          </w:p>
        </w:tc>
        <w:tc>
          <w:tcPr>
            <w:tcW w:w="471" w:type="pct"/>
            <w:tcBorders>
              <w:top w:val="single" w:sz="4" w:space="0" w:color="auto"/>
              <w:left w:val="nil"/>
              <w:bottom w:val="single" w:sz="4" w:space="0" w:color="auto"/>
              <w:right w:val="nil"/>
            </w:tcBorders>
            <w:shd w:val="clear" w:color="000000" w:fill="CCECFF"/>
            <w:vAlign w:val="bottom"/>
            <w:hideMark/>
          </w:tcPr>
          <w:p w14:paraId="0FD411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single" w:sz="4" w:space="0" w:color="auto"/>
              <w:right w:val="nil"/>
            </w:tcBorders>
            <w:shd w:val="clear" w:color="000000" w:fill="CCECFF"/>
            <w:vAlign w:val="bottom"/>
            <w:hideMark/>
          </w:tcPr>
          <w:p w14:paraId="55B8C04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bottom"/>
            <w:hideMark/>
          </w:tcPr>
          <w:p w14:paraId="2BB4FDA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single" w:sz="4" w:space="0" w:color="auto"/>
              <w:right w:val="nil"/>
            </w:tcBorders>
            <w:shd w:val="clear" w:color="000000" w:fill="CCECFF"/>
            <w:vAlign w:val="bottom"/>
            <w:hideMark/>
          </w:tcPr>
          <w:p w14:paraId="59736FF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450" w:type="pct"/>
            <w:tcBorders>
              <w:top w:val="single" w:sz="4" w:space="0" w:color="auto"/>
              <w:left w:val="nil"/>
              <w:bottom w:val="single" w:sz="4" w:space="0" w:color="auto"/>
              <w:right w:val="nil"/>
            </w:tcBorders>
            <w:shd w:val="clear" w:color="000000" w:fill="CCECFF"/>
            <w:vAlign w:val="bottom"/>
            <w:hideMark/>
          </w:tcPr>
          <w:p w14:paraId="3C9B4C71"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77ABBD3D" w14:textId="77777777" w:rsidTr="00AC30FC">
        <w:trPr>
          <w:trHeight w:val="255"/>
        </w:trPr>
        <w:tc>
          <w:tcPr>
            <w:tcW w:w="2466" w:type="pct"/>
            <w:tcBorders>
              <w:top w:val="nil"/>
              <w:left w:val="nil"/>
              <w:bottom w:val="nil"/>
              <w:right w:val="nil"/>
            </w:tcBorders>
            <w:shd w:val="clear" w:color="000000" w:fill="FFFFFF"/>
            <w:noWrap/>
            <w:vAlign w:val="center"/>
            <w:hideMark/>
          </w:tcPr>
          <w:p w14:paraId="53C958D5"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71" w:type="pct"/>
            <w:tcBorders>
              <w:top w:val="nil"/>
              <w:left w:val="nil"/>
              <w:bottom w:val="nil"/>
              <w:right w:val="nil"/>
            </w:tcBorders>
            <w:shd w:val="clear" w:color="000000" w:fill="CCECFF"/>
            <w:vAlign w:val="bottom"/>
            <w:hideMark/>
          </w:tcPr>
          <w:p w14:paraId="6E61C9E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20" w:type="pct"/>
            <w:tcBorders>
              <w:top w:val="nil"/>
              <w:left w:val="nil"/>
              <w:bottom w:val="nil"/>
              <w:right w:val="nil"/>
            </w:tcBorders>
            <w:shd w:val="clear" w:color="000000" w:fill="CCECFF"/>
            <w:vAlign w:val="bottom"/>
            <w:hideMark/>
          </w:tcPr>
          <w:p w14:paraId="388AA929"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bottom"/>
            <w:hideMark/>
          </w:tcPr>
          <w:p w14:paraId="3A885D71"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01" w:type="pct"/>
            <w:tcBorders>
              <w:top w:val="nil"/>
              <w:left w:val="nil"/>
              <w:bottom w:val="nil"/>
              <w:right w:val="nil"/>
            </w:tcBorders>
            <w:shd w:val="clear" w:color="000000" w:fill="CCECFF"/>
            <w:vAlign w:val="bottom"/>
            <w:hideMark/>
          </w:tcPr>
          <w:p w14:paraId="1C757FD6"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50" w:type="pct"/>
            <w:tcBorders>
              <w:top w:val="nil"/>
              <w:left w:val="nil"/>
              <w:bottom w:val="nil"/>
              <w:right w:val="nil"/>
            </w:tcBorders>
            <w:shd w:val="clear" w:color="000000" w:fill="CCECFF"/>
            <w:vAlign w:val="bottom"/>
            <w:hideMark/>
          </w:tcPr>
          <w:p w14:paraId="62B5E8AA" w14:textId="77777777" w:rsidR="00DD39BC" w:rsidRPr="00DD39BC" w:rsidRDefault="00DD39BC" w:rsidP="00DD39BC">
            <w:pPr>
              <w:spacing w:line="240" w:lineRule="auto"/>
              <w:jc w:val="lef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514BBFA2" w14:textId="77777777" w:rsidTr="00AC30FC">
        <w:trPr>
          <w:trHeight w:val="290"/>
        </w:trPr>
        <w:tc>
          <w:tcPr>
            <w:tcW w:w="2466" w:type="pct"/>
            <w:tcBorders>
              <w:top w:val="single" w:sz="4" w:space="0" w:color="auto"/>
              <w:left w:val="nil"/>
              <w:bottom w:val="single" w:sz="4" w:space="0" w:color="auto"/>
              <w:right w:val="nil"/>
            </w:tcBorders>
            <w:shd w:val="clear" w:color="000000" w:fill="FFFFFF"/>
            <w:noWrap/>
            <w:vAlign w:val="center"/>
            <w:hideMark/>
          </w:tcPr>
          <w:p w14:paraId="1287B431"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Balance at 31 March 2024</w:t>
            </w:r>
          </w:p>
        </w:tc>
        <w:tc>
          <w:tcPr>
            <w:tcW w:w="471" w:type="pct"/>
            <w:tcBorders>
              <w:top w:val="single" w:sz="4" w:space="0" w:color="auto"/>
              <w:left w:val="nil"/>
              <w:bottom w:val="single" w:sz="4" w:space="0" w:color="auto"/>
              <w:right w:val="nil"/>
            </w:tcBorders>
            <w:shd w:val="clear" w:color="000000" w:fill="CCECFF"/>
            <w:vAlign w:val="bottom"/>
            <w:hideMark/>
          </w:tcPr>
          <w:p w14:paraId="7B1865F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20" w:type="pct"/>
            <w:tcBorders>
              <w:top w:val="single" w:sz="4" w:space="0" w:color="auto"/>
              <w:left w:val="nil"/>
              <w:bottom w:val="single" w:sz="4" w:space="0" w:color="auto"/>
              <w:right w:val="nil"/>
            </w:tcBorders>
            <w:shd w:val="clear" w:color="000000" w:fill="CCECFF"/>
            <w:vAlign w:val="bottom"/>
            <w:hideMark/>
          </w:tcPr>
          <w:p w14:paraId="720D588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bottom"/>
            <w:hideMark/>
          </w:tcPr>
          <w:p w14:paraId="05090C5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501" w:type="pct"/>
            <w:tcBorders>
              <w:top w:val="single" w:sz="4" w:space="0" w:color="auto"/>
              <w:left w:val="nil"/>
              <w:bottom w:val="single" w:sz="4" w:space="0" w:color="auto"/>
              <w:right w:val="nil"/>
            </w:tcBorders>
            <w:shd w:val="clear" w:color="000000" w:fill="CCECFF"/>
            <w:vAlign w:val="bottom"/>
            <w:hideMark/>
          </w:tcPr>
          <w:p w14:paraId="472AC6A9"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c>
          <w:tcPr>
            <w:tcW w:w="450" w:type="pct"/>
            <w:tcBorders>
              <w:top w:val="single" w:sz="4" w:space="0" w:color="auto"/>
              <w:left w:val="nil"/>
              <w:bottom w:val="single" w:sz="4" w:space="0" w:color="auto"/>
              <w:right w:val="nil"/>
            </w:tcBorders>
            <w:shd w:val="clear" w:color="000000" w:fill="CCECFF"/>
            <w:vAlign w:val="bottom"/>
            <w:hideMark/>
          </w:tcPr>
          <w:p w14:paraId="4F141A8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r>
    </w:tbl>
    <w:p w14:paraId="4A4766E3" w14:textId="77777777" w:rsidR="00DD39BC" w:rsidRDefault="00DD39BC" w:rsidP="00C60BA1">
      <w:pPr>
        <w:rPr>
          <w:lang w:val="pt-BR"/>
        </w:rPr>
      </w:pPr>
    </w:p>
    <w:tbl>
      <w:tblPr>
        <w:tblW w:w="5000" w:type="pct"/>
        <w:tblLook w:val="04A0" w:firstRow="1" w:lastRow="0" w:firstColumn="1" w:lastColumn="0" w:noHBand="0" w:noVBand="1"/>
      </w:tblPr>
      <w:tblGrid>
        <w:gridCol w:w="4569"/>
        <w:gridCol w:w="1014"/>
        <w:gridCol w:w="1014"/>
        <w:gridCol w:w="1014"/>
        <w:gridCol w:w="1014"/>
        <w:gridCol w:w="1014"/>
      </w:tblGrid>
      <w:tr w:rsidR="00C83152" w:rsidRPr="00844436" w14:paraId="0E057A3A" w14:textId="77777777" w:rsidTr="00AC30FC">
        <w:trPr>
          <w:trHeight w:val="1005"/>
        </w:trPr>
        <w:tc>
          <w:tcPr>
            <w:tcW w:w="2370" w:type="pct"/>
            <w:tcBorders>
              <w:top w:val="nil"/>
              <w:left w:val="nil"/>
              <w:bottom w:val="nil"/>
              <w:right w:val="nil"/>
            </w:tcBorders>
            <w:shd w:val="clear" w:color="000000" w:fill="000099"/>
            <w:vAlign w:val="center"/>
            <w:hideMark/>
          </w:tcPr>
          <w:p w14:paraId="689E2D7D" w14:textId="77777777" w:rsidR="00C83152" w:rsidRPr="00844436" w:rsidRDefault="00C83152" w:rsidP="00C83152">
            <w:pPr>
              <w:spacing w:line="240" w:lineRule="auto"/>
              <w:jc w:val="left"/>
              <w:rPr>
                <w:rFonts w:eastAsia="Times New Roman" w:cs="Calibri"/>
                <w:b/>
                <w:bCs/>
                <w:color w:val="FFFFFF"/>
                <w:sz w:val="16"/>
                <w:szCs w:val="16"/>
                <w:lang w:eastAsia="en-GB"/>
              </w:rPr>
            </w:pPr>
            <w:r w:rsidRPr="00844436">
              <w:rPr>
                <w:rFonts w:eastAsia="Times New Roman" w:cs="Calibri"/>
                <w:b/>
                <w:bCs/>
                <w:color w:val="FFFFFF"/>
                <w:sz w:val="16"/>
                <w:szCs w:val="16"/>
                <w:lang w:eastAsia="en-GB"/>
              </w:rPr>
              <w:t>Chief Constable</w:t>
            </w:r>
          </w:p>
        </w:tc>
        <w:tc>
          <w:tcPr>
            <w:tcW w:w="526" w:type="pct"/>
            <w:tcBorders>
              <w:top w:val="nil"/>
              <w:left w:val="nil"/>
              <w:bottom w:val="nil"/>
              <w:right w:val="nil"/>
            </w:tcBorders>
            <w:shd w:val="clear" w:color="000000" w:fill="000099"/>
            <w:vAlign w:val="center"/>
            <w:hideMark/>
          </w:tcPr>
          <w:p w14:paraId="17440688" w14:textId="343870AB" w:rsidR="00C83152" w:rsidRPr="00844436"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General Fund Balance</w:t>
            </w:r>
          </w:p>
        </w:tc>
        <w:tc>
          <w:tcPr>
            <w:tcW w:w="526" w:type="pct"/>
            <w:tcBorders>
              <w:top w:val="nil"/>
              <w:left w:val="nil"/>
              <w:bottom w:val="nil"/>
              <w:right w:val="nil"/>
            </w:tcBorders>
            <w:shd w:val="clear" w:color="000000" w:fill="000099"/>
            <w:vAlign w:val="center"/>
            <w:hideMark/>
          </w:tcPr>
          <w:p w14:paraId="27BB4C06" w14:textId="666CD334" w:rsidR="00C83152" w:rsidRPr="00844436"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526" w:type="pct"/>
            <w:tcBorders>
              <w:top w:val="nil"/>
              <w:left w:val="nil"/>
              <w:bottom w:val="nil"/>
              <w:right w:val="nil"/>
            </w:tcBorders>
            <w:shd w:val="clear" w:color="000000" w:fill="000099"/>
            <w:vAlign w:val="center"/>
            <w:hideMark/>
          </w:tcPr>
          <w:p w14:paraId="576059FF" w14:textId="37469C69" w:rsidR="00C83152" w:rsidRPr="00844436"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 General Fund Reserves</w:t>
            </w:r>
          </w:p>
        </w:tc>
        <w:tc>
          <w:tcPr>
            <w:tcW w:w="526" w:type="pct"/>
            <w:tcBorders>
              <w:top w:val="nil"/>
              <w:left w:val="nil"/>
              <w:bottom w:val="nil"/>
              <w:right w:val="nil"/>
            </w:tcBorders>
            <w:shd w:val="clear" w:color="000000" w:fill="000099"/>
            <w:vAlign w:val="center"/>
            <w:hideMark/>
          </w:tcPr>
          <w:p w14:paraId="266960FB" w14:textId="1C49C980" w:rsidR="00C83152" w:rsidRPr="00844436"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Unusable Reserves</w:t>
            </w:r>
          </w:p>
        </w:tc>
        <w:tc>
          <w:tcPr>
            <w:tcW w:w="526" w:type="pct"/>
            <w:tcBorders>
              <w:top w:val="nil"/>
              <w:left w:val="nil"/>
              <w:bottom w:val="nil"/>
              <w:right w:val="nil"/>
            </w:tcBorders>
            <w:shd w:val="clear" w:color="000000" w:fill="000099"/>
            <w:vAlign w:val="center"/>
            <w:hideMark/>
          </w:tcPr>
          <w:p w14:paraId="33BA52C1" w14:textId="595E0106" w:rsidR="00C83152" w:rsidRPr="00844436"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w:t>
            </w:r>
            <w:r>
              <w:rPr>
                <w:rFonts w:cs="Calibri"/>
                <w:b/>
                <w:bCs/>
                <w:color w:val="FFFFFF"/>
                <w:sz w:val="16"/>
                <w:szCs w:val="16"/>
              </w:rPr>
              <w:br/>
              <w:t>Reserves</w:t>
            </w:r>
          </w:p>
        </w:tc>
      </w:tr>
      <w:tr w:rsidR="00844436" w:rsidRPr="00844436" w14:paraId="329392F9" w14:textId="77777777" w:rsidTr="00AC30FC">
        <w:trPr>
          <w:trHeight w:val="300"/>
        </w:trPr>
        <w:tc>
          <w:tcPr>
            <w:tcW w:w="2370" w:type="pct"/>
            <w:tcBorders>
              <w:top w:val="nil"/>
              <w:left w:val="nil"/>
              <w:bottom w:val="nil"/>
              <w:right w:val="nil"/>
            </w:tcBorders>
            <w:shd w:val="clear" w:color="000000" w:fill="000099"/>
            <w:vAlign w:val="bottom"/>
            <w:hideMark/>
          </w:tcPr>
          <w:p w14:paraId="032EBAD2" w14:textId="77777777" w:rsidR="00844436" w:rsidRPr="00844436" w:rsidRDefault="00844436" w:rsidP="00844436">
            <w:pPr>
              <w:spacing w:line="240" w:lineRule="auto"/>
              <w:jc w:val="left"/>
              <w:rPr>
                <w:rFonts w:eastAsia="Times New Roman" w:cs="Calibri"/>
                <w:b/>
                <w:bCs/>
                <w:color w:val="FFFFFF"/>
                <w:sz w:val="16"/>
                <w:szCs w:val="16"/>
                <w:lang w:eastAsia="en-GB"/>
              </w:rPr>
            </w:pPr>
            <w:r w:rsidRPr="00844436">
              <w:rPr>
                <w:rFonts w:eastAsia="Times New Roman" w:cs="Calibri"/>
                <w:b/>
                <w:bCs/>
                <w:color w:val="FFFFFF"/>
                <w:sz w:val="16"/>
                <w:szCs w:val="16"/>
                <w:lang w:eastAsia="en-GB"/>
              </w:rPr>
              <w:t> </w:t>
            </w:r>
          </w:p>
        </w:tc>
        <w:tc>
          <w:tcPr>
            <w:tcW w:w="526" w:type="pct"/>
            <w:tcBorders>
              <w:top w:val="nil"/>
              <w:left w:val="nil"/>
              <w:bottom w:val="nil"/>
              <w:right w:val="nil"/>
            </w:tcBorders>
            <w:shd w:val="clear" w:color="000000" w:fill="000099"/>
            <w:vAlign w:val="bottom"/>
            <w:hideMark/>
          </w:tcPr>
          <w:p w14:paraId="32C1C329"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4E68D091"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26161EE6"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39AC1753"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c>
          <w:tcPr>
            <w:tcW w:w="526" w:type="pct"/>
            <w:tcBorders>
              <w:top w:val="nil"/>
              <w:left w:val="nil"/>
              <w:bottom w:val="nil"/>
              <w:right w:val="nil"/>
            </w:tcBorders>
            <w:shd w:val="clear" w:color="000000" w:fill="000099"/>
            <w:vAlign w:val="bottom"/>
            <w:hideMark/>
          </w:tcPr>
          <w:p w14:paraId="1A07A6B8" w14:textId="77777777" w:rsidR="00844436" w:rsidRPr="00844436" w:rsidRDefault="00844436" w:rsidP="00844436">
            <w:pPr>
              <w:spacing w:line="240" w:lineRule="auto"/>
              <w:jc w:val="center"/>
              <w:rPr>
                <w:rFonts w:eastAsia="Times New Roman" w:cs="Calibri"/>
                <w:b/>
                <w:bCs/>
                <w:color w:val="FFFFFF"/>
                <w:sz w:val="16"/>
                <w:szCs w:val="16"/>
                <w:lang w:eastAsia="en-GB"/>
              </w:rPr>
            </w:pPr>
            <w:r w:rsidRPr="00844436">
              <w:rPr>
                <w:rFonts w:eastAsia="Times New Roman" w:cs="Calibri"/>
                <w:b/>
                <w:bCs/>
                <w:color w:val="FFFFFF"/>
                <w:sz w:val="16"/>
                <w:szCs w:val="16"/>
                <w:lang w:eastAsia="en-GB"/>
              </w:rPr>
              <w:t>£000</w:t>
            </w:r>
          </w:p>
        </w:tc>
      </w:tr>
      <w:tr w:rsidR="00844436" w:rsidRPr="00844436" w14:paraId="4D2779F3" w14:textId="77777777" w:rsidTr="00AC30FC">
        <w:trPr>
          <w:trHeight w:val="291"/>
        </w:trPr>
        <w:tc>
          <w:tcPr>
            <w:tcW w:w="2370" w:type="pct"/>
            <w:tcBorders>
              <w:top w:val="nil"/>
              <w:left w:val="nil"/>
              <w:bottom w:val="nil"/>
              <w:right w:val="nil"/>
            </w:tcBorders>
            <w:shd w:val="clear" w:color="000000" w:fill="FFFFFF"/>
            <w:noWrap/>
            <w:vAlign w:val="center"/>
            <w:hideMark/>
          </w:tcPr>
          <w:p w14:paraId="627A21C9"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Balance at 31 March 2022</w:t>
            </w:r>
          </w:p>
        </w:tc>
        <w:tc>
          <w:tcPr>
            <w:tcW w:w="526" w:type="pct"/>
            <w:tcBorders>
              <w:top w:val="nil"/>
              <w:left w:val="nil"/>
              <w:bottom w:val="nil"/>
              <w:right w:val="nil"/>
            </w:tcBorders>
            <w:shd w:val="clear" w:color="000000" w:fill="FFFFFF"/>
            <w:vAlign w:val="bottom"/>
            <w:hideMark/>
          </w:tcPr>
          <w:p w14:paraId="026F193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7B278D8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376E3F01"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1B73DF9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1,503,452</w:t>
            </w:r>
          </w:p>
        </w:tc>
        <w:tc>
          <w:tcPr>
            <w:tcW w:w="526" w:type="pct"/>
            <w:tcBorders>
              <w:top w:val="nil"/>
              <w:left w:val="nil"/>
              <w:bottom w:val="nil"/>
              <w:right w:val="nil"/>
            </w:tcBorders>
            <w:shd w:val="clear" w:color="000000" w:fill="FFFFFF"/>
            <w:vAlign w:val="bottom"/>
            <w:hideMark/>
          </w:tcPr>
          <w:p w14:paraId="475619C5"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1,503,452</w:t>
            </w:r>
          </w:p>
        </w:tc>
      </w:tr>
      <w:tr w:rsidR="009E7D01" w:rsidRPr="00844436" w14:paraId="40AC1B3B" w14:textId="77777777" w:rsidTr="00AC30FC">
        <w:trPr>
          <w:trHeight w:val="291"/>
        </w:trPr>
        <w:tc>
          <w:tcPr>
            <w:tcW w:w="2370" w:type="pct"/>
            <w:tcBorders>
              <w:top w:val="nil"/>
              <w:left w:val="nil"/>
              <w:bottom w:val="nil"/>
              <w:right w:val="nil"/>
            </w:tcBorders>
            <w:shd w:val="clear" w:color="000000" w:fill="FFFFFF"/>
            <w:noWrap/>
            <w:vAlign w:val="center"/>
          </w:tcPr>
          <w:p w14:paraId="048E32F8" w14:textId="77777777" w:rsidR="009E7D01" w:rsidRPr="00844436" w:rsidRDefault="009E7D01" w:rsidP="00844436">
            <w:pPr>
              <w:spacing w:line="240" w:lineRule="auto"/>
              <w:jc w:val="left"/>
              <w:rPr>
                <w:rFonts w:eastAsia="Times New Roman" w:cs="Calibri"/>
                <w:b/>
                <w:bCs/>
                <w:color w:val="000000"/>
                <w:sz w:val="16"/>
                <w:szCs w:val="16"/>
                <w:lang w:eastAsia="en-GB"/>
              </w:rPr>
            </w:pPr>
          </w:p>
        </w:tc>
        <w:tc>
          <w:tcPr>
            <w:tcW w:w="526" w:type="pct"/>
            <w:tcBorders>
              <w:top w:val="nil"/>
              <w:left w:val="nil"/>
              <w:bottom w:val="nil"/>
              <w:right w:val="nil"/>
            </w:tcBorders>
            <w:shd w:val="clear" w:color="000000" w:fill="FFFFFF"/>
            <w:vAlign w:val="bottom"/>
          </w:tcPr>
          <w:p w14:paraId="5E45FB81"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3DCE7288"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340CB01C"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65CD00CE"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nil"/>
              <w:left w:val="nil"/>
              <w:bottom w:val="nil"/>
              <w:right w:val="nil"/>
            </w:tcBorders>
            <w:shd w:val="clear" w:color="000000" w:fill="FFFFFF"/>
            <w:vAlign w:val="bottom"/>
          </w:tcPr>
          <w:p w14:paraId="04A4C87D" w14:textId="77777777" w:rsidR="009E7D01" w:rsidRPr="00844436" w:rsidRDefault="009E7D01" w:rsidP="00844436">
            <w:pPr>
              <w:spacing w:line="240" w:lineRule="auto"/>
              <w:jc w:val="right"/>
              <w:rPr>
                <w:rFonts w:eastAsia="Times New Roman" w:cs="Calibri"/>
                <w:color w:val="auto"/>
                <w:sz w:val="16"/>
                <w:szCs w:val="16"/>
                <w:lang w:eastAsia="en-GB"/>
              </w:rPr>
            </w:pPr>
          </w:p>
        </w:tc>
      </w:tr>
      <w:tr w:rsidR="00844436" w:rsidRPr="00844436" w14:paraId="53571158" w14:textId="77777777" w:rsidTr="00AC30FC">
        <w:trPr>
          <w:trHeight w:val="300"/>
        </w:trPr>
        <w:tc>
          <w:tcPr>
            <w:tcW w:w="2370" w:type="pct"/>
            <w:tcBorders>
              <w:top w:val="nil"/>
              <w:left w:val="nil"/>
              <w:bottom w:val="nil"/>
              <w:right w:val="nil"/>
            </w:tcBorders>
            <w:shd w:val="clear" w:color="000000" w:fill="FFFFFF"/>
            <w:noWrap/>
            <w:vAlign w:val="center"/>
            <w:hideMark/>
          </w:tcPr>
          <w:p w14:paraId="28140A2F"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Movement in reserves during 2022/23</w:t>
            </w:r>
          </w:p>
        </w:tc>
        <w:tc>
          <w:tcPr>
            <w:tcW w:w="526" w:type="pct"/>
            <w:tcBorders>
              <w:top w:val="nil"/>
              <w:left w:val="nil"/>
              <w:bottom w:val="nil"/>
              <w:right w:val="nil"/>
            </w:tcBorders>
            <w:shd w:val="clear" w:color="000000" w:fill="FFFFFF"/>
            <w:vAlign w:val="bottom"/>
            <w:hideMark/>
          </w:tcPr>
          <w:p w14:paraId="23D77588"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1BC4AEB0"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636E45F7"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187EFF22"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5B0E6C21"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r>
      <w:tr w:rsidR="00844436" w:rsidRPr="00844436" w14:paraId="02D1DAF7" w14:textId="77777777" w:rsidTr="00AC30FC">
        <w:trPr>
          <w:trHeight w:val="300"/>
        </w:trPr>
        <w:tc>
          <w:tcPr>
            <w:tcW w:w="2370" w:type="pct"/>
            <w:tcBorders>
              <w:top w:val="nil"/>
              <w:left w:val="nil"/>
              <w:bottom w:val="nil"/>
              <w:right w:val="nil"/>
            </w:tcBorders>
            <w:shd w:val="clear" w:color="000000" w:fill="FFFFFF"/>
            <w:noWrap/>
            <w:vAlign w:val="center"/>
            <w:hideMark/>
          </w:tcPr>
          <w:p w14:paraId="4E413143" w14:textId="38D7BB60"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 xml:space="preserve">Surplus or </w:t>
            </w:r>
            <w:r w:rsidR="00A965CE">
              <w:rPr>
                <w:rFonts w:eastAsia="Times New Roman" w:cs="Calibri"/>
                <w:color w:val="000000"/>
                <w:sz w:val="16"/>
                <w:szCs w:val="16"/>
                <w:lang w:eastAsia="en-GB"/>
              </w:rPr>
              <w:t>(</w:t>
            </w:r>
            <w:r w:rsidRPr="00844436">
              <w:rPr>
                <w:rFonts w:eastAsia="Times New Roman" w:cs="Calibri"/>
                <w:color w:val="000000"/>
                <w:sz w:val="16"/>
                <w:szCs w:val="16"/>
                <w:lang w:eastAsia="en-GB"/>
              </w:rPr>
              <w:t>deficit</w:t>
            </w:r>
            <w:r w:rsidR="00A965CE">
              <w:rPr>
                <w:rFonts w:eastAsia="Times New Roman" w:cs="Calibri"/>
                <w:color w:val="000000"/>
                <w:sz w:val="16"/>
                <w:szCs w:val="16"/>
                <w:lang w:eastAsia="en-GB"/>
              </w:rPr>
              <w:t>)</w:t>
            </w:r>
            <w:r w:rsidRPr="00844436">
              <w:rPr>
                <w:rFonts w:eastAsia="Times New Roman" w:cs="Calibri"/>
                <w:color w:val="000000"/>
                <w:sz w:val="16"/>
                <w:szCs w:val="16"/>
                <w:lang w:eastAsia="en-GB"/>
              </w:rPr>
              <w:t xml:space="preserve"> on the provision of services</w:t>
            </w:r>
          </w:p>
        </w:tc>
        <w:tc>
          <w:tcPr>
            <w:tcW w:w="526" w:type="pct"/>
            <w:tcBorders>
              <w:top w:val="nil"/>
              <w:left w:val="nil"/>
              <w:bottom w:val="nil"/>
              <w:right w:val="nil"/>
            </w:tcBorders>
            <w:shd w:val="clear" w:color="000000" w:fill="FFFFFF"/>
            <w:vAlign w:val="bottom"/>
            <w:hideMark/>
          </w:tcPr>
          <w:p w14:paraId="360BBE71"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7B95CC7D"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3CD2D6A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7F811589"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16241F4F"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r>
      <w:tr w:rsidR="00844436" w:rsidRPr="00844436" w14:paraId="051D753C" w14:textId="77777777" w:rsidTr="00AC30FC">
        <w:trPr>
          <w:trHeight w:val="300"/>
        </w:trPr>
        <w:tc>
          <w:tcPr>
            <w:tcW w:w="2370" w:type="pct"/>
            <w:tcBorders>
              <w:top w:val="nil"/>
              <w:left w:val="nil"/>
              <w:bottom w:val="nil"/>
              <w:right w:val="nil"/>
            </w:tcBorders>
            <w:shd w:val="clear" w:color="000000" w:fill="FFFFFF"/>
            <w:noWrap/>
            <w:vAlign w:val="center"/>
            <w:hideMark/>
          </w:tcPr>
          <w:p w14:paraId="47C9F139"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Other Comprehensive Income / Expenditure</w:t>
            </w:r>
          </w:p>
        </w:tc>
        <w:tc>
          <w:tcPr>
            <w:tcW w:w="526" w:type="pct"/>
            <w:tcBorders>
              <w:top w:val="nil"/>
              <w:left w:val="nil"/>
              <w:bottom w:val="nil"/>
              <w:right w:val="nil"/>
            </w:tcBorders>
            <w:shd w:val="clear" w:color="000000" w:fill="FFFFFF"/>
            <w:vAlign w:val="bottom"/>
            <w:hideMark/>
          </w:tcPr>
          <w:p w14:paraId="2937FA18"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638221CA"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12572FA2"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nil"/>
              <w:left w:val="nil"/>
              <w:bottom w:val="nil"/>
              <w:right w:val="nil"/>
            </w:tcBorders>
            <w:shd w:val="clear" w:color="000000" w:fill="FFFFFF"/>
            <w:vAlign w:val="bottom"/>
            <w:hideMark/>
          </w:tcPr>
          <w:p w14:paraId="35CB06E2"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000000"/>
                <w:sz w:val="16"/>
                <w:szCs w:val="16"/>
                <w:lang w:eastAsia="en-GB"/>
              </w:rPr>
              <w:t>(536,713)</w:t>
            </w:r>
          </w:p>
        </w:tc>
        <w:tc>
          <w:tcPr>
            <w:tcW w:w="526" w:type="pct"/>
            <w:tcBorders>
              <w:top w:val="nil"/>
              <w:left w:val="nil"/>
              <w:bottom w:val="nil"/>
              <w:right w:val="nil"/>
            </w:tcBorders>
            <w:shd w:val="clear" w:color="000000" w:fill="FFFFFF"/>
            <w:vAlign w:val="bottom"/>
            <w:hideMark/>
          </w:tcPr>
          <w:p w14:paraId="48D3EC4F"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(536,713)</w:t>
            </w:r>
          </w:p>
        </w:tc>
      </w:tr>
      <w:tr w:rsidR="00844436" w:rsidRPr="00844436" w14:paraId="3BF8C58C" w14:textId="77777777" w:rsidTr="00AC30FC">
        <w:trPr>
          <w:trHeight w:val="300"/>
        </w:trPr>
        <w:tc>
          <w:tcPr>
            <w:tcW w:w="2370" w:type="pct"/>
            <w:tcBorders>
              <w:top w:val="single" w:sz="4" w:space="0" w:color="auto"/>
              <w:left w:val="nil"/>
              <w:bottom w:val="nil"/>
              <w:right w:val="nil"/>
            </w:tcBorders>
            <w:shd w:val="clear" w:color="000000" w:fill="FFFFFF"/>
            <w:noWrap/>
            <w:vAlign w:val="center"/>
            <w:hideMark/>
          </w:tcPr>
          <w:p w14:paraId="56272CCD"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Total Comprehensive Income and Expenditure</w:t>
            </w:r>
          </w:p>
        </w:tc>
        <w:tc>
          <w:tcPr>
            <w:tcW w:w="526" w:type="pct"/>
            <w:tcBorders>
              <w:top w:val="single" w:sz="4" w:space="0" w:color="auto"/>
              <w:left w:val="nil"/>
              <w:bottom w:val="nil"/>
              <w:right w:val="nil"/>
            </w:tcBorders>
            <w:shd w:val="clear" w:color="000000" w:fill="FFFFFF"/>
            <w:vAlign w:val="bottom"/>
            <w:hideMark/>
          </w:tcPr>
          <w:p w14:paraId="37EEA28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single" w:sz="4" w:space="0" w:color="auto"/>
              <w:left w:val="nil"/>
              <w:bottom w:val="nil"/>
              <w:right w:val="nil"/>
            </w:tcBorders>
            <w:shd w:val="clear" w:color="000000" w:fill="FFFFFF"/>
            <w:vAlign w:val="bottom"/>
            <w:hideMark/>
          </w:tcPr>
          <w:p w14:paraId="58DE81D1"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6B27082A"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53,045</w:t>
            </w:r>
          </w:p>
        </w:tc>
        <w:tc>
          <w:tcPr>
            <w:tcW w:w="526" w:type="pct"/>
            <w:tcBorders>
              <w:top w:val="single" w:sz="4" w:space="0" w:color="auto"/>
              <w:left w:val="nil"/>
              <w:bottom w:val="nil"/>
              <w:right w:val="nil"/>
            </w:tcBorders>
            <w:shd w:val="clear" w:color="000000" w:fill="FFFFFF"/>
            <w:vAlign w:val="bottom"/>
            <w:hideMark/>
          </w:tcPr>
          <w:p w14:paraId="537119E9"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(536,713)</w:t>
            </w:r>
          </w:p>
        </w:tc>
        <w:tc>
          <w:tcPr>
            <w:tcW w:w="526" w:type="pct"/>
            <w:tcBorders>
              <w:top w:val="single" w:sz="4" w:space="0" w:color="auto"/>
              <w:left w:val="nil"/>
              <w:bottom w:val="nil"/>
              <w:right w:val="nil"/>
            </w:tcBorders>
            <w:shd w:val="clear" w:color="000000" w:fill="FFFFFF"/>
            <w:vAlign w:val="bottom"/>
            <w:hideMark/>
          </w:tcPr>
          <w:p w14:paraId="34FBD3CA"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9E7D01" w:rsidRPr="00844436" w14:paraId="61CBDBFE" w14:textId="77777777" w:rsidTr="00AC30FC">
        <w:trPr>
          <w:trHeight w:val="300"/>
        </w:trPr>
        <w:tc>
          <w:tcPr>
            <w:tcW w:w="2370" w:type="pct"/>
            <w:tcBorders>
              <w:top w:val="single" w:sz="4" w:space="0" w:color="auto"/>
              <w:left w:val="nil"/>
              <w:bottom w:val="nil"/>
              <w:right w:val="nil"/>
            </w:tcBorders>
            <w:shd w:val="clear" w:color="000000" w:fill="FFFFFF"/>
            <w:noWrap/>
            <w:vAlign w:val="center"/>
          </w:tcPr>
          <w:p w14:paraId="24F8041B" w14:textId="77777777" w:rsidR="009E7D01" w:rsidRPr="00844436" w:rsidRDefault="009E7D01" w:rsidP="00844436">
            <w:pPr>
              <w:spacing w:line="240" w:lineRule="auto"/>
              <w:jc w:val="left"/>
              <w:rPr>
                <w:rFonts w:eastAsia="Times New Roman" w:cs="Calibri"/>
                <w:b/>
                <w:bCs/>
                <w:color w:val="000000"/>
                <w:sz w:val="16"/>
                <w:szCs w:val="16"/>
                <w:lang w:eastAsia="en-GB"/>
              </w:rPr>
            </w:pPr>
          </w:p>
        </w:tc>
        <w:tc>
          <w:tcPr>
            <w:tcW w:w="526" w:type="pct"/>
            <w:tcBorders>
              <w:top w:val="single" w:sz="4" w:space="0" w:color="auto"/>
              <w:left w:val="nil"/>
              <w:bottom w:val="nil"/>
              <w:right w:val="nil"/>
            </w:tcBorders>
            <w:shd w:val="clear" w:color="000000" w:fill="FFFFFF"/>
            <w:vAlign w:val="bottom"/>
          </w:tcPr>
          <w:p w14:paraId="59C2530D"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0EF9125C"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044217D6" w14:textId="77777777" w:rsidR="009E7D01" w:rsidRPr="00844436" w:rsidRDefault="009E7D01" w:rsidP="00844436">
            <w:pPr>
              <w:spacing w:line="240" w:lineRule="auto"/>
              <w:jc w:val="right"/>
              <w:rPr>
                <w:rFonts w:eastAsia="Times New Roman" w:cs="Calibri"/>
                <w:b/>
                <w:bCs/>
                <w:color w:val="auto"/>
                <w:sz w:val="16"/>
                <w:szCs w:val="16"/>
                <w:lang w:eastAsia="en-GB"/>
              </w:rPr>
            </w:pPr>
          </w:p>
        </w:tc>
        <w:tc>
          <w:tcPr>
            <w:tcW w:w="526" w:type="pct"/>
            <w:tcBorders>
              <w:top w:val="single" w:sz="4" w:space="0" w:color="auto"/>
              <w:left w:val="nil"/>
              <w:bottom w:val="nil"/>
              <w:right w:val="nil"/>
            </w:tcBorders>
            <w:shd w:val="clear" w:color="000000" w:fill="FFFFFF"/>
            <w:vAlign w:val="bottom"/>
          </w:tcPr>
          <w:p w14:paraId="769919FF" w14:textId="77777777" w:rsidR="009E7D01" w:rsidRPr="00844436" w:rsidRDefault="009E7D01" w:rsidP="00844436">
            <w:pPr>
              <w:spacing w:line="240" w:lineRule="auto"/>
              <w:jc w:val="right"/>
              <w:rPr>
                <w:rFonts w:eastAsia="Times New Roman" w:cs="Calibri"/>
                <w:b/>
                <w:bCs/>
                <w:color w:val="000000"/>
                <w:sz w:val="16"/>
                <w:szCs w:val="16"/>
                <w:lang w:eastAsia="en-GB"/>
              </w:rPr>
            </w:pPr>
          </w:p>
        </w:tc>
        <w:tc>
          <w:tcPr>
            <w:tcW w:w="526" w:type="pct"/>
            <w:tcBorders>
              <w:top w:val="single" w:sz="4" w:space="0" w:color="auto"/>
              <w:left w:val="nil"/>
              <w:bottom w:val="nil"/>
              <w:right w:val="nil"/>
            </w:tcBorders>
            <w:shd w:val="clear" w:color="000000" w:fill="FFFFFF"/>
            <w:vAlign w:val="bottom"/>
          </w:tcPr>
          <w:p w14:paraId="6A8740BF" w14:textId="77777777" w:rsidR="009E7D01" w:rsidRPr="00844436" w:rsidRDefault="009E7D01" w:rsidP="00844436">
            <w:pPr>
              <w:spacing w:line="240" w:lineRule="auto"/>
              <w:jc w:val="right"/>
              <w:rPr>
                <w:rFonts w:eastAsia="Times New Roman" w:cs="Calibri"/>
                <w:b/>
                <w:bCs/>
                <w:color w:val="000000"/>
                <w:sz w:val="16"/>
                <w:szCs w:val="16"/>
                <w:lang w:eastAsia="en-GB"/>
              </w:rPr>
            </w:pPr>
          </w:p>
        </w:tc>
      </w:tr>
      <w:tr w:rsidR="00844436" w:rsidRPr="00844436" w14:paraId="697A7585" w14:textId="77777777" w:rsidTr="00AC30FC">
        <w:trPr>
          <w:trHeight w:val="450"/>
        </w:trPr>
        <w:tc>
          <w:tcPr>
            <w:tcW w:w="2370" w:type="pct"/>
            <w:tcBorders>
              <w:top w:val="nil"/>
              <w:left w:val="nil"/>
              <w:bottom w:val="nil"/>
              <w:right w:val="nil"/>
            </w:tcBorders>
            <w:shd w:val="clear" w:color="000000" w:fill="FFFFFF"/>
            <w:vAlign w:val="center"/>
            <w:hideMark/>
          </w:tcPr>
          <w:p w14:paraId="024C7218"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Adjustments between accounting basis and funding basis under regulations (Note 6)</w:t>
            </w:r>
          </w:p>
        </w:tc>
        <w:tc>
          <w:tcPr>
            <w:tcW w:w="526" w:type="pct"/>
            <w:tcBorders>
              <w:top w:val="nil"/>
              <w:left w:val="nil"/>
              <w:bottom w:val="nil"/>
              <w:right w:val="nil"/>
            </w:tcBorders>
            <w:shd w:val="clear" w:color="000000" w:fill="FFFFFF"/>
            <w:vAlign w:val="bottom"/>
            <w:hideMark/>
          </w:tcPr>
          <w:p w14:paraId="49C1C63B"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000000"/>
                <w:sz w:val="16"/>
                <w:szCs w:val="16"/>
                <w:lang w:eastAsia="en-GB"/>
              </w:rPr>
              <w:t>(53,045)</w:t>
            </w:r>
          </w:p>
        </w:tc>
        <w:tc>
          <w:tcPr>
            <w:tcW w:w="526" w:type="pct"/>
            <w:tcBorders>
              <w:top w:val="nil"/>
              <w:left w:val="nil"/>
              <w:bottom w:val="nil"/>
              <w:right w:val="nil"/>
            </w:tcBorders>
            <w:shd w:val="clear" w:color="000000" w:fill="FFFFFF"/>
            <w:vAlign w:val="bottom"/>
            <w:hideMark/>
          </w:tcPr>
          <w:p w14:paraId="29DE922A"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w:t>
            </w:r>
          </w:p>
        </w:tc>
        <w:tc>
          <w:tcPr>
            <w:tcW w:w="526" w:type="pct"/>
            <w:tcBorders>
              <w:top w:val="nil"/>
              <w:left w:val="nil"/>
              <w:bottom w:val="nil"/>
              <w:right w:val="nil"/>
            </w:tcBorders>
            <w:shd w:val="clear" w:color="000000" w:fill="FFFFFF"/>
            <w:vAlign w:val="bottom"/>
            <w:hideMark/>
          </w:tcPr>
          <w:p w14:paraId="5A9A1FBC"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(53,045)</w:t>
            </w:r>
          </w:p>
        </w:tc>
        <w:tc>
          <w:tcPr>
            <w:tcW w:w="526" w:type="pct"/>
            <w:tcBorders>
              <w:top w:val="nil"/>
              <w:left w:val="nil"/>
              <w:bottom w:val="nil"/>
              <w:right w:val="nil"/>
            </w:tcBorders>
            <w:shd w:val="clear" w:color="000000" w:fill="FFFFFF"/>
            <w:vAlign w:val="bottom"/>
            <w:hideMark/>
          </w:tcPr>
          <w:p w14:paraId="65C05E44" w14:textId="77777777" w:rsidR="00844436" w:rsidRPr="00844436" w:rsidRDefault="00844436" w:rsidP="00844436">
            <w:pPr>
              <w:spacing w:line="240" w:lineRule="auto"/>
              <w:jc w:val="right"/>
              <w:rPr>
                <w:rFonts w:eastAsia="Times New Roman" w:cs="Calibri"/>
                <w:color w:val="auto"/>
                <w:sz w:val="16"/>
                <w:szCs w:val="16"/>
                <w:lang w:eastAsia="en-GB"/>
              </w:rPr>
            </w:pPr>
            <w:r w:rsidRPr="00844436">
              <w:rPr>
                <w:rFonts w:eastAsia="Times New Roman" w:cs="Calibri"/>
                <w:color w:val="auto"/>
                <w:sz w:val="16"/>
                <w:szCs w:val="16"/>
                <w:lang w:eastAsia="en-GB"/>
              </w:rPr>
              <w:t>53,045</w:t>
            </w:r>
          </w:p>
        </w:tc>
        <w:tc>
          <w:tcPr>
            <w:tcW w:w="526" w:type="pct"/>
            <w:tcBorders>
              <w:top w:val="nil"/>
              <w:left w:val="nil"/>
              <w:bottom w:val="nil"/>
              <w:right w:val="nil"/>
            </w:tcBorders>
            <w:shd w:val="clear" w:color="000000" w:fill="FFFFFF"/>
            <w:vAlign w:val="bottom"/>
            <w:hideMark/>
          </w:tcPr>
          <w:p w14:paraId="1FED30EB"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r>
      <w:tr w:rsidR="00844436" w:rsidRPr="00844436" w14:paraId="524F10D5" w14:textId="77777777" w:rsidTr="00AC30FC">
        <w:trPr>
          <w:trHeight w:val="300"/>
        </w:trPr>
        <w:tc>
          <w:tcPr>
            <w:tcW w:w="2370" w:type="pct"/>
            <w:tcBorders>
              <w:top w:val="single" w:sz="4" w:space="0" w:color="auto"/>
              <w:left w:val="nil"/>
              <w:bottom w:val="nil"/>
              <w:right w:val="nil"/>
            </w:tcBorders>
            <w:shd w:val="clear" w:color="000000" w:fill="FFFFFF"/>
            <w:noWrap/>
            <w:vAlign w:val="center"/>
            <w:hideMark/>
          </w:tcPr>
          <w:p w14:paraId="19FB5A77"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Net Increase or Decrease before Transfers to Earmarked Reserves</w:t>
            </w:r>
          </w:p>
        </w:tc>
        <w:tc>
          <w:tcPr>
            <w:tcW w:w="526" w:type="pct"/>
            <w:tcBorders>
              <w:top w:val="single" w:sz="4" w:space="0" w:color="auto"/>
              <w:left w:val="nil"/>
              <w:bottom w:val="nil"/>
              <w:right w:val="nil"/>
            </w:tcBorders>
            <w:shd w:val="clear" w:color="000000" w:fill="FFFFFF"/>
            <w:vAlign w:val="bottom"/>
            <w:hideMark/>
          </w:tcPr>
          <w:p w14:paraId="5ACA575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1F85120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4F11483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nil"/>
              <w:right w:val="nil"/>
            </w:tcBorders>
            <w:shd w:val="clear" w:color="000000" w:fill="FFFFFF"/>
            <w:vAlign w:val="bottom"/>
            <w:hideMark/>
          </w:tcPr>
          <w:p w14:paraId="650C769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c>
          <w:tcPr>
            <w:tcW w:w="526" w:type="pct"/>
            <w:tcBorders>
              <w:top w:val="single" w:sz="4" w:space="0" w:color="auto"/>
              <w:left w:val="nil"/>
              <w:bottom w:val="nil"/>
              <w:right w:val="nil"/>
            </w:tcBorders>
            <w:shd w:val="clear" w:color="000000" w:fill="FFFFFF"/>
            <w:vAlign w:val="bottom"/>
            <w:hideMark/>
          </w:tcPr>
          <w:p w14:paraId="2A2E6E6D"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844436" w:rsidRPr="004E15D4" w14:paraId="0D27ED9D" w14:textId="77777777" w:rsidTr="00AC30FC">
        <w:trPr>
          <w:trHeight w:val="255"/>
        </w:trPr>
        <w:tc>
          <w:tcPr>
            <w:tcW w:w="2370" w:type="pct"/>
            <w:tcBorders>
              <w:top w:val="nil"/>
              <w:left w:val="nil"/>
              <w:bottom w:val="nil"/>
              <w:right w:val="nil"/>
            </w:tcBorders>
            <w:shd w:val="clear" w:color="000000" w:fill="FFFFFF"/>
            <w:noWrap/>
            <w:vAlign w:val="center"/>
            <w:hideMark/>
          </w:tcPr>
          <w:p w14:paraId="3E458EED" w14:textId="77777777" w:rsidR="00844436" w:rsidRPr="004E15D4" w:rsidRDefault="00844436" w:rsidP="00844436">
            <w:pPr>
              <w:spacing w:line="240" w:lineRule="auto"/>
              <w:jc w:val="left"/>
              <w:rPr>
                <w:rFonts w:eastAsia="Times New Roman" w:cs="Calibri"/>
                <w:b/>
                <w:bCs/>
                <w:color w:val="000000"/>
                <w:sz w:val="4"/>
                <w:szCs w:val="4"/>
                <w:lang w:eastAsia="en-GB"/>
              </w:rPr>
            </w:pPr>
            <w:r w:rsidRPr="004E15D4">
              <w:rPr>
                <w:rFonts w:eastAsia="Times New Roman" w:cs="Calibri"/>
                <w:b/>
                <w:bCs/>
                <w:color w:val="000000"/>
                <w:sz w:val="4"/>
                <w:szCs w:val="4"/>
                <w:lang w:eastAsia="en-GB"/>
              </w:rPr>
              <w:t> </w:t>
            </w:r>
          </w:p>
        </w:tc>
        <w:tc>
          <w:tcPr>
            <w:tcW w:w="526" w:type="pct"/>
            <w:tcBorders>
              <w:top w:val="nil"/>
              <w:left w:val="nil"/>
              <w:bottom w:val="nil"/>
              <w:right w:val="nil"/>
            </w:tcBorders>
            <w:shd w:val="clear" w:color="000000" w:fill="FFFFFF"/>
            <w:vAlign w:val="bottom"/>
            <w:hideMark/>
          </w:tcPr>
          <w:p w14:paraId="0D88E1E2"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574E4F07"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723A94A9"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4C65FE6C"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c>
          <w:tcPr>
            <w:tcW w:w="526" w:type="pct"/>
            <w:tcBorders>
              <w:top w:val="nil"/>
              <w:left w:val="nil"/>
              <w:bottom w:val="nil"/>
              <w:right w:val="nil"/>
            </w:tcBorders>
            <w:shd w:val="clear" w:color="000000" w:fill="FFFFFF"/>
            <w:vAlign w:val="bottom"/>
            <w:hideMark/>
          </w:tcPr>
          <w:p w14:paraId="7FDE45C7" w14:textId="77777777" w:rsidR="00844436" w:rsidRPr="004E15D4" w:rsidRDefault="00844436" w:rsidP="00844436">
            <w:pPr>
              <w:spacing w:line="240" w:lineRule="auto"/>
              <w:jc w:val="left"/>
              <w:rPr>
                <w:rFonts w:eastAsia="Times New Roman" w:cs="Calibri"/>
                <w:b/>
                <w:bCs/>
                <w:color w:val="auto"/>
                <w:sz w:val="4"/>
                <w:szCs w:val="4"/>
                <w:lang w:eastAsia="en-GB"/>
              </w:rPr>
            </w:pPr>
            <w:r w:rsidRPr="004E15D4">
              <w:rPr>
                <w:rFonts w:eastAsia="Times New Roman" w:cs="Calibri"/>
                <w:b/>
                <w:bCs/>
                <w:color w:val="auto"/>
                <w:sz w:val="4"/>
                <w:szCs w:val="4"/>
                <w:lang w:eastAsia="en-GB"/>
              </w:rPr>
              <w:t> </w:t>
            </w:r>
          </w:p>
        </w:tc>
      </w:tr>
      <w:tr w:rsidR="00844436" w:rsidRPr="00844436" w14:paraId="62A40907" w14:textId="77777777" w:rsidTr="00AC30FC">
        <w:trPr>
          <w:trHeight w:val="300"/>
        </w:trPr>
        <w:tc>
          <w:tcPr>
            <w:tcW w:w="2370" w:type="pct"/>
            <w:tcBorders>
              <w:top w:val="nil"/>
              <w:left w:val="nil"/>
              <w:bottom w:val="nil"/>
              <w:right w:val="nil"/>
            </w:tcBorders>
            <w:shd w:val="clear" w:color="000000" w:fill="FFFFFF"/>
            <w:noWrap/>
            <w:vAlign w:val="center"/>
            <w:hideMark/>
          </w:tcPr>
          <w:p w14:paraId="4FD35F80" w14:textId="77777777" w:rsidR="00844436" w:rsidRPr="00844436" w:rsidRDefault="00844436" w:rsidP="00844436">
            <w:pPr>
              <w:spacing w:line="240" w:lineRule="auto"/>
              <w:jc w:val="left"/>
              <w:rPr>
                <w:rFonts w:eastAsia="Times New Roman" w:cs="Calibri"/>
                <w:color w:val="000000"/>
                <w:sz w:val="16"/>
                <w:szCs w:val="16"/>
                <w:lang w:eastAsia="en-GB"/>
              </w:rPr>
            </w:pPr>
            <w:r w:rsidRPr="00844436">
              <w:rPr>
                <w:rFonts w:eastAsia="Times New Roman" w:cs="Calibri"/>
                <w:color w:val="000000"/>
                <w:sz w:val="16"/>
                <w:szCs w:val="16"/>
                <w:lang w:eastAsia="en-GB"/>
              </w:rPr>
              <w:t>Transfers to / from Earmarked Reserves</w:t>
            </w:r>
          </w:p>
        </w:tc>
        <w:tc>
          <w:tcPr>
            <w:tcW w:w="526" w:type="pct"/>
            <w:tcBorders>
              <w:top w:val="nil"/>
              <w:left w:val="nil"/>
              <w:bottom w:val="nil"/>
              <w:right w:val="nil"/>
            </w:tcBorders>
            <w:shd w:val="clear" w:color="000000" w:fill="FFFFFF"/>
            <w:vAlign w:val="bottom"/>
            <w:hideMark/>
          </w:tcPr>
          <w:p w14:paraId="7B038591"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5128043C"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073755AE"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70DEAC8E"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98EB434" w14:textId="77777777" w:rsidR="00844436" w:rsidRPr="00844436" w:rsidRDefault="00844436" w:rsidP="00844436">
            <w:pPr>
              <w:spacing w:line="240" w:lineRule="auto"/>
              <w:jc w:val="left"/>
              <w:rPr>
                <w:rFonts w:eastAsia="Times New Roman" w:cs="Calibri"/>
                <w:color w:val="auto"/>
                <w:sz w:val="16"/>
                <w:szCs w:val="16"/>
                <w:lang w:eastAsia="en-GB"/>
              </w:rPr>
            </w:pPr>
            <w:r w:rsidRPr="00844436">
              <w:rPr>
                <w:rFonts w:eastAsia="Times New Roman" w:cs="Calibri"/>
                <w:color w:val="auto"/>
                <w:sz w:val="16"/>
                <w:szCs w:val="16"/>
                <w:lang w:eastAsia="en-GB"/>
              </w:rPr>
              <w:t> </w:t>
            </w:r>
          </w:p>
        </w:tc>
      </w:tr>
      <w:tr w:rsidR="00844436" w:rsidRPr="00844436" w14:paraId="7B1BB753" w14:textId="77777777" w:rsidTr="00AC30FC">
        <w:trPr>
          <w:trHeight w:val="300"/>
        </w:trPr>
        <w:tc>
          <w:tcPr>
            <w:tcW w:w="2370" w:type="pct"/>
            <w:tcBorders>
              <w:top w:val="single" w:sz="4" w:space="0" w:color="auto"/>
              <w:left w:val="nil"/>
              <w:bottom w:val="single" w:sz="4" w:space="0" w:color="auto"/>
              <w:right w:val="nil"/>
            </w:tcBorders>
            <w:shd w:val="clear" w:color="000000" w:fill="FFFFFF"/>
            <w:noWrap/>
            <w:vAlign w:val="center"/>
            <w:hideMark/>
          </w:tcPr>
          <w:p w14:paraId="49FB3F16" w14:textId="6B85208B"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 xml:space="preserve">Increase or </w:t>
            </w:r>
            <w:r w:rsidR="00AD09F4" w:rsidRPr="00844436">
              <w:rPr>
                <w:rFonts w:eastAsia="Times New Roman" w:cs="Calibri"/>
                <w:b/>
                <w:bCs/>
                <w:color w:val="000000"/>
                <w:sz w:val="16"/>
                <w:szCs w:val="16"/>
                <w:lang w:eastAsia="en-GB"/>
              </w:rPr>
              <w:t>decrease</w:t>
            </w:r>
            <w:r w:rsidRPr="00844436">
              <w:rPr>
                <w:rFonts w:eastAsia="Times New Roman" w:cs="Calibri"/>
                <w:b/>
                <w:bCs/>
                <w:color w:val="000000"/>
                <w:sz w:val="16"/>
                <w:szCs w:val="16"/>
                <w:lang w:eastAsia="en-GB"/>
              </w:rPr>
              <w:t xml:space="preserve"> in 2022/23</w:t>
            </w:r>
          </w:p>
        </w:tc>
        <w:tc>
          <w:tcPr>
            <w:tcW w:w="526" w:type="pct"/>
            <w:tcBorders>
              <w:top w:val="single" w:sz="4" w:space="0" w:color="auto"/>
              <w:left w:val="nil"/>
              <w:bottom w:val="single" w:sz="4" w:space="0" w:color="auto"/>
              <w:right w:val="nil"/>
            </w:tcBorders>
            <w:shd w:val="clear" w:color="000000" w:fill="FFFFFF"/>
            <w:vAlign w:val="bottom"/>
            <w:hideMark/>
          </w:tcPr>
          <w:p w14:paraId="46B01E43"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6D85C010"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3F2609D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315469D4"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c>
          <w:tcPr>
            <w:tcW w:w="526" w:type="pct"/>
            <w:tcBorders>
              <w:top w:val="single" w:sz="4" w:space="0" w:color="auto"/>
              <w:left w:val="nil"/>
              <w:bottom w:val="single" w:sz="4" w:space="0" w:color="auto"/>
              <w:right w:val="nil"/>
            </w:tcBorders>
            <w:shd w:val="clear" w:color="000000" w:fill="FFFFFF"/>
            <w:vAlign w:val="bottom"/>
            <w:hideMark/>
          </w:tcPr>
          <w:p w14:paraId="0E6CB300"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000000"/>
                <w:sz w:val="16"/>
                <w:szCs w:val="16"/>
                <w:lang w:eastAsia="en-GB"/>
              </w:rPr>
              <w:t>(483,668)</w:t>
            </w:r>
          </w:p>
        </w:tc>
      </w:tr>
      <w:tr w:rsidR="00844436" w:rsidRPr="00844436" w14:paraId="7ED09802" w14:textId="77777777" w:rsidTr="00AC30FC">
        <w:trPr>
          <w:trHeight w:val="255"/>
        </w:trPr>
        <w:tc>
          <w:tcPr>
            <w:tcW w:w="2370" w:type="pct"/>
            <w:tcBorders>
              <w:top w:val="nil"/>
              <w:left w:val="nil"/>
              <w:bottom w:val="nil"/>
              <w:right w:val="nil"/>
            </w:tcBorders>
            <w:shd w:val="clear" w:color="000000" w:fill="FFFFFF"/>
            <w:noWrap/>
            <w:vAlign w:val="center"/>
            <w:hideMark/>
          </w:tcPr>
          <w:p w14:paraId="7154F16C"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 </w:t>
            </w:r>
          </w:p>
        </w:tc>
        <w:tc>
          <w:tcPr>
            <w:tcW w:w="526" w:type="pct"/>
            <w:tcBorders>
              <w:top w:val="nil"/>
              <w:left w:val="nil"/>
              <w:bottom w:val="nil"/>
              <w:right w:val="nil"/>
            </w:tcBorders>
            <w:shd w:val="clear" w:color="000000" w:fill="FFFFFF"/>
            <w:vAlign w:val="bottom"/>
            <w:hideMark/>
          </w:tcPr>
          <w:p w14:paraId="62BEA941"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4770078B"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FDE2CAC"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79649FC4"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c>
          <w:tcPr>
            <w:tcW w:w="526" w:type="pct"/>
            <w:tcBorders>
              <w:top w:val="nil"/>
              <w:left w:val="nil"/>
              <w:bottom w:val="nil"/>
              <w:right w:val="nil"/>
            </w:tcBorders>
            <w:shd w:val="clear" w:color="000000" w:fill="FFFFFF"/>
            <w:vAlign w:val="bottom"/>
            <w:hideMark/>
          </w:tcPr>
          <w:p w14:paraId="245227E1" w14:textId="77777777" w:rsidR="00844436" w:rsidRPr="00844436" w:rsidRDefault="00844436" w:rsidP="00844436">
            <w:pPr>
              <w:spacing w:line="240" w:lineRule="auto"/>
              <w:jc w:val="left"/>
              <w:rPr>
                <w:rFonts w:eastAsia="Times New Roman" w:cs="Calibri"/>
                <w:b/>
                <w:bCs/>
                <w:color w:val="auto"/>
                <w:sz w:val="16"/>
                <w:szCs w:val="16"/>
                <w:lang w:eastAsia="en-GB"/>
              </w:rPr>
            </w:pPr>
            <w:r w:rsidRPr="00844436">
              <w:rPr>
                <w:rFonts w:eastAsia="Times New Roman" w:cs="Calibri"/>
                <w:b/>
                <w:bCs/>
                <w:color w:val="auto"/>
                <w:sz w:val="16"/>
                <w:szCs w:val="16"/>
                <w:lang w:eastAsia="en-GB"/>
              </w:rPr>
              <w:t> </w:t>
            </w:r>
          </w:p>
        </w:tc>
      </w:tr>
      <w:tr w:rsidR="00844436" w:rsidRPr="00844436" w14:paraId="12729EC7" w14:textId="77777777" w:rsidTr="00AC30FC">
        <w:trPr>
          <w:trHeight w:val="300"/>
        </w:trPr>
        <w:tc>
          <w:tcPr>
            <w:tcW w:w="2370" w:type="pct"/>
            <w:tcBorders>
              <w:top w:val="single" w:sz="4" w:space="0" w:color="auto"/>
              <w:left w:val="nil"/>
              <w:bottom w:val="single" w:sz="4" w:space="0" w:color="auto"/>
              <w:right w:val="nil"/>
            </w:tcBorders>
            <w:shd w:val="clear" w:color="000000" w:fill="FFFFFF"/>
            <w:noWrap/>
            <w:vAlign w:val="center"/>
            <w:hideMark/>
          </w:tcPr>
          <w:p w14:paraId="23648A8D" w14:textId="77777777" w:rsidR="00844436" w:rsidRPr="00844436" w:rsidRDefault="00844436" w:rsidP="00844436">
            <w:pPr>
              <w:spacing w:line="240" w:lineRule="auto"/>
              <w:jc w:val="left"/>
              <w:rPr>
                <w:rFonts w:eastAsia="Times New Roman" w:cs="Calibri"/>
                <w:b/>
                <w:bCs/>
                <w:color w:val="000000"/>
                <w:sz w:val="16"/>
                <w:szCs w:val="16"/>
                <w:lang w:eastAsia="en-GB"/>
              </w:rPr>
            </w:pPr>
            <w:r w:rsidRPr="00844436">
              <w:rPr>
                <w:rFonts w:eastAsia="Times New Roman" w:cs="Calibri"/>
                <w:b/>
                <w:bCs/>
                <w:color w:val="000000"/>
                <w:sz w:val="16"/>
                <w:szCs w:val="16"/>
                <w:lang w:eastAsia="en-GB"/>
              </w:rPr>
              <w:t>Balance at 31 March 2023</w:t>
            </w:r>
          </w:p>
        </w:tc>
        <w:tc>
          <w:tcPr>
            <w:tcW w:w="526" w:type="pct"/>
            <w:tcBorders>
              <w:top w:val="single" w:sz="4" w:space="0" w:color="auto"/>
              <w:left w:val="nil"/>
              <w:bottom w:val="single" w:sz="4" w:space="0" w:color="auto"/>
              <w:right w:val="nil"/>
            </w:tcBorders>
            <w:shd w:val="clear" w:color="000000" w:fill="FFFFFF"/>
            <w:vAlign w:val="bottom"/>
            <w:hideMark/>
          </w:tcPr>
          <w:p w14:paraId="63240695"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781D6747"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1B10173D"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w:t>
            </w:r>
          </w:p>
        </w:tc>
        <w:tc>
          <w:tcPr>
            <w:tcW w:w="526" w:type="pct"/>
            <w:tcBorders>
              <w:top w:val="single" w:sz="4" w:space="0" w:color="auto"/>
              <w:left w:val="nil"/>
              <w:bottom w:val="single" w:sz="4" w:space="0" w:color="auto"/>
              <w:right w:val="nil"/>
            </w:tcBorders>
            <w:shd w:val="clear" w:color="000000" w:fill="FFFFFF"/>
            <w:vAlign w:val="bottom"/>
            <w:hideMark/>
          </w:tcPr>
          <w:p w14:paraId="53585028"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1,019,784</w:t>
            </w:r>
          </w:p>
        </w:tc>
        <w:tc>
          <w:tcPr>
            <w:tcW w:w="526" w:type="pct"/>
            <w:tcBorders>
              <w:top w:val="single" w:sz="4" w:space="0" w:color="auto"/>
              <w:left w:val="nil"/>
              <w:bottom w:val="single" w:sz="4" w:space="0" w:color="auto"/>
              <w:right w:val="nil"/>
            </w:tcBorders>
            <w:shd w:val="clear" w:color="000000" w:fill="FFFFFF"/>
            <w:vAlign w:val="bottom"/>
            <w:hideMark/>
          </w:tcPr>
          <w:p w14:paraId="7E07F5EE" w14:textId="77777777" w:rsidR="00844436" w:rsidRPr="00844436" w:rsidRDefault="00844436" w:rsidP="00844436">
            <w:pPr>
              <w:spacing w:line="240" w:lineRule="auto"/>
              <w:jc w:val="right"/>
              <w:rPr>
                <w:rFonts w:eastAsia="Times New Roman" w:cs="Calibri"/>
                <w:b/>
                <w:bCs/>
                <w:color w:val="auto"/>
                <w:sz w:val="16"/>
                <w:szCs w:val="16"/>
                <w:lang w:eastAsia="en-GB"/>
              </w:rPr>
            </w:pPr>
            <w:r w:rsidRPr="00844436">
              <w:rPr>
                <w:rFonts w:eastAsia="Times New Roman" w:cs="Calibri"/>
                <w:b/>
                <w:bCs/>
                <w:color w:val="auto"/>
                <w:sz w:val="16"/>
                <w:szCs w:val="16"/>
                <w:lang w:eastAsia="en-GB"/>
              </w:rPr>
              <w:t>1,019,784</w:t>
            </w:r>
          </w:p>
        </w:tc>
      </w:tr>
    </w:tbl>
    <w:p w14:paraId="6E26E87B" w14:textId="6533BD20" w:rsidR="002522D4" w:rsidRPr="0043793E" w:rsidRDefault="002522D4" w:rsidP="00C60BA1">
      <w:pPr>
        <w:pStyle w:val="ChapterHeading"/>
      </w:pPr>
      <w:bookmarkStart w:id="65" w:name="_Toc9272496"/>
      <w:bookmarkStart w:id="66" w:name="_Toc191281426"/>
      <w:r w:rsidRPr="0043793E">
        <w:lastRenderedPageBreak/>
        <w:t>Comprehensive Income and Expenditure Statement</w:t>
      </w:r>
      <w:bookmarkEnd w:id="65"/>
      <w:bookmarkEnd w:id="66"/>
    </w:p>
    <w:p w14:paraId="65B1B2C3" w14:textId="77777777" w:rsidR="002522D4" w:rsidRPr="0043793E" w:rsidRDefault="002522D4" w:rsidP="00C60BA1"/>
    <w:p w14:paraId="6D23DB3F" w14:textId="77777777" w:rsidR="002522D4" w:rsidRPr="0043793E" w:rsidRDefault="002522D4" w:rsidP="00C60BA1">
      <w:r w:rsidRPr="0043793E">
        <w:t xml:space="preserve">This account summarises the resources that have been generated and consumed in providing services and managing the </w:t>
      </w:r>
      <w:r w:rsidR="006A5AA6" w:rsidRPr="0043793E">
        <w:t>OCC</w:t>
      </w:r>
      <w:r w:rsidRPr="0043793E">
        <w:t xml:space="preserve"> during the last year.  It includes all day-to-day expenses and related income on an accruals basis, as well as transactions measuring the value of fixed assets actually consumed and the real projected value of retirement benefits earned by employees in the year.</w:t>
      </w:r>
    </w:p>
    <w:p w14:paraId="139EFC1F" w14:textId="77777777" w:rsidR="002522D4" w:rsidRPr="0043793E" w:rsidRDefault="002522D4" w:rsidP="00C60BA1"/>
    <w:p w14:paraId="450F6D16" w14:textId="1523BB27" w:rsidR="002522D4" w:rsidRDefault="002522D4" w:rsidP="00C60BA1">
      <w:r w:rsidRPr="0043793E">
        <w:t>Joint Associated Non-Entity (Joint Venture) accounting entries are consolidated in the Comprehensive Income and Expenditure service headings.</w:t>
      </w:r>
      <w:r w:rsidR="0043793E">
        <w:t xml:space="preserve">  </w:t>
      </w:r>
      <w:r w:rsidR="0043793E" w:rsidRPr="0036550A">
        <w:t>Note 40 to the accounts gives a separate breakdown of these entries.</w:t>
      </w:r>
    </w:p>
    <w:p w14:paraId="19CB38DB" w14:textId="2450F8AF" w:rsidR="009909DC" w:rsidRDefault="009909DC" w:rsidP="00C60BA1"/>
    <w:tbl>
      <w:tblPr>
        <w:tblW w:w="9784" w:type="dxa"/>
        <w:tblLayout w:type="fixed"/>
        <w:tblLook w:val="04A0" w:firstRow="1" w:lastRow="0" w:firstColumn="1" w:lastColumn="0" w:noHBand="0" w:noVBand="1"/>
      </w:tblPr>
      <w:tblGrid>
        <w:gridCol w:w="1134"/>
        <w:gridCol w:w="961"/>
        <w:gridCol w:w="962"/>
        <w:gridCol w:w="3660"/>
        <w:gridCol w:w="1134"/>
        <w:gridCol w:w="10"/>
        <w:gridCol w:w="950"/>
        <w:gridCol w:w="10"/>
        <w:gridCol w:w="953"/>
        <w:gridCol w:w="10"/>
      </w:tblGrid>
      <w:tr w:rsidR="00DD39BC" w:rsidRPr="00DD39BC" w14:paraId="7FB48518" w14:textId="77777777" w:rsidTr="001B7116">
        <w:trPr>
          <w:trHeight w:val="244"/>
        </w:trPr>
        <w:tc>
          <w:tcPr>
            <w:tcW w:w="3057" w:type="dxa"/>
            <w:gridSpan w:val="3"/>
            <w:tcBorders>
              <w:top w:val="nil"/>
              <w:left w:val="nil"/>
              <w:bottom w:val="nil"/>
              <w:right w:val="nil"/>
            </w:tcBorders>
            <w:shd w:val="clear" w:color="000000" w:fill="000099"/>
            <w:noWrap/>
            <w:vAlign w:val="bottom"/>
            <w:hideMark/>
          </w:tcPr>
          <w:p w14:paraId="033E2E3B" w14:textId="77777777" w:rsidR="00DD39BC" w:rsidRPr="00DD39BC" w:rsidRDefault="00DD39BC" w:rsidP="00DD39BC">
            <w:pPr>
              <w:spacing w:line="240" w:lineRule="auto"/>
              <w:jc w:val="center"/>
              <w:rPr>
                <w:rFonts w:eastAsia="Times New Roman" w:cs="Calibri"/>
                <w:b/>
                <w:bCs/>
                <w:color w:val="FFFFFF"/>
                <w:sz w:val="18"/>
                <w:szCs w:val="18"/>
                <w:lang w:eastAsia="en-GB"/>
              </w:rPr>
            </w:pPr>
            <w:bookmarkStart w:id="67" w:name="_Toc9272498"/>
            <w:r w:rsidRPr="00DD39BC">
              <w:rPr>
                <w:rFonts w:eastAsia="Times New Roman" w:cs="Calibri"/>
                <w:b/>
                <w:bCs/>
                <w:color w:val="FFFFFF"/>
                <w:sz w:val="18"/>
                <w:szCs w:val="18"/>
                <w:lang w:eastAsia="en-GB"/>
              </w:rPr>
              <w:t>2022/23</w:t>
            </w:r>
          </w:p>
        </w:tc>
        <w:tc>
          <w:tcPr>
            <w:tcW w:w="3660" w:type="dxa"/>
            <w:tcBorders>
              <w:top w:val="nil"/>
              <w:left w:val="nil"/>
              <w:bottom w:val="nil"/>
              <w:right w:val="nil"/>
            </w:tcBorders>
            <w:shd w:val="clear" w:color="000000" w:fill="000099"/>
            <w:vAlign w:val="bottom"/>
            <w:hideMark/>
          </w:tcPr>
          <w:p w14:paraId="038030F4" w14:textId="77777777" w:rsidR="00DD39BC" w:rsidRPr="00DD39BC" w:rsidRDefault="00DD39BC" w:rsidP="00DD39BC">
            <w:pPr>
              <w:spacing w:line="240" w:lineRule="auto"/>
              <w:jc w:val="left"/>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3067" w:type="dxa"/>
            <w:gridSpan w:val="6"/>
            <w:tcBorders>
              <w:top w:val="nil"/>
              <w:left w:val="nil"/>
              <w:bottom w:val="nil"/>
              <w:right w:val="nil"/>
            </w:tcBorders>
            <w:shd w:val="clear" w:color="000000" w:fill="000099"/>
            <w:noWrap/>
            <w:vAlign w:val="bottom"/>
            <w:hideMark/>
          </w:tcPr>
          <w:p w14:paraId="67E2B7DD"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2023/24</w:t>
            </w:r>
          </w:p>
        </w:tc>
      </w:tr>
      <w:tr w:rsidR="00DD39BC" w:rsidRPr="00DD39BC" w14:paraId="23D99DC5" w14:textId="77777777" w:rsidTr="001B7116">
        <w:trPr>
          <w:gridAfter w:val="1"/>
          <w:wAfter w:w="10" w:type="dxa"/>
          <w:trHeight w:val="244"/>
        </w:trPr>
        <w:tc>
          <w:tcPr>
            <w:tcW w:w="1134" w:type="dxa"/>
            <w:tcBorders>
              <w:top w:val="nil"/>
              <w:left w:val="nil"/>
              <w:bottom w:val="nil"/>
              <w:right w:val="nil"/>
            </w:tcBorders>
            <w:shd w:val="clear" w:color="000000" w:fill="000099"/>
            <w:vAlign w:val="bottom"/>
            <w:hideMark/>
          </w:tcPr>
          <w:p w14:paraId="4B62E93F"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xml:space="preserve">Expenditure </w:t>
            </w:r>
          </w:p>
        </w:tc>
        <w:tc>
          <w:tcPr>
            <w:tcW w:w="961" w:type="dxa"/>
            <w:tcBorders>
              <w:top w:val="nil"/>
              <w:left w:val="nil"/>
              <w:bottom w:val="nil"/>
              <w:right w:val="nil"/>
            </w:tcBorders>
            <w:shd w:val="clear" w:color="000000" w:fill="000099"/>
            <w:vAlign w:val="bottom"/>
            <w:hideMark/>
          </w:tcPr>
          <w:p w14:paraId="2C9AF5B9"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Income</w:t>
            </w:r>
          </w:p>
        </w:tc>
        <w:tc>
          <w:tcPr>
            <w:tcW w:w="962" w:type="dxa"/>
            <w:tcBorders>
              <w:top w:val="nil"/>
              <w:left w:val="nil"/>
              <w:bottom w:val="nil"/>
              <w:right w:val="nil"/>
            </w:tcBorders>
            <w:shd w:val="clear" w:color="000000" w:fill="000099"/>
            <w:vAlign w:val="bottom"/>
            <w:hideMark/>
          </w:tcPr>
          <w:p w14:paraId="4FD179E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w:t>
            </w:r>
          </w:p>
        </w:tc>
        <w:tc>
          <w:tcPr>
            <w:tcW w:w="3660" w:type="dxa"/>
            <w:tcBorders>
              <w:top w:val="nil"/>
              <w:left w:val="nil"/>
              <w:bottom w:val="nil"/>
              <w:right w:val="nil"/>
            </w:tcBorders>
            <w:shd w:val="clear" w:color="000000" w:fill="000099"/>
            <w:vAlign w:val="bottom"/>
            <w:hideMark/>
          </w:tcPr>
          <w:p w14:paraId="323E2F2B"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Chief Constable</w:t>
            </w:r>
          </w:p>
        </w:tc>
        <w:tc>
          <w:tcPr>
            <w:tcW w:w="1134" w:type="dxa"/>
            <w:tcBorders>
              <w:top w:val="nil"/>
              <w:left w:val="nil"/>
              <w:bottom w:val="nil"/>
              <w:right w:val="nil"/>
            </w:tcBorders>
            <w:shd w:val="clear" w:color="000000" w:fill="000099"/>
            <w:vAlign w:val="bottom"/>
            <w:hideMark/>
          </w:tcPr>
          <w:p w14:paraId="16A44A75"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Expenditure</w:t>
            </w:r>
          </w:p>
        </w:tc>
        <w:tc>
          <w:tcPr>
            <w:tcW w:w="960" w:type="dxa"/>
            <w:gridSpan w:val="2"/>
            <w:tcBorders>
              <w:top w:val="nil"/>
              <w:left w:val="nil"/>
              <w:bottom w:val="nil"/>
              <w:right w:val="nil"/>
            </w:tcBorders>
            <w:shd w:val="clear" w:color="000000" w:fill="000099"/>
            <w:vAlign w:val="bottom"/>
            <w:hideMark/>
          </w:tcPr>
          <w:p w14:paraId="37C92912"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Income</w:t>
            </w:r>
          </w:p>
        </w:tc>
        <w:tc>
          <w:tcPr>
            <w:tcW w:w="963" w:type="dxa"/>
            <w:gridSpan w:val="2"/>
            <w:tcBorders>
              <w:top w:val="nil"/>
              <w:left w:val="nil"/>
              <w:bottom w:val="nil"/>
              <w:right w:val="nil"/>
            </w:tcBorders>
            <w:shd w:val="clear" w:color="000000" w:fill="000099"/>
            <w:vAlign w:val="bottom"/>
            <w:hideMark/>
          </w:tcPr>
          <w:p w14:paraId="3B3964B7"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w:t>
            </w:r>
          </w:p>
        </w:tc>
      </w:tr>
      <w:tr w:rsidR="00DD39BC" w:rsidRPr="00DD39BC" w14:paraId="51B39B1A" w14:textId="77777777" w:rsidTr="001B7116">
        <w:trPr>
          <w:gridAfter w:val="1"/>
          <w:wAfter w:w="10" w:type="dxa"/>
          <w:trHeight w:val="244"/>
        </w:trPr>
        <w:tc>
          <w:tcPr>
            <w:tcW w:w="1134" w:type="dxa"/>
            <w:tcBorders>
              <w:top w:val="nil"/>
              <w:left w:val="nil"/>
              <w:bottom w:val="nil"/>
              <w:right w:val="nil"/>
            </w:tcBorders>
            <w:shd w:val="clear" w:color="000000" w:fill="000099"/>
            <w:vAlign w:val="bottom"/>
            <w:hideMark/>
          </w:tcPr>
          <w:p w14:paraId="6E864782"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1" w:type="dxa"/>
            <w:tcBorders>
              <w:top w:val="nil"/>
              <w:left w:val="nil"/>
              <w:bottom w:val="nil"/>
              <w:right w:val="nil"/>
            </w:tcBorders>
            <w:shd w:val="clear" w:color="000000" w:fill="000099"/>
            <w:vAlign w:val="bottom"/>
            <w:hideMark/>
          </w:tcPr>
          <w:p w14:paraId="3072483A"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2" w:type="dxa"/>
            <w:tcBorders>
              <w:top w:val="nil"/>
              <w:left w:val="nil"/>
              <w:bottom w:val="nil"/>
              <w:right w:val="nil"/>
            </w:tcBorders>
            <w:shd w:val="clear" w:color="000000" w:fill="000099"/>
            <w:vAlign w:val="bottom"/>
            <w:hideMark/>
          </w:tcPr>
          <w:p w14:paraId="2B49B89B"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3660" w:type="dxa"/>
            <w:tcBorders>
              <w:top w:val="nil"/>
              <w:left w:val="nil"/>
              <w:bottom w:val="nil"/>
              <w:right w:val="nil"/>
            </w:tcBorders>
            <w:shd w:val="clear" w:color="000000" w:fill="000099"/>
            <w:vAlign w:val="bottom"/>
            <w:hideMark/>
          </w:tcPr>
          <w:p w14:paraId="463BDC7D"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1134" w:type="dxa"/>
            <w:tcBorders>
              <w:top w:val="nil"/>
              <w:left w:val="nil"/>
              <w:bottom w:val="nil"/>
              <w:right w:val="nil"/>
            </w:tcBorders>
            <w:shd w:val="clear" w:color="000000" w:fill="000099"/>
            <w:vAlign w:val="bottom"/>
            <w:hideMark/>
          </w:tcPr>
          <w:p w14:paraId="01867A83"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0" w:type="dxa"/>
            <w:gridSpan w:val="2"/>
            <w:tcBorders>
              <w:top w:val="nil"/>
              <w:left w:val="nil"/>
              <w:bottom w:val="nil"/>
              <w:right w:val="nil"/>
            </w:tcBorders>
            <w:shd w:val="clear" w:color="000000" w:fill="000099"/>
            <w:vAlign w:val="bottom"/>
            <w:hideMark/>
          </w:tcPr>
          <w:p w14:paraId="1F169190"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63" w:type="dxa"/>
            <w:gridSpan w:val="2"/>
            <w:tcBorders>
              <w:top w:val="nil"/>
              <w:left w:val="nil"/>
              <w:bottom w:val="nil"/>
              <w:right w:val="nil"/>
            </w:tcBorders>
            <w:shd w:val="clear" w:color="000000" w:fill="000099"/>
            <w:vAlign w:val="bottom"/>
            <w:hideMark/>
          </w:tcPr>
          <w:p w14:paraId="3FDB0DF7" w14:textId="77777777" w:rsidR="00DD39BC" w:rsidRPr="00DD39BC" w:rsidRDefault="00DD39BC" w:rsidP="00DD39BC">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r>
      <w:tr w:rsidR="00DD39BC" w:rsidRPr="00DD39BC" w14:paraId="093501DE" w14:textId="77777777" w:rsidTr="001B7116">
        <w:trPr>
          <w:gridAfter w:val="1"/>
          <w:wAfter w:w="10" w:type="dxa"/>
          <w:trHeight w:val="244"/>
        </w:trPr>
        <w:tc>
          <w:tcPr>
            <w:tcW w:w="1134" w:type="dxa"/>
            <w:tcBorders>
              <w:top w:val="nil"/>
              <w:left w:val="nil"/>
              <w:bottom w:val="nil"/>
              <w:right w:val="nil"/>
            </w:tcBorders>
            <w:shd w:val="clear" w:color="000000" w:fill="FFFFFF"/>
            <w:vAlign w:val="bottom"/>
            <w:hideMark/>
          </w:tcPr>
          <w:p w14:paraId="725218D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189,376</w:t>
            </w:r>
          </w:p>
        </w:tc>
        <w:tc>
          <w:tcPr>
            <w:tcW w:w="961" w:type="dxa"/>
            <w:tcBorders>
              <w:top w:val="nil"/>
              <w:left w:val="nil"/>
              <w:bottom w:val="nil"/>
              <w:right w:val="nil"/>
            </w:tcBorders>
            <w:shd w:val="clear" w:color="000000" w:fill="FFFFFF"/>
            <w:vAlign w:val="bottom"/>
            <w:hideMark/>
          </w:tcPr>
          <w:p w14:paraId="529025F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(34,828)</w:t>
            </w:r>
          </w:p>
        </w:tc>
        <w:tc>
          <w:tcPr>
            <w:tcW w:w="962" w:type="dxa"/>
            <w:tcBorders>
              <w:top w:val="nil"/>
              <w:left w:val="nil"/>
              <w:bottom w:val="nil"/>
              <w:right w:val="nil"/>
            </w:tcBorders>
            <w:shd w:val="clear" w:color="000000" w:fill="FFFFFF"/>
            <w:vAlign w:val="bottom"/>
            <w:hideMark/>
          </w:tcPr>
          <w:p w14:paraId="7F0CFBD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154,548</w:t>
            </w:r>
          </w:p>
        </w:tc>
        <w:tc>
          <w:tcPr>
            <w:tcW w:w="3660" w:type="dxa"/>
            <w:tcBorders>
              <w:top w:val="nil"/>
              <w:left w:val="nil"/>
              <w:bottom w:val="nil"/>
              <w:right w:val="nil"/>
            </w:tcBorders>
            <w:shd w:val="clear" w:color="000000" w:fill="FFFFFF"/>
            <w:noWrap/>
            <w:vAlign w:val="center"/>
            <w:hideMark/>
          </w:tcPr>
          <w:p w14:paraId="3026977D"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Policing Services</w:t>
            </w:r>
          </w:p>
        </w:tc>
        <w:tc>
          <w:tcPr>
            <w:tcW w:w="1134" w:type="dxa"/>
            <w:tcBorders>
              <w:top w:val="nil"/>
              <w:left w:val="nil"/>
              <w:bottom w:val="nil"/>
              <w:right w:val="nil"/>
            </w:tcBorders>
            <w:shd w:val="clear" w:color="000000" w:fill="CCECFF"/>
            <w:vAlign w:val="bottom"/>
            <w:hideMark/>
          </w:tcPr>
          <w:p w14:paraId="538E605D"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180,392</w:t>
            </w:r>
          </w:p>
        </w:tc>
        <w:tc>
          <w:tcPr>
            <w:tcW w:w="960" w:type="dxa"/>
            <w:gridSpan w:val="2"/>
            <w:tcBorders>
              <w:top w:val="nil"/>
              <w:left w:val="nil"/>
              <w:bottom w:val="nil"/>
              <w:right w:val="nil"/>
            </w:tcBorders>
            <w:shd w:val="clear" w:color="000000" w:fill="CCECFF"/>
            <w:vAlign w:val="bottom"/>
            <w:hideMark/>
          </w:tcPr>
          <w:p w14:paraId="1813B45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(41,191)</w:t>
            </w:r>
          </w:p>
        </w:tc>
        <w:tc>
          <w:tcPr>
            <w:tcW w:w="963" w:type="dxa"/>
            <w:gridSpan w:val="2"/>
            <w:tcBorders>
              <w:top w:val="nil"/>
              <w:left w:val="nil"/>
              <w:bottom w:val="nil"/>
              <w:right w:val="nil"/>
            </w:tcBorders>
            <w:shd w:val="clear" w:color="000000" w:fill="CCECFF"/>
            <w:vAlign w:val="bottom"/>
            <w:hideMark/>
          </w:tcPr>
          <w:p w14:paraId="46FA3E4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139,201</w:t>
            </w:r>
          </w:p>
        </w:tc>
      </w:tr>
      <w:tr w:rsidR="00DD39BC" w:rsidRPr="00DD39BC" w14:paraId="63657557" w14:textId="77777777" w:rsidTr="001B7116">
        <w:trPr>
          <w:gridAfter w:val="1"/>
          <w:wAfter w:w="10" w:type="dxa"/>
          <w:trHeight w:val="244"/>
        </w:trPr>
        <w:tc>
          <w:tcPr>
            <w:tcW w:w="1134" w:type="dxa"/>
            <w:tcBorders>
              <w:top w:val="nil"/>
              <w:left w:val="nil"/>
              <w:bottom w:val="nil"/>
              <w:right w:val="nil"/>
            </w:tcBorders>
            <w:shd w:val="clear" w:color="000000" w:fill="FFFFFF"/>
            <w:vAlign w:val="bottom"/>
            <w:hideMark/>
          </w:tcPr>
          <w:p w14:paraId="519558B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6979781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2" w:type="dxa"/>
            <w:tcBorders>
              <w:top w:val="nil"/>
              <w:left w:val="nil"/>
              <w:bottom w:val="nil"/>
              <w:right w:val="nil"/>
            </w:tcBorders>
            <w:shd w:val="clear" w:color="000000" w:fill="FFFFFF"/>
            <w:vAlign w:val="bottom"/>
            <w:hideMark/>
          </w:tcPr>
          <w:p w14:paraId="7400DDB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6047EEF5"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Police, Fire &amp; Crime Commissioner</w:t>
            </w:r>
          </w:p>
        </w:tc>
        <w:tc>
          <w:tcPr>
            <w:tcW w:w="1134" w:type="dxa"/>
            <w:tcBorders>
              <w:top w:val="nil"/>
              <w:left w:val="nil"/>
              <w:bottom w:val="nil"/>
              <w:right w:val="nil"/>
            </w:tcBorders>
            <w:shd w:val="clear" w:color="000000" w:fill="CCECFF"/>
            <w:vAlign w:val="bottom"/>
            <w:hideMark/>
          </w:tcPr>
          <w:p w14:paraId="42A70F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gridSpan w:val="2"/>
            <w:tcBorders>
              <w:top w:val="nil"/>
              <w:left w:val="nil"/>
              <w:bottom w:val="nil"/>
              <w:right w:val="nil"/>
            </w:tcBorders>
            <w:shd w:val="clear" w:color="000000" w:fill="CCECFF"/>
            <w:vAlign w:val="bottom"/>
            <w:hideMark/>
          </w:tcPr>
          <w:p w14:paraId="1E0BCF2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3" w:type="dxa"/>
            <w:gridSpan w:val="2"/>
            <w:tcBorders>
              <w:top w:val="nil"/>
              <w:left w:val="nil"/>
              <w:bottom w:val="nil"/>
              <w:right w:val="nil"/>
            </w:tcBorders>
            <w:shd w:val="clear" w:color="000000" w:fill="CCECFF"/>
            <w:vAlign w:val="bottom"/>
            <w:hideMark/>
          </w:tcPr>
          <w:p w14:paraId="46165FC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7D49315F" w14:textId="77777777" w:rsidTr="001B7116">
        <w:trPr>
          <w:gridAfter w:val="1"/>
          <w:wAfter w:w="10" w:type="dxa"/>
          <w:trHeight w:val="244"/>
        </w:trPr>
        <w:tc>
          <w:tcPr>
            <w:tcW w:w="1134" w:type="dxa"/>
            <w:tcBorders>
              <w:top w:val="nil"/>
              <w:left w:val="nil"/>
              <w:bottom w:val="nil"/>
              <w:right w:val="nil"/>
            </w:tcBorders>
            <w:shd w:val="clear" w:color="000000" w:fill="FFFFFF"/>
            <w:vAlign w:val="bottom"/>
            <w:hideMark/>
          </w:tcPr>
          <w:p w14:paraId="465363D8"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082A3C20"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2" w:type="dxa"/>
            <w:tcBorders>
              <w:top w:val="nil"/>
              <w:left w:val="nil"/>
              <w:bottom w:val="nil"/>
              <w:right w:val="nil"/>
            </w:tcBorders>
            <w:shd w:val="clear" w:color="000000" w:fill="FFFFFF"/>
            <w:vAlign w:val="bottom"/>
            <w:hideMark/>
          </w:tcPr>
          <w:p w14:paraId="5751454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63DAC034"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Commissioning</w:t>
            </w:r>
          </w:p>
        </w:tc>
        <w:tc>
          <w:tcPr>
            <w:tcW w:w="1134" w:type="dxa"/>
            <w:tcBorders>
              <w:top w:val="nil"/>
              <w:left w:val="nil"/>
              <w:bottom w:val="nil"/>
              <w:right w:val="nil"/>
            </w:tcBorders>
            <w:shd w:val="clear" w:color="000000" w:fill="CCECFF"/>
            <w:vAlign w:val="bottom"/>
            <w:hideMark/>
          </w:tcPr>
          <w:p w14:paraId="5A0C72D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gridSpan w:val="2"/>
            <w:tcBorders>
              <w:top w:val="nil"/>
              <w:left w:val="nil"/>
              <w:bottom w:val="nil"/>
              <w:right w:val="nil"/>
            </w:tcBorders>
            <w:shd w:val="clear" w:color="000000" w:fill="CCECFF"/>
            <w:vAlign w:val="bottom"/>
            <w:hideMark/>
          </w:tcPr>
          <w:p w14:paraId="2A9D934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3" w:type="dxa"/>
            <w:gridSpan w:val="2"/>
            <w:tcBorders>
              <w:top w:val="nil"/>
              <w:left w:val="nil"/>
              <w:bottom w:val="nil"/>
              <w:right w:val="nil"/>
            </w:tcBorders>
            <w:shd w:val="clear" w:color="000000" w:fill="CCECFF"/>
            <w:vAlign w:val="bottom"/>
            <w:hideMark/>
          </w:tcPr>
          <w:p w14:paraId="7A287624"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0DD8F93D" w14:textId="77777777" w:rsidTr="001B7116">
        <w:trPr>
          <w:gridAfter w:val="1"/>
          <w:wAfter w:w="10" w:type="dxa"/>
          <w:trHeight w:val="61"/>
        </w:trPr>
        <w:tc>
          <w:tcPr>
            <w:tcW w:w="1134" w:type="dxa"/>
            <w:tcBorders>
              <w:top w:val="nil"/>
              <w:left w:val="nil"/>
              <w:bottom w:val="nil"/>
              <w:right w:val="nil"/>
            </w:tcBorders>
            <w:shd w:val="clear" w:color="000000" w:fill="FFFFFF"/>
            <w:vAlign w:val="bottom"/>
            <w:hideMark/>
          </w:tcPr>
          <w:p w14:paraId="7BF7F1BC"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201AC9C"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2" w:type="dxa"/>
            <w:tcBorders>
              <w:top w:val="nil"/>
              <w:left w:val="nil"/>
              <w:bottom w:val="nil"/>
              <w:right w:val="nil"/>
            </w:tcBorders>
            <w:shd w:val="clear" w:color="000000" w:fill="FFFFFF"/>
            <w:vAlign w:val="bottom"/>
            <w:hideMark/>
          </w:tcPr>
          <w:p w14:paraId="4547CB7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center"/>
            <w:hideMark/>
          </w:tcPr>
          <w:p w14:paraId="6E566D1F"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 </w:t>
            </w:r>
          </w:p>
        </w:tc>
        <w:tc>
          <w:tcPr>
            <w:tcW w:w="1134" w:type="dxa"/>
            <w:tcBorders>
              <w:top w:val="nil"/>
              <w:left w:val="nil"/>
              <w:bottom w:val="nil"/>
              <w:right w:val="nil"/>
            </w:tcBorders>
            <w:shd w:val="clear" w:color="000000" w:fill="CCECFF"/>
            <w:vAlign w:val="bottom"/>
            <w:hideMark/>
          </w:tcPr>
          <w:p w14:paraId="04A541FD"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gridSpan w:val="2"/>
            <w:tcBorders>
              <w:top w:val="nil"/>
              <w:left w:val="nil"/>
              <w:bottom w:val="nil"/>
              <w:right w:val="nil"/>
            </w:tcBorders>
            <w:shd w:val="clear" w:color="000000" w:fill="CCECFF"/>
            <w:vAlign w:val="bottom"/>
            <w:hideMark/>
          </w:tcPr>
          <w:p w14:paraId="52E146F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3" w:type="dxa"/>
            <w:gridSpan w:val="2"/>
            <w:tcBorders>
              <w:top w:val="nil"/>
              <w:left w:val="nil"/>
              <w:bottom w:val="nil"/>
              <w:right w:val="nil"/>
            </w:tcBorders>
            <w:shd w:val="clear" w:color="000000" w:fill="CCECFF"/>
            <w:vAlign w:val="bottom"/>
            <w:hideMark/>
          </w:tcPr>
          <w:p w14:paraId="276CA3E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4EED7F58" w14:textId="77777777" w:rsidTr="001B7116">
        <w:trPr>
          <w:gridAfter w:val="1"/>
          <w:wAfter w:w="10" w:type="dxa"/>
          <w:trHeight w:val="244"/>
        </w:trPr>
        <w:tc>
          <w:tcPr>
            <w:tcW w:w="1134" w:type="dxa"/>
            <w:tcBorders>
              <w:top w:val="single" w:sz="4" w:space="0" w:color="auto"/>
              <w:left w:val="nil"/>
              <w:bottom w:val="single" w:sz="4" w:space="0" w:color="auto"/>
              <w:right w:val="nil"/>
            </w:tcBorders>
            <w:shd w:val="clear" w:color="000000" w:fill="FFFFFF"/>
            <w:vAlign w:val="bottom"/>
            <w:hideMark/>
          </w:tcPr>
          <w:p w14:paraId="57DE5999"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189,376</w:t>
            </w:r>
          </w:p>
        </w:tc>
        <w:tc>
          <w:tcPr>
            <w:tcW w:w="961" w:type="dxa"/>
            <w:tcBorders>
              <w:top w:val="single" w:sz="4" w:space="0" w:color="auto"/>
              <w:left w:val="nil"/>
              <w:bottom w:val="single" w:sz="4" w:space="0" w:color="auto"/>
              <w:right w:val="nil"/>
            </w:tcBorders>
            <w:shd w:val="clear" w:color="000000" w:fill="FFFFFF"/>
            <w:vAlign w:val="bottom"/>
            <w:hideMark/>
          </w:tcPr>
          <w:p w14:paraId="08202484"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(34,828)</w:t>
            </w:r>
          </w:p>
        </w:tc>
        <w:tc>
          <w:tcPr>
            <w:tcW w:w="962" w:type="dxa"/>
            <w:tcBorders>
              <w:top w:val="single" w:sz="4" w:space="0" w:color="auto"/>
              <w:left w:val="nil"/>
              <w:bottom w:val="single" w:sz="4" w:space="0" w:color="auto"/>
              <w:right w:val="nil"/>
            </w:tcBorders>
            <w:shd w:val="clear" w:color="000000" w:fill="FFFFFF"/>
            <w:vAlign w:val="bottom"/>
            <w:hideMark/>
          </w:tcPr>
          <w:p w14:paraId="54259EF0"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154,548</w:t>
            </w:r>
          </w:p>
        </w:tc>
        <w:tc>
          <w:tcPr>
            <w:tcW w:w="3660" w:type="dxa"/>
            <w:tcBorders>
              <w:top w:val="nil"/>
              <w:left w:val="nil"/>
              <w:bottom w:val="nil"/>
              <w:right w:val="nil"/>
            </w:tcBorders>
            <w:shd w:val="clear" w:color="000000" w:fill="FFFFFF"/>
            <w:noWrap/>
            <w:vAlign w:val="center"/>
            <w:hideMark/>
          </w:tcPr>
          <w:p w14:paraId="424F45DD" w14:textId="77777777" w:rsidR="00DD39BC" w:rsidRPr="00DD39BC" w:rsidRDefault="00DD39BC" w:rsidP="00DD39BC">
            <w:pPr>
              <w:spacing w:line="240" w:lineRule="auto"/>
              <w:jc w:val="left"/>
              <w:rPr>
                <w:rFonts w:eastAsia="Times New Roman" w:cs="Calibri"/>
                <w:b/>
                <w:bCs/>
                <w:color w:val="000000"/>
                <w:sz w:val="18"/>
                <w:szCs w:val="18"/>
                <w:lang w:eastAsia="en-GB"/>
              </w:rPr>
            </w:pPr>
            <w:r w:rsidRPr="00DD39BC">
              <w:rPr>
                <w:rFonts w:eastAsia="Times New Roman" w:cs="Calibri"/>
                <w:b/>
                <w:bCs/>
                <w:color w:val="000000"/>
                <w:sz w:val="18"/>
                <w:szCs w:val="18"/>
                <w:lang w:eastAsia="en-GB"/>
              </w:rPr>
              <w:t>Cost of Services</w:t>
            </w:r>
          </w:p>
        </w:tc>
        <w:tc>
          <w:tcPr>
            <w:tcW w:w="1134" w:type="dxa"/>
            <w:tcBorders>
              <w:top w:val="single" w:sz="4" w:space="0" w:color="auto"/>
              <w:left w:val="nil"/>
              <w:bottom w:val="single" w:sz="4" w:space="0" w:color="auto"/>
              <w:right w:val="nil"/>
            </w:tcBorders>
            <w:shd w:val="clear" w:color="000000" w:fill="CCECFF"/>
            <w:vAlign w:val="center"/>
            <w:hideMark/>
          </w:tcPr>
          <w:p w14:paraId="7637FF9B"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180,392</w:t>
            </w:r>
          </w:p>
        </w:tc>
        <w:tc>
          <w:tcPr>
            <w:tcW w:w="960" w:type="dxa"/>
            <w:gridSpan w:val="2"/>
            <w:tcBorders>
              <w:top w:val="single" w:sz="4" w:space="0" w:color="auto"/>
              <w:left w:val="nil"/>
              <w:bottom w:val="single" w:sz="4" w:space="0" w:color="auto"/>
              <w:right w:val="nil"/>
            </w:tcBorders>
            <w:shd w:val="clear" w:color="000000" w:fill="CCECFF"/>
            <w:vAlign w:val="center"/>
            <w:hideMark/>
          </w:tcPr>
          <w:p w14:paraId="5D55D2B8"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(41,191)</w:t>
            </w:r>
          </w:p>
        </w:tc>
        <w:tc>
          <w:tcPr>
            <w:tcW w:w="963" w:type="dxa"/>
            <w:gridSpan w:val="2"/>
            <w:tcBorders>
              <w:top w:val="single" w:sz="4" w:space="0" w:color="auto"/>
              <w:left w:val="nil"/>
              <w:bottom w:val="single" w:sz="4" w:space="0" w:color="auto"/>
              <w:right w:val="nil"/>
            </w:tcBorders>
            <w:shd w:val="clear" w:color="000000" w:fill="CCECFF"/>
            <w:vAlign w:val="center"/>
            <w:hideMark/>
          </w:tcPr>
          <w:p w14:paraId="4081CEF6"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139,201</w:t>
            </w:r>
          </w:p>
        </w:tc>
      </w:tr>
      <w:tr w:rsidR="00DD39BC" w:rsidRPr="00DD39BC" w14:paraId="6E78E8F0" w14:textId="77777777" w:rsidTr="001B7116">
        <w:trPr>
          <w:gridAfter w:val="1"/>
          <w:wAfter w:w="10" w:type="dxa"/>
          <w:trHeight w:val="288"/>
        </w:trPr>
        <w:tc>
          <w:tcPr>
            <w:tcW w:w="1134" w:type="dxa"/>
            <w:tcBorders>
              <w:top w:val="nil"/>
              <w:left w:val="nil"/>
              <w:bottom w:val="nil"/>
              <w:right w:val="nil"/>
            </w:tcBorders>
            <w:shd w:val="clear" w:color="000000" w:fill="FFFFFF"/>
            <w:vAlign w:val="bottom"/>
            <w:hideMark/>
          </w:tcPr>
          <w:p w14:paraId="083B33D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624106B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(143,075)</w:t>
            </w:r>
          </w:p>
        </w:tc>
        <w:tc>
          <w:tcPr>
            <w:tcW w:w="962" w:type="dxa"/>
            <w:tcBorders>
              <w:top w:val="nil"/>
              <w:left w:val="nil"/>
              <w:bottom w:val="nil"/>
              <w:right w:val="nil"/>
            </w:tcBorders>
            <w:shd w:val="clear" w:color="000000" w:fill="FFFFFF"/>
            <w:vAlign w:val="bottom"/>
            <w:hideMark/>
          </w:tcPr>
          <w:p w14:paraId="73AB701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(143,075)</w:t>
            </w:r>
          </w:p>
        </w:tc>
        <w:tc>
          <w:tcPr>
            <w:tcW w:w="3660" w:type="dxa"/>
            <w:tcBorders>
              <w:top w:val="nil"/>
              <w:left w:val="nil"/>
              <w:bottom w:val="nil"/>
              <w:right w:val="nil"/>
            </w:tcBorders>
            <w:shd w:val="clear" w:color="000000" w:fill="FFFFFF"/>
            <w:noWrap/>
            <w:vAlign w:val="center"/>
            <w:hideMark/>
          </w:tcPr>
          <w:p w14:paraId="12F946B5"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Intra-Organisational Adjustment</w:t>
            </w:r>
          </w:p>
        </w:tc>
        <w:tc>
          <w:tcPr>
            <w:tcW w:w="1134" w:type="dxa"/>
            <w:tcBorders>
              <w:top w:val="nil"/>
              <w:left w:val="nil"/>
              <w:bottom w:val="nil"/>
              <w:right w:val="nil"/>
            </w:tcBorders>
            <w:shd w:val="clear" w:color="000000" w:fill="CCECFF"/>
            <w:vAlign w:val="bottom"/>
            <w:hideMark/>
          </w:tcPr>
          <w:p w14:paraId="001A41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gridSpan w:val="2"/>
            <w:tcBorders>
              <w:top w:val="nil"/>
              <w:left w:val="nil"/>
              <w:bottom w:val="nil"/>
              <w:right w:val="nil"/>
            </w:tcBorders>
            <w:shd w:val="clear" w:color="000000" w:fill="CCECFF"/>
            <w:vAlign w:val="bottom"/>
            <w:hideMark/>
          </w:tcPr>
          <w:p w14:paraId="0A50C59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c>
          <w:tcPr>
            <w:tcW w:w="963" w:type="dxa"/>
            <w:gridSpan w:val="2"/>
            <w:tcBorders>
              <w:top w:val="nil"/>
              <w:left w:val="nil"/>
              <w:bottom w:val="nil"/>
              <w:right w:val="nil"/>
            </w:tcBorders>
            <w:shd w:val="clear" w:color="000000" w:fill="CCECFF"/>
            <w:vAlign w:val="bottom"/>
            <w:hideMark/>
          </w:tcPr>
          <w:p w14:paraId="57B8FAC3"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r>
      <w:tr w:rsidR="00DD39BC" w:rsidRPr="00DD39BC" w14:paraId="5415D2EA" w14:textId="77777777" w:rsidTr="001B7116">
        <w:trPr>
          <w:gridAfter w:val="1"/>
          <w:wAfter w:w="10" w:type="dxa"/>
          <w:trHeight w:val="302"/>
        </w:trPr>
        <w:tc>
          <w:tcPr>
            <w:tcW w:w="1134" w:type="dxa"/>
            <w:tcBorders>
              <w:top w:val="nil"/>
              <w:left w:val="nil"/>
              <w:bottom w:val="nil"/>
              <w:right w:val="nil"/>
            </w:tcBorders>
            <w:shd w:val="clear" w:color="000000" w:fill="FFFFFF"/>
            <w:vAlign w:val="bottom"/>
            <w:hideMark/>
          </w:tcPr>
          <w:p w14:paraId="2F8D3580"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1,822</w:t>
            </w:r>
          </w:p>
        </w:tc>
        <w:tc>
          <w:tcPr>
            <w:tcW w:w="961" w:type="dxa"/>
            <w:tcBorders>
              <w:top w:val="nil"/>
              <w:left w:val="nil"/>
              <w:bottom w:val="nil"/>
              <w:right w:val="nil"/>
            </w:tcBorders>
            <w:shd w:val="clear" w:color="000000" w:fill="FFFFFF"/>
            <w:vAlign w:val="bottom"/>
            <w:hideMark/>
          </w:tcPr>
          <w:p w14:paraId="574A422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(137)</w:t>
            </w:r>
          </w:p>
        </w:tc>
        <w:tc>
          <w:tcPr>
            <w:tcW w:w="962" w:type="dxa"/>
            <w:tcBorders>
              <w:top w:val="nil"/>
              <w:left w:val="nil"/>
              <w:bottom w:val="nil"/>
              <w:right w:val="nil"/>
            </w:tcBorders>
            <w:shd w:val="clear" w:color="000000" w:fill="FFFFFF"/>
            <w:vAlign w:val="bottom"/>
            <w:hideMark/>
          </w:tcPr>
          <w:p w14:paraId="56D86CB1"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1,685</w:t>
            </w:r>
          </w:p>
        </w:tc>
        <w:tc>
          <w:tcPr>
            <w:tcW w:w="3660" w:type="dxa"/>
            <w:tcBorders>
              <w:top w:val="nil"/>
              <w:left w:val="nil"/>
              <w:bottom w:val="nil"/>
              <w:right w:val="nil"/>
            </w:tcBorders>
            <w:shd w:val="clear" w:color="000000" w:fill="FFFFFF"/>
            <w:noWrap/>
            <w:vAlign w:val="center"/>
            <w:hideMark/>
          </w:tcPr>
          <w:p w14:paraId="47CEA7AE"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Other Operating Expenditure (Note 7)</w:t>
            </w:r>
          </w:p>
        </w:tc>
        <w:tc>
          <w:tcPr>
            <w:tcW w:w="1134" w:type="dxa"/>
            <w:tcBorders>
              <w:top w:val="nil"/>
              <w:left w:val="nil"/>
              <w:bottom w:val="nil"/>
              <w:right w:val="nil"/>
            </w:tcBorders>
            <w:shd w:val="clear" w:color="000000" w:fill="CCECFF"/>
            <w:vAlign w:val="bottom"/>
            <w:hideMark/>
          </w:tcPr>
          <w:p w14:paraId="5E038ED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0" w:type="dxa"/>
            <w:gridSpan w:val="2"/>
            <w:tcBorders>
              <w:top w:val="nil"/>
              <w:left w:val="nil"/>
              <w:bottom w:val="nil"/>
              <w:right w:val="nil"/>
            </w:tcBorders>
            <w:shd w:val="clear" w:color="000000" w:fill="CCECFF"/>
            <w:vAlign w:val="bottom"/>
            <w:hideMark/>
          </w:tcPr>
          <w:p w14:paraId="498B6C4D"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3" w:type="dxa"/>
            <w:gridSpan w:val="2"/>
            <w:tcBorders>
              <w:top w:val="nil"/>
              <w:left w:val="nil"/>
              <w:bottom w:val="nil"/>
              <w:right w:val="nil"/>
            </w:tcBorders>
            <w:shd w:val="clear" w:color="000000" w:fill="CCECFF"/>
            <w:vAlign w:val="bottom"/>
            <w:hideMark/>
          </w:tcPr>
          <w:p w14:paraId="04C6A789"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6CA9727B" w14:textId="77777777" w:rsidTr="001B7116">
        <w:trPr>
          <w:gridAfter w:val="1"/>
          <w:wAfter w:w="10" w:type="dxa"/>
          <w:trHeight w:val="244"/>
        </w:trPr>
        <w:tc>
          <w:tcPr>
            <w:tcW w:w="1134" w:type="dxa"/>
            <w:tcBorders>
              <w:top w:val="nil"/>
              <w:left w:val="nil"/>
              <w:bottom w:val="nil"/>
              <w:right w:val="nil"/>
            </w:tcBorders>
            <w:shd w:val="clear" w:color="000000" w:fill="FFFFFF"/>
            <w:vAlign w:val="bottom"/>
            <w:hideMark/>
          </w:tcPr>
          <w:p w14:paraId="644931E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40,019</w:t>
            </w:r>
          </w:p>
        </w:tc>
        <w:tc>
          <w:tcPr>
            <w:tcW w:w="961" w:type="dxa"/>
            <w:tcBorders>
              <w:top w:val="nil"/>
              <w:left w:val="nil"/>
              <w:bottom w:val="nil"/>
              <w:right w:val="nil"/>
            </w:tcBorders>
            <w:shd w:val="clear" w:color="000000" w:fill="FFFFFF"/>
            <w:vAlign w:val="bottom"/>
            <w:hideMark/>
          </w:tcPr>
          <w:p w14:paraId="670D1F8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(132)</w:t>
            </w:r>
          </w:p>
        </w:tc>
        <w:tc>
          <w:tcPr>
            <w:tcW w:w="962" w:type="dxa"/>
            <w:tcBorders>
              <w:top w:val="nil"/>
              <w:left w:val="nil"/>
              <w:bottom w:val="nil"/>
              <w:right w:val="nil"/>
            </w:tcBorders>
            <w:shd w:val="clear" w:color="000000" w:fill="FFFFFF"/>
            <w:vAlign w:val="bottom"/>
            <w:hideMark/>
          </w:tcPr>
          <w:p w14:paraId="7D801E83"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39,887</w:t>
            </w:r>
          </w:p>
        </w:tc>
        <w:tc>
          <w:tcPr>
            <w:tcW w:w="3660" w:type="dxa"/>
            <w:tcBorders>
              <w:top w:val="nil"/>
              <w:left w:val="nil"/>
              <w:bottom w:val="nil"/>
              <w:right w:val="nil"/>
            </w:tcBorders>
            <w:shd w:val="clear" w:color="000000" w:fill="FFFFFF"/>
            <w:noWrap/>
            <w:vAlign w:val="center"/>
            <w:hideMark/>
          </w:tcPr>
          <w:p w14:paraId="371F93EE" w14:textId="77777777"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Financing and Investment Income and Expenditure (Note 8)</w:t>
            </w:r>
          </w:p>
        </w:tc>
        <w:tc>
          <w:tcPr>
            <w:tcW w:w="1134" w:type="dxa"/>
            <w:tcBorders>
              <w:top w:val="nil"/>
              <w:left w:val="nil"/>
              <w:bottom w:val="nil"/>
              <w:right w:val="nil"/>
            </w:tcBorders>
            <w:shd w:val="clear" w:color="000000" w:fill="CCECFF"/>
            <w:vAlign w:val="bottom"/>
            <w:hideMark/>
          </w:tcPr>
          <w:p w14:paraId="517AF38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46,799</w:t>
            </w:r>
          </w:p>
        </w:tc>
        <w:tc>
          <w:tcPr>
            <w:tcW w:w="960" w:type="dxa"/>
            <w:gridSpan w:val="2"/>
            <w:tcBorders>
              <w:top w:val="nil"/>
              <w:left w:val="nil"/>
              <w:bottom w:val="nil"/>
              <w:right w:val="nil"/>
            </w:tcBorders>
            <w:shd w:val="clear" w:color="000000" w:fill="CCECFF"/>
            <w:vAlign w:val="bottom"/>
            <w:hideMark/>
          </w:tcPr>
          <w:p w14:paraId="74DDEC6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(681)</w:t>
            </w:r>
          </w:p>
        </w:tc>
        <w:tc>
          <w:tcPr>
            <w:tcW w:w="963" w:type="dxa"/>
            <w:gridSpan w:val="2"/>
            <w:tcBorders>
              <w:top w:val="nil"/>
              <w:left w:val="nil"/>
              <w:bottom w:val="nil"/>
              <w:right w:val="nil"/>
            </w:tcBorders>
            <w:shd w:val="clear" w:color="000000" w:fill="CCECFF"/>
            <w:vAlign w:val="bottom"/>
            <w:hideMark/>
          </w:tcPr>
          <w:p w14:paraId="00C3A54F"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r>
      <w:tr w:rsidR="00DD39BC" w:rsidRPr="00DD39BC" w14:paraId="4908A766" w14:textId="77777777" w:rsidTr="001B7116">
        <w:trPr>
          <w:gridAfter w:val="1"/>
          <w:wAfter w:w="10" w:type="dxa"/>
          <w:trHeight w:val="244"/>
        </w:trPr>
        <w:tc>
          <w:tcPr>
            <w:tcW w:w="1134" w:type="dxa"/>
            <w:tcBorders>
              <w:top w:val="nil"/>
              <w:left w:val="nil"/>
              <w:bottom w:val="nil"/>
              <w:right w:val="nil"/>
            </w:tcBorders>
            <w:shd w:val="clear" w:color="000000" w:fill="FFFFFF"/>
            <w:vAlign w:val="bottom"/>
            <w:hideMark/>
          </w:tcPr>
          <w:p w14:paraId="3B99CE06"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1" w:type="dxa"/>
            <w:tcBorders>
              <w:top w:val="nil"/>
              <w:left w:val="nil"/>
              <w:bottom w:val="nil"/>
              <w:right w:val="nil"/>
            </w:tcBorders>
            <w:shd w:val="clear" w:color="000000" w:fill="FFFFFF"/>
            <w:vAlign w:val="bottom"/>
            <w:hideMark/>
          </w:tcPr>
          <w:p w14:paraId="16818C6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2" w:type="dxa"/>
            <w:tcBorders>
              <w:top w:val="nil"/>
              <w:left w:val="nil"/>
              <w:bottom w:val="nil"/>
              <w:right w:val="nil"/>
            </w:tcBorders>
            <w:shd w:val="clear" w:color="000000" w:fill="FFFFFF"/>
            <w:vAlign w:val="bottom"/>
            <w:hideMark/>
          </w:tcPr>
          <w:p w14:paraId="02F5200C"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center"/>
            <w:hideMark/>
          </w:tcPr>
          <w:p w14:paraId="28D6D6B1" w14:textId="77777777" w:rsidR="00F34635"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Taxation and Non-Specific Grant Income</w:t>
            </w:r>
          </w:p>
          <w:p w14:paraId="10DB15CC" w14:textId="177CC679" w:rsidR="00DD39BC" w:rsidRPr="00DD39BC" w:rsidRDefault="00DD39BC" w:rsidP="00DD39BC">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(Note 9)</w:t>
            </w:r>
          </w:p>
        </w:tc>
        <w:tc>
          <w:tcPr>
            <w:tcW w:w="1134" w:type="dxa"/>
            <w:tcBorders>
              <w:top w:val="nil"/>
              <w:left w:val="nil"/>
              <w:bottom w:val="nil"/>
              <w:right w:val="nil"/>
            </w:tcBorders>
            <w:shd w:val="clear" w:color="000000" w:fill="CCECFF"/>
            <w:vAlign w:val="bottom"/>
            <w:hideMark/>
          </w:tcPr>
          <w:p w14:paraId="3FDFF7BF" w14:textId="158DFF3E" w:rsidR="00DD39BC" w:rsidRPr="00DD39BC" w:rsidRDefault="00DD39BC" w:rsidP="00BE624E">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 </w:t>
            </w:r>
            <w:r w:rsidR="00BE624E">
              <w:rPr>
                <w:rFonts w:eastAsia="Times New Roman" w:cs="Calibri"/>
                <w:color w:val="auto"/>
                <w:sz w:val="18"/>
                <w:szCs w:val="18"/>
                <w:lang w:eastAsia="en-GB"/>
              </w:rPr>
              <w:t>-</w:t>
            </w:r>
          </w:p>
        </w:tc>
        <w:tc>
          <w:tcPr>
            <w:tcW w:w="960" w:type="dxa"/>
            <w:gridSpan w:val="2"/>
            <w:tcBorders>
              <w:top w:val="nil"/>
              <w:left w:val="nil"/>
              <w:bottom w:val="nil"/>
              <w:right w:val="nil"/>
            </w:tcBorders>
            <w:shd w:val="clear" w:color="000000" w:fill="CCECFF"/>
            <w:vAlign w:val="bottom"/>
            <w:hideMark/>
          </w:tcPr>
          <w:p w14:paraId="0E30338E"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63" w:type="dxa"/>
            <w:gridSpan w:val="2"/>
            <w:tcBorders>
              <w:top w:val="nil"/>
              <w:left w:val="nil"/>
              <w:bottom w:val="nil"/>
              <w:right w:val="nil"/>
            </w:tcBorders>
            <w:shd w:val="clear" w:color="000000" w:fill="CCECFF"/>
            <w:vAlign w:val="bottom"/>
            <w:hideMark/>
          </w:tcPr>
          <w:p w14:paraId="6A3687E7"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1F0B00C1" w14:textId="77777777" w:rsidTr="001B7116">
        <w:trPr>
          <w:gridAfter w:val="1"/>
          <w:wAfter w:w="10" w:type="dxa"/>
          <w:trHeight w:val="45"/>
        </w:trPr>
        <w:tc>
          <w:tcPr>
            <w:tcW w:w="1134" w:type="dxa"/>
            <w:tcBorders>
              <w:top w:val="nil"/>
              <w:left w:val="nil"/>
              <w:bottom w:val="nil"/>
              <w:right w:val="nil"/>
            </w:tcBorders>
            <w:shd w:val="clear" w:color="000000" w:fill="FFFFFF"/>
            <w:vAlign w:val="bottom"/>
            <w:hideMark/>
          </w:tcPr>
          <w:p w14:paraId="6C0ABEE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34AB5BA"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2" w:type="dxa"/>
            <w:tcBorders>
              <w:top w:val="nil"/>
              <w:left w:val="nil"/>
              <w:bottom w:val="nil"/>
              <w:right w:val="nil"/>
            </w:tcBorders>
            <w:shd w:val="clear" w:color="000000" w:fill="FFFFFF"/>
            <w:vAlign w:val="bottom"/>
            <w:hideMark/>
          </w:tcPr>
          <w:p w14:paraId="142A8CB2"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3F64405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34" w:type="dxa"/>
            <w:tcBorders>
              <w:top w:val="nil"/>
              <w:left w:val="nil"/>
              <w:bottom w:val="single" w:sz="4" w:space="0" w:color="auto"/>
              <w:right w:val="nil"/>
            </w:tcBorders>
            <w:shd w:val="clear" w:color="000000" w:fill="CCECFF"/>
            <w:vAlign w:val="bottom"/>
            <w:hideMark/>
          </w:tcPr>
          <w:p w14:paraId="0404FB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gridSpan w:val="2"/>
            <w:tcBorders>
              <w:top w:val="nil"/>
              <w:left w:val="nil"/>
              <w:bottom w:val="single" w:sz="4" w:space="0" w:color="auto"/>
              <w:right w:val="nil"/>
            </w:tcBorders>
            <w:shd w:val="clear" w:color="000000" w:fill="CCECFF"/>
            <w:vAlign w:val="bottom"/>
            <w:hideMark/>
          </w:tcPr>
          <w:p w14:paraId="4E31830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3" w:type="dxa"/>
            <w:gridSpan w:val="2"/>
            <w:tcBorders>
              <w:top w:val="nil"/>
              <w:left w:val="nil"/>
              <w:bottom w:val="single" w:sz="4" w:space="0" w:color="auto"/>
              <w:right w:val="nil"/>
            </w:tcBorders>
            <w:shd w:val="clear" w:color="000000" w:fill="CCECFF"/>
            <w:vAlign w:val="bottom"/>
            <w:hideMark/>
          </w:tcPr>
          <w:p w14:paraId="5C7C13A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38248E81" w14:textId="77777777" w:rsidTr="001B7116">
        <w:trPr>
          <w:gridAfter w:val="1"/>
          <w:wAfter w:w="10" w:type="dxa"/>
          <w:trHeight w:val="244"/>
        </w:trPr>
        <w:tc>
          <w:tcPr>
            <w:tcW w:w="1134" w:type="dxa"/>
            <w:tcBorders>
              <w:top w:val="single" w:sz="4" w:space="0" w:color="auto"/>
              <w:left w:val="nil"/>
              <w:bottom w:val="single" w:sz="4" w:space="0" w:color="auto"/>
              <w:right w:val="nil"/>
            </w:tcBorders>
            <w:shd w:val="clear" w:color="000000" w:fill="FFFFFF"/>
            <w:vAlign w:val="bottom"/>
            <w:hideMark/>
          </w:tcPr>
          <w:p w14:paraId="0428B519"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231,217</w:t>
            </w:r>
          </w:p>
        </w:tc>
        <w:tc>
          <w:tcPr>
            <w:tcW w:w="961" w:type="dxa"/>
            <w:tcBorders>
              <w:top w:val="single" w:sz="4" w:space="0" w:color="auto"/>
              <w:left w:val="nil"/>
              <w:bottom w:val="single" w:sz="4" w:space="0" w:color="auto"/>
              <w:right w:val="nil"/>
            </w:tcBorders>
            <w:shd w:val="clear" w:color="000000" w:fill="FFFFFF"/>
            <w:vAlign w:val="bottom"/>
            <w:hideMark/>
          </w:tcPr>
          <w:p w14:paraId="28B8306A"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(178,172)</w:t>
            </w:r>
          </w:p>
        </w:tc>
        <w:tc>
          <w:tcPr>
            <w:tcW w:w="962" w:type="dxa"/>
            <w:tcBorders>
              <w:top w:val="single" w:sz="4" w:space="0" w:color="auto"/>
              <w:left w:val="nil"/>
              <w:bottom w:val="single" w:sz="4" w:space="0" w:color="auto"/>
              <w:right w:val="nil"/>
            </w:tcBorders>
            <w:shd w:val="clear" w:color="000000" w:fill="FFFFFF"/>
            <w:vAlign w:val="bottom"/>
            <w:hideMark/>
          </w:tcPr>
          <w:p w14:paraId="3D260C0E"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3660" w:type="dxa"/>
            <w:tcBorders>
              <w:top w:val="nil"/>
              <w:left w:val="nil"/>
              <w:bottom w:val="nil"/>
              <w:right w:val="nil"/>
            </w:tcBorders>
            <w:shd w:val="clear" w:color="000000" w:fill="FFFFFF"/>
            <w:vAlign w:val="bottom"/>
            <w:hideMark/>
          </w:tcPr>
          <w:p w14:paraId="77A93BB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Surplus or Deficit on Provision of Services</w:t>
            </w:r>
          </w:p>
        </w:tc>
        <w:tc>
          <w:tcPr>
            <w:tcW w:w="1134" w:type="dxa"/>
            <w:tcBorders>
              <w:top w:val="nil"/>
              <w:left w:val="nil"/>
              <w:bottom w:val="single" w:sz="4" w:space="0" w:color="auto"/>
              <w:right w:val="nil"/>
            </w:tcBorders>
            <w:shd w:val="clear" w:color="000000" w:fill="CCECFF"/>
            <w:vAlign w:val="center"/>
            <w:hideMark/>
          </w:tcPr>
          <w:p w14:paraId="3265CCE1"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227,191</w:t>
            </w:r>
          </w:p>
        </w:tc>
        <w:tc>
          <w:tcPr>
            <w:tcW w:w="960" w:type="dxa"/>
            <w:gridSpan w:val="2"/>
            <w:tcBorders>
              <w:top w:val="nil"/>
              <w:left w:val="nil"/>
              <w:bottom w:val="single" w:sz="4" w:space="0" w:color="auto"/>
              <w:right w:val="nil"/>
            </w:tcBorders>
            <w:shd w:val="clear" w:color="000000" w:fill="CCECFF"/>
            <w:vAlign w:val="center"/>
            <w:hideMark/>
          </w:tcPr>
          <w:p w14:paraId="06719A1A"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(202,794)</w:t>
            </w:r>
          </w:p>
        </w:tc>
        <w:tc>
          <w:tcPr>
            <w:tcW w:w="963" w:type="dxa"/>
            <w:gridSpan w:val="2"/>
            <w:tcBorders>
              <w:top w:val="nil"/>
              <w:left w:val="nil"/>
              <w:bottom w:val="single" w:sz="4" w:space="0" w:color="auto"/>
              <w:right w:val="nil"/>
            </w:tcBorders>
            <w:shd w:val="clear" w:color="000000" w:fill="CCECFF"/>
            <w:vAlign w:val="center"/>
            <w:hideMark/>
          </w:tcPr>
          <w:p w14:paraId="4F317A10"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r>
      <w:tr w:rsidR="00DD39BC" w:rsidRPr="00DD39BC" w14:paraId="3D26D5ED" w14:textId="77777777" w:rsidTr="001B7116">
        <w:trPr>
          <w:trHeight w:val="244"/>
        </w:trPr>
        <w:tc>
          <w:tcPr>
            <w:tcW w:w="1134" w:type="dxa"/>
            <w:tcBorders>
              <w:top w:val="nil"/>
              <w:left w:val="nil"/>
              <w:bottom w:val="nil"/>
              <w:right w:val="nil"/>
            </w:tcBorders>
            <w:shd w:val="clear" w:color="000000" w:fill="FFFFFF"/>
            <w:vAlign w:val="bottom"/>
            <w:hideMark/>
          </w:tcPr>
          <w:p w14:paraId="6D7BCAC5"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411ED49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2" w:type="dxa"/>
            <w:tcBorders>
              <w:top w:val="nil"/>
              <w:left w:val="nil"/>
              <w:bottom w:val="nil"/>
              <w:right w:val="nil"/>
            </w:tcBorders>
            <w:shd w:val="clear" w:color="000000" w:fill="FFFFFF"/>
            <w:vAlign w:val="bottom"/>
            <w:hideMark/>
          </w:tcPr>
          <w:p w14:paraId="56CE636B"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3660" w:type="dxa"/>
            <w:tcBorders>
              <w:top w:val="nil"/>
              <w:left w:val="nil"/>
              <w:bottom w:val="nil"/>
              <w:right w:val="nil"/>
            </w:tcBorders>
            <w:shd w:val="clear" w:color="000000" w:fill="FFFFFF"/>
            <w:noWrap/>
            <w:vAlign w:val="bottom"/>
            <w:hideMark/>
          </w:tcPr>
          <w:p w14:paraId="46C8F369" w14:textId="68075870"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xml:space="preserve">Surplus or </w:t>
            </w:r>
            <w:r w:rsidR="00A965CE">
              <w:rPr>
                <w:rFonts w:eastAsia="Times New Roman" w:cs="Calibri"/>
                <w:color w:val="auto"/>
                <w:sz w:val="18"/>
                <w:szCs w:val="18"/>
                <w:lang w:eastAsia="en-GB"/>
              </w:rPr>
              <w:t>(</w:t>
            </w:r>
            <w:r w:rsidRPr="00DD39BC">
              <w:rPr>
                <w:rFonts w:eastAsia="Times New Roman" w:cs="Calibri"/>
                <w:color w:val="auto"/>
                <w:sz w:val="18"/>
                <w:szCs w:val="18"/>
                <w:lang w:eastAsia="en-GB"/>
              </w:rPr>
              <w:t>Deficit</w:t>
            </w:r>
            <w:r w:rsidR="00A965CE">
              <w:rPr>
                <w:rFonts w:eastAsia="Times New Roman" w:cs="Calibri"/>
                <w:color w:val="auto"/>
                <w:sz w:val="18"/>
                <w:szCs w:val="18"/>
                <w:lang w:eastAsia="en-GB"/>
              </w:rPr>
              <w:t>)</w:t>
            </w:r>
            <w:r w:rsidRPr="00DD39BC">
              <w:rPr>
                <w:rFonts w:eastAsia="Times New Roman" w:cs="Calibri"/>
                <w:color w:val="auto"/>
                <w:sz w:val="18"/>
                <w:szCs w:val="18"/>
                <w:lang w:eastAsia="en-GB"/>
              </w:rPr>
              <w:t xml:space="preserve"> on Revaluation of Non-Current Assets</w:t>
            </w:r>
          </w:p>
        </w:tc>
        <w:tc>
          <w:tcPr>
            <w:tcW w:w="1144" w:type="dxa"/>
            <w:gridSpan w:val="2"/>
            <w:tcBorders>
              <w:top w:val="nil"/>
              <w:left w:val="nil"/>
              <w:bottom w:val="nil"/>
              <w:right w:val="nil"/>
            </w:tcBorders>
            <w:shd w:val="clear" w:color="000000" w:fill="FFFFFF"/>
            <w:vAlign w:val="bottom"/>
            <w:hideMark/>
          </w:tcPr>
          <w:p w14:paraId="262EE06F"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6F64BB4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3" w:type="dxa"/>
            <w:gridSpan w:val="2"/>
            <w:tcBorders>
              <w:top w:val="nil"/>
              <w:left w:val="nil"/>
              <w:bottom w:val="nil"/>
              <w:right w:val="nil"/>
            </w:tcBorders>
            <w:shd w:val="clear" w:color="000000" w:fill="CCECFF"/>
            <w:vAlign w:val="bottom"/>
            <w:hideMark/>
          </w:tcPr>
          <w:p w14:paraId="067121B5"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DD39BC" w:rsidRPr="00DD39BC" w14:paraId="683F9A09" w14:textId="77777777" w:rsidTr="001B7116">
        <w:trPr>
          <w:trHeight w:val="244"/>
        </w:trPr>
        <w:tc>
          <w:tcPr>
            <w:tcW w:w="1134" w:type="dxa"/>
            <w:tcBorders>
              <w:top w:val="nil"/>
              <w:left w:val="nil"/>
              <w:bottom w:val="nil"/>
              <w:right w:val="nil"/>
            </w:tcBorders>
            <w:shd w:val="clear" w:color="000000" w:fill="FFFFFF"/>
            <w:vAlign w:val="bottom"/>
            <w:hideMark/>
          </w:tcPr>
          <w:p w14:paraId="15E9AF48"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40F609E4"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2" w:type="dxa"/>
            <w:tcBorders>
              <w:top w:val="nil"/>
              <w:left w:val="nil"/>
              <w:bottom w:val="nil"/>
              <w:right w:val="nil"/>
            </w:tcBorders>
            <w:shd w:val="clear" w:color="000000" w:fill="FFFFFF"/>
            <w:vAlign w:val="bottom"/>
            <w:hideMark/>
          </w:tcPr>
          <w:p w14:paraId="39E6342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(536,713)</w:t>
            </w:r>
          </w:p>
        </w:tc>
        <w:tc>
          <w:tcPr>
            <w:tcW w:w="3660" w:type="dxa"/>
            <w:tcBorders>
              <w:top w:val="nil"/>
              <w:left w:val="nil"/>
              <w:bottom w:val="nil"/>
              <w:right w:val="nil"/>
            </w:tcBorders>
            <w:shd w:val="clear" w:color="000000" w:fill="FFFFFF"/>
            <w:noWrap/>
            <w:vAlign w:val="bottom"/>
            <w:hideMark/>
          </w:tcPr>
          <w:p w14:paraId="4F6BFBE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Actuarial Gains/Losses on Pension Schemes</w:t>
            </w:r>
          </w:p>
        </w:tc>
        <w:tc>
          <w:tcPr>
            <w:tcW w:w="1144" w:type="dxa"/>
            <w:gridSpan w:val="2"/>
            <w:tcBorders>
              <w:top w:val="nil"/>
              <w:left w:val="nil"/>
              <w:bottom w:val="nil"/>
              <w:right w:val="nil"/>
            </w:tcBorders>
            <w:shd w:val="clear" w:color="000000" w:fill="FFFFFF"/>
            <w:vAlign w:val="bottom"/>
            <w:hideMark/>
          </w:tcPr>
          <w:p w14:paraId="7CABEC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6A9D59B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3" w:type="dxa"/>
            <w:gridSpan w:val="2"/>
            <w:tcBorders>
              <w:top w:val="nil"/>
              <w:left w:val="nil"/>
              <w:bottom w:val="nil"/>
              <w:right w:val="nil"/>
            </w:tcBorders>
            <w:shd w:val="clear" w:color="000000" w:fill="CCECFF"/>
            <w:vAlign w:val="bottom"/>
            <w:hideMark/>
          </w:tcPr>
          <w:p w14:paraId="3188CD7A" w14:textId="77777777" w:rsidR="00DD39BC" w:rsidRPr="00DD39BC" w:rsidRDefault="00DD39BC" w:rsidP="00DD39BC">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13,808</w:t>
            </w:r>
          </w:p>
        </w:tc>
      </w:tr>
      <w:tr w:rsidR="00DD39BC" w:rsidRPr="00DD39BC" w14:paraId="3492000E" w14:textId="77777777" w:rsidTr="001B7116">
        <w:trPr>
          <w:trHeight w:val="61"/>
        </w:trPr>
        <w:tc>
          <w:tcPr>
            <w:tcW w:w="1134" w:type="dxa"/>
            <w:tcBorders>
              <w:top w:val="nil"/>
              <w:left w:val="nil"/>
              <w:bottom w:val="nil"/>
              <w:right w:val="nil"/>
            </w:tcBorders>
            <w:shd w:val="clear" w:color="000000" w:fill="FFFFFF"/>
            <w:vAlign w:val="bottom"/>
            <w:hideMark/>
          </w:tcPr>
          <w:p w14:paraId="6B05278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1" w:type="dxa"/>
            <w:tcBorders>
              <w:top w:val="nil"/>
              <w:left w:val="nil"/>
              <w:bottom w:val="nil"/>
              <w:right w:val="nil"/>
            </w:tcBorders>
            <w:shd w:val="clear" w:color="000000" w:fill="FFFFFF"/>
            <w:vAlign w:val="bottom"/>
            <w:hideMark/>
          </w:tcPr>
          <w:p w14:paraId="3FC970B5"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2" w:type="dxa"/>
            <w:tcBorders>
              <w:top w:val="nil"/>
              <w:left w:val="nil"/>
              <w:bottom w:val="nil"/>
              <w:right w:val="nil"/>
            </w:tcBorders>
            <w:shd w:val="clear" w:color="000000" w:fill="FFFFFF"/>
            <w:vAlign w:val="bottom"/>
            <w:hideMark/>
          </w:tcPr>
          <w:p w14:paraId="2DF5988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41E89B61"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44" w:type="dxa"/>
            <w:gridSpan w:val="2"/>
            <w:tcBorders>
              <w:top w:val="nil"/>
              <w:left w:val="nil"/>
              <w:bottom w:val="nil"/>
              <w:right w:val="nil"/>
            </w:tcBorders>
            <w:shd w:val="clear" w:color="000000" w:fill="FFFFFF"/>
            <w:vAlign w:val="bottom"/>
            <w:hideMark/>
          </w:tcPr>
          <w:p w14:paraId="139D9E26"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20C8DD57"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63" w:type="dxa"/>
            <w:gridSpan w:val="2"/>
            <w:tcBorders>
              <w:top w:val="nil"/>
              <w:left w:val="nil"/>
              <w:bottom w:val="single" w:sz="4" w:space="0" w:color="auto"/>
              <w:right w:val="nil"/>
            </w:tcBorders>
            <w:shd w:val="clear" w:color="000000" w:fill="CCECFF"/>
            <w:vAlign w:val="bottom"/>
            <w:hideMark/>
          </w:tcPr>
          <w:p w14:paraId="54E01BA9"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7A0ACDD8" w14:textId="77777777" w:rsidTr="001B7116">
        <w:trPr>
          <w:trHeight w:val="244"/>
        </w:trPr>
        <w:tc>
          <w:tcPr>
            <w:tcW w:w="1134" w:type="dxa"/>
            <w:tcBorders>
              <w:top w:val="nil"/>
              <w:left w:val="nil"/>
              <w:bottom w:val="nil"/>
              <w:right w:val="nil"/>
            </w:tcBorders>
            <w:shd w:val="clear" w:color="000000" w:fill="FFFFFF"/>
            <w:vAlign w:val="bottom"/>
            <w:hideMark/>
          </w:tcPr>
          <w:p w14:paraId="6018F4DF"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3876FC68"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2" w:type="dxa"/>
            <w:tcBorders>
              <w:top w:val="single" w:sz="4" w:space="0" w:color="auto"/>
              <w:left w:val="nil"/>
              <w:bottom w:val="single" w:sz="4" w:space="0" w:color="auto"/>
              <w:right w:val="nil"/>
            </w:tcBorders>
            <w:shd w:val="clear" w:color="000000" w:fill="FFFFFF"/>
            <w:vAlign w:val="center"/>
            <w:hideMark/>
          </w:tcPr>
          <w:p w14:paraId="47BE031D"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(536,713)</w:t>
            </w:r>
          </w:p>
        </w:tc>
        <w:tc>
          <w:tcPr>
            <w:tcW w:w="3660" w:type="dxa"/>
            <w:tcBorders>
              <w:top w:val="nil"/>
              <w:left w:val="nil"/>
              <w:bottom w:val="nil"/>
              <w:right w:val="nil"/>
            </w:tcBorders>
            <w:shd w:val="clear" w:color="000000" w:fill="FFFFFF"/>
            <w:vAlign w:val="bottom"/>
            <w:hideMark/>
          </w:tcPr>
          <w:p w14:paraId="5F8A4780"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Other Comprehensive Income and Expenditure</w:t>
            </w:r>
          </w:p>
        </w:tc>
        <w:tc>
          <w:tcPr>
            <w:tcW w:w="1144" w:type="dxa"/>
            <w:gridSpan w:val="2"/>
            <w:tcBorders>
              <w:top w:val="nil"/>
              <w:left w:val="nil"/>
              <w:bottom w:val="nil"/>
              <w:right w:val="nil"/>
            </w:tcBorders>
            <w:shd w:val="clear" w:color="000000" w:fill="FFFFFF"/>
            <w:vAlign w:val="bottom"/>
            <w:hideMark/>
          </w:tcPr>
          <w:p w14:paraId="56E5DCC7"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4B53B1FB"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3" w:type="dxa"/>
            <w:gridSpan w:val="2"/>
            <w:tcBorders>
              <w:top w:val="nil"/>
              <w:left w:val="nil"/>
              <w:bottom w:val="single" w:sz="4" w:space="0" w:color="auto"/>
              <w:right w:val="nil"/>
            </w:tcBorders>
            <w:shd w:val="clear" w:color="000000" w:fill="CCECFF"/>
            <w:vAlign w:val="center"/>
            <w:hideMark/>
          </w:tcPr>
          <w:p w14:paraId="64DFD567"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13,808</w:t>
            </w:r>
          </w:p>
        </w:tc>
      </w:tr>
      <w:tr w:rsidR="00DD39BC" w:rsidRPr="00DD39BC" w14:paraId="0CCCC110" w14:textId="77777777" w:rsidTr="001B7116">
        <w:trPr>
          <w:trHeight w:val="45"/>
        </w:trPr>
        <w:tc>
          <w:tcPr>
            <w:tcW w:w="1134" w:type="dxa"/>
            <w:tcBorders>
              <w:top w:val="nil"/>
              <w:left w:val="nil"/>
              <w:bottom w:val="nil"/>
              <w:right w:val="nil"/>
            </w:tcBorders>
            <w:shd w:val="clear" w:color="000000" w:fill="FFFFFF"/>
            <w:vAlign w:val="bottom"/>
            <w:hideMark/>
          </w:tcPr>
          <w:p w14:paraId="0B87DA39"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75CB6ED5"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2" w:type="dxa"/>
            <w:tcBorders>
              <w:top w:val="nil"/>
              <w:left w:val="nil"/>
              <w:bottom w:val="nil"/>
              <w:right w:val="nil"/>
            </w:tcBorders>
            <w:shd w:val="clear" w:color="000000" w:fill="FFFFFF"/>
            <w:vAlign w:val="center"/>
            <w:hideMark/>
          </w:tcPr>
          <w:p w14:paraId="1867CF14"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3660" w:type="dxa"/>
            <w:tcBorders>
              <w:top w:val="nil"/>
              <w:left w:val="nil"/>
              <w:bottom w:val="nil"/>
              <w:right w:val="nil"/>
            </w:tcBorders>
            <w:shd w:val="clear" w:color="000000" w:fill="FFFFFF"/>
            <w:noWrap/>
            <w:vAlign w:val="bottom"/>
            <w:hideMark/>
          </w:tcPr>
          <w:p w14:paraId="617FE2BE"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1144" w:type="dxa"/>
            <w:gridSpan w:val="2"/>
            <w:tcBorders>
              <w:top w:val="nil"/>
              <w:left w:val="nil"/>
              <w:bottom w:val="nil"/>
              <w:right w:val="nil"/>
            </w:tcBorders>
            <w:shd w:val="clear" w:color="000000" w:fill="FFFFFF"/>
            <w:vAlign w:val="bottom"/>
            <w:hideMark/>
          </w:tcPr>
          <w:p w14:paraId="022A80DF"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339EA96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3" w:type="dxa"/>
            <w:gridSpan w:val="2"/>
            <w:tcBorders>
              <w:top w:val="nil"/>
              <w:left w:val="nil"/>
              <w:bottom w:val="single" w:sz="4" w:space="0" w:color="auto"/>
              <w:right w:val="nil"/>
            </w:tcBorders>
            <w:shd w:val="clear" w:color="000000" w:fill="CCECFF"/>
            <w:vAlign w:val="bottom"/>
            <w:hideMark/>
          </w:tcPr>
          <w:p w14:paraId="68D6A033" w14:textId="77777777" w:rsidR="00DD39BC" w:rsidRPr="00DD39BC" w:rsidRDefault="00DD39BC" w:rsidP="00DD39BC">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DD39BC" w:rsidRPr="00DD39BC" w14:paraId="210B4A03" w14:textId="77777777" w:rsidTr="001B7116">
        <w:trPr>
          <w:trHeight w:val="244"/>
        </w:trPr>
        <w:tc>
          <w:tcPr>
            <w:tcW w:w="1134" w:type="dxa"/>
            <w:tcBorders>
              <w:top w:val="nil"/>
              <w:left w:val="nil"/>
              <w:bottom w:val="nil"/>
              <w:right w:val="nil"/>
            </w:tcBorders>
            <w:shd w:val="clear" w:color="000000" w:fill="FFFFFF"/>
            <w:vAlign w:val="bottom"/>
            <w:hideMark/>
          </w:tcPr>
          <w:p w14:paraId="261731F2"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1" w:type="dxa"/>
            <w:tcBorders>
              <w:top w:val="nil"/>
              <w:left w:val="nil"/>
              <w:bottom w:val="nil"/>
              <w:right w:val="nil"/>
            </w:tcBorders>
            <w:shd w:val="clear" w:color="000000" w:fill="FFFFFF"/>
            <w:vAlign w:val="bottom"/>
            <w:hideMark/>
          </w:tcPr>
          <w:p w14:paraId="62E3CE0E"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2" w:type="dxa"/>
            <w:tcBorders>
              <w:top w:val="single" w:sz="4" w:space="0" w:color="auto"/>
              <w:left w:val="nil"/>
              <w:bottom w:val="single" w:sz="4" w:space="0" w:color="auto"/>
              <w:right w:val="nil"/>
            </w:tcBorders>
            <w:shd w:val="clear" w:color="000000" w:fill="FFFFFF"/>
            <w:vAlign w:val="center"/>
            <w:hideMark/>
          </w:tcPr>
          <w:p w14:paraId="5864D151" w14:textId="77777777" w:rsidR="00DD39BC" w:rsidRPr="00DD39BC" w:rsidRDefault="00DD39BC" w:rsidP="00BE624E">
            <w:pPr>
              <w:spacing w:line="240" w:lineRule="auto"/>
              <w:jc w:val="right"/>
              <w:rPr>
                <w:rFonts w:eastAsia="Times New Roman" w:cs="Calibri"/>
                <w:b/>
                <w:bCs/>
                <w:color w:val="auto"/>
                <w:sz w:val="18"/>
                <w:szCs w:val="18"/>
                <w:lang w:eastAsia="en-GB"/>
              </w:rPr>
            </w:pPr>
            <w:r w:rsidRPr="00DD39BC">
              <w:rPr>
                <w:rFonts w:eastAsia="Times New Roman" w:cs="Calibri"/>
                <w:b/>
                <w:bCs/>
                <w:color w:val="000000"/>
                <w:sz w:val="18"/>
                <w:szCs w:val="18"/>
                <w:lang w:eastAsia="en-GB"/>
              </w:rPr>
              <w:t>(483,668)</w:t>
            </w:r>
          </w:p>
        </w:tc>
        <w:tc>
          <w:tcPr>
            <w:tcW w:w="3660" w:type="dxa"/>
            <w:tcBorders>
              <w:top w:val="nil"/>
              <w:left w:val="nil"/>
              <w:bottom w:val="nil"/>
              <w:right w:val="nil"/>
            </w:tcBorders>
            <w:shd w:val="clear" w:color="000000" w:fill="FFFFFF"/>
            <w:noWrap/>
            <w:vAlign w:val="bottom"/>
            <w:hideMark/>
          </w:tcPr>
          <w:p w14:paraId="2EBEEF49"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Total Comprehensive Income and Expenditure</w:t>
            </w:r>
          </w:p>
        </w:tc>
        <w:tc>
          <w:tcPr>
            <w:tcW w:w="1144" w:type="dxa"/>
            <w:gridSpan w:val="2"/>
            <w:tcBorders>
              <w:top w:val="nil"/>
              <w:left w:val="nil"/>
              <w:bottom w:val="nil"/>
              <w:right w:val="nil"/>
            </w:tcBorders>
            <w:shd w:val="clear" w:color="000000" w:fill="FFFFFF"/>
            <w:vAlign w:val="bottom"/>
            <w:hideMark/>
          </w:tcPr>
          <w:p w14:paraId="6DEE9BB5"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0" w:type="dxa"/>
            <w:gridSpan w:val="2"/>
            <w:tcBorders>
              <w:top w:val="nil"/>
              <w:left w:val="nil"/>
              <w:bottom w:val="nil"/>
              <w:right w:val="nil"/>
            </w:tcBorders>
            <w:shd w:val="clear" w:color="000000" w:fill="FFFFFF"/>
            <w:vAlign w:val="bottom"/>
            <w:hideMark/>
          </w:tcPr>
          <w:p w14:paraId="75D866F0" w14:textId="77777777" w:rsidR="00DD39BC" w:rsidRPr="00DD39BC" w:rsidRDefault="00DD39BC" w:rsidP="00DD39BC">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w:t>
            </w:r>
          </w:p>
        </w:tc>
        <w:tc>
          <w:tcPr>
            <w:tcW w:w="963" w:type="dxa"/>
            <w:gridSpan w:val="2"/>
            <w:tcBorders>
              <w:top w:val="nil"/>
              <w:left w:val="nil"/>
              <w:bottom w:val="single" w:sz="4" w:space="0" w:color="auto"/>
              <w:right w:val="nil"/>
            </w:tcBorders>
            <w:shd w:val="clear" w:color="000000" w:fill="CCECFF"/>
            <w:vAlign w:val="center"/>
            <w:hideMark/>
          </w:tcPr>
          <w:p w14:paraId="09F1EC84" w14:textId="77777777" w:rsidR="00DD39BC" w:rsidRPr="00DD39BC" w:rsidRDefault="00DD39BC" w:rsidP="00DD39BC">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38,205</w:t>
            </w:r>
          </w:p>
        </w:tc>
      </w:tr>
    </w:tbl>
    <w:p w14:paraId="13DB2F9A" w14:textId="698E6BB8" w:rsidR="009909DC" w:rsidRPr="004E15D4" w:rsidRDefault="009909DC" w:rsidP="00C60BA1">
      <w:pPr>
        <w:spacing w:line="240" w:lineRule="auto"/>
        <w:jc w:val="left"/>
        <w:rPr>
          <w:sz w:val="18"/>
          <w:szCs w:val="18"/>
          <w:lang w:val="pt-BR"/>
        </w:rPr>
      </w:pPr>
    </w:p>
    <w:p w14:paraId="3F0FA2D0" w14:textId="77777777" w:rsidR="009909DC" w:rsidRDefault="009909DC" w:rsidP="00A71646">
      <w:pPr>
        <w:rPr>
          <w:lang w:val="pt-BR"/>
        </w:rPr>
      </w:pPr>
    </w:p>
    <w:p w14:paraId="69947EE6" w14:textId="77777777" w:rsidR="009909DC" w:rsidRDefault="009909DC" w:rsidP="00A71646">
      <w:pPr>
        <w:rPr>
          <w:lang w:val="pt-BR"/>
        </w:rPr>
      </w:pPr>
    </w:p>
    <w:p w14:paraId="0EE5D634" w14:textId="77777777" w:rsidR="009909DC" w:rsidRDefault="009909DC" w:rsidP="00C60BA1">
      <w:pPr>
        <w:spacing w:line="240" w:lineRule="auto"/>
        <w:jc w:val="left"/>
        <w:rPr>
          <w:rFonts w:asciiTheme="minorHAnsi" w:eastAsia="Times New Roman" w:hAnsiTheme="minorHAnsi" w:cs="Times New Roman"/>
          <w:b/>
          <w:bCs/>
          <w:smallCaps/>
          <w:color w:val="25316C"/>
          <w:sz w:val="36"/>
          <w:lang w:val="pt-BR"/>
        </w:rPr>
      </w:pPr>
      <w:r>
        <w:rPr>
          <w:lang w:val="pt-BR"/>
        </w:rPr>
        <w:br w:type="page"/>
      </w:r>
    </w:p>
    <w:p w14:paraId="3BE07832" w14:textId="3A5EDAB4" w:rsidR="002522D4" w:rsidRPr="00F5122B" w:rsidRDefault="002522D4" w:rsidP="00C60BA1">
      <w:pPr>
        <w:pStyle w:val="ChapterHeading"/>
        <w:rPr>
          <w:lang w:val="pt-BR"/>
        </w:rPr>
      </w:pPr>
      <w:bookmarkStart w:id="68" w:name="_Toc191281427"/>
      <w:r w:rsidRPr="00F5122B">
        <w:rPr>
          <w:lang w:val="pt-BR"/>
        </w:rPr>
        <w:lastRenderedPageBreak/>
        <w:t>Balance Sheet</w:t>
      </w:r>
      <w:bookmarkEnd w:id="67"/>
      <w:bookmarkEnd w:id="68"/>
    </w:p>
    <w:p w14:paraId="2D6FDB8D" w14:textId="77777777" w:rsidR="002522D4" w:rsidRPr="00F5122B" w:rsidRDefault="002522D4" w:rsidP="00C60BA1">
      <w:pPr>
        <w:rPr>
          <w:lang w:val="pt-BR"/>
        </w:rPr>
      </w:pPr>
    </w:p>
    <w:p w14:paraId="37466B58" w14:textId="10E1CB72" w:rsidR="002522D4" w:rsidRDefault="002522D4" w:rsidP="00C60BA1">
      <w:pPr>
        <w:rPr>
          <w:lang w:val="pt-BR"/>
        </w:rPr>
      </w:pPr>
      <w:r w:rsidRPr="00F5122B">
        <w:rPr>
          <w:lang w:val="pt-BR"/>
        </w:rPr>
        <w:t xml:space="preserve">This account shows the overall financial position of the </w:t>
      </w:r>
      <w:r w:rsidR="006A5AA6" w:rsidRPr="00F5122B">
        <w:rPr>
          <w:lang w:val="pt-BR"/>
        </w:rPr>
        <w:t>OCC</w:t>
      </w:r>
      <w:r w:rsidR="00A14CAC" w:rsidRPr="00F5122B">
        <w:rPr>
          <w:lang w:val="pt-BR"/>
        </w:rPr>
        <w:t xml:space="preserve"> </w:t>
      </w:r>
      <w:r w:rsidR="00A25C40">
        <w:rPr>
          <w:lang w:eastAsia="en-GB"/>
        </w:rPr>
        <w:t>at 31</w:t>
      </w:r>
      <w:r w:rsidR="00A25C40" w:rsidRPr="00454C73">
        <w:rPr>
          <w:vertAlign w:val="superscript"/>
          <w:lang w:eastAsia="en-GB"/>
        </w:rPr>
        <w:t>st</w:t>
      </w:r>
      <w:r w:rsidR="00A25C40">
        <w:rPr>
          <w:lang w:eastAsia="en-GB"/>
        </w:rPr>
        <w:t xml:space="preserve"> March 202</w:t>
      </w:r>
      <w:r w:rsidR="006E06AC">
        <w:rPr>
          <w:lang w:eastAsia="en-GB"/>
        </w:rPr>
        <w:t>4</w:t>
      </w:r>
      <w:r w:rsidRPr="00F5122B">
        <w:rPr>
          <w:lang w:val="pt-BR"/>
        </w:rPr>
        <w:t xml:space="preserve">.  It therefore differs from the other financial accounts shown in this statement in that it deals with the position of the </w:t>
      </w:r>
      <w:r w:rsidR="00423B5F">
        <w:rPr>
          <w:lang w:val="pt-BR"/>
        </w:rPr>
        <w:t>O</w:t>
      </w:r>
      <w:r w:rsidR="00C75713" w:rsidRPr="00F5122B">
        <w:rPr>
          <w:lang w:val="pt-BR"/>
        </w:rPr>
        <w:t>CC</w:t>
      </w:r>
      <w:r w:rsidRPr="00F5122B">
        <w:rPr>
          <w:lang w:val="pt-BR"/>
        </w:rPr>
        <w:t xml:space="preserve"> at the end of the financial year instead of dealing with day-to-day transactions within that financial year.</w:t>
      </w:r>
    </w:p>
    <w:p w14:paraId="7D5DBFF6" w14:textId="77777777" w:rsidR="008E1E6B" w:rsidRPr="00F5122B" w:rsidRDefault="008E1E6B" w:rsidP="00C60BA1">
      <w:pPr>
        <w:rPr>
          <w:lang w:val="pt-BR"/>
        </w:rPr>
      </w:pPr>
    </w:p>
    <w:tbl>
      <w:tblPr>
        <w:tblW w:w="7480" w:type="dxa"/>
        <w:tblLook w:val="04A0" w:firstRow="1" w:lastRow="0" w:firstColumn="1" w:lastColumn="0" w:noHBand="0" w:noVBand="1"/>
      </w:tblPr>
      <w:tblGrid>
        <w:gridCol w:w="1480"/>
        <w:gridCol w:w="2780"/>
        <w:gridCol w:w="1700"/>
        <w:gridCol w:w="1520"/>
      </w:tblGrid>
      <w:tr w:rsidR="00AB43DB" w:rsidRPr="00AB43DB" w14:paraId="4E25055A" w14:textId="77777777" w:rsidTr="00AB43DB">
        <w:trPr>
          <w:trHeight w:val="300"/>
        </w:trPr>
        <w:tc>
          <w:tcPr>
            <w:tcW w:w="1480" w:type="dxa"/>
            <w:tcBorders>
              <w:top w:val="nil"/>
              <w:left w:val="nil"/>
              <w:bottom w:val="nil"/>
              <w:right w:val="nil"/>
            </w:tcBorders>
            <w:shd w:val="clear" w:color="000000" w:fill="000099"/>
            <w:vAlign w:val="bottom"/>
            <w:hideMark/>
          </w:tcPr>
          <w:p w14:paraId="609EAE3D" w14:textId="6BB974AC" w:rsidR="00AB43DB" w:rsidRPr="00AB43DB" w:rsidRDefault="00C357E3" w:rsidP="00AB43DB">
            <w:pPr>
              <w:spacing w:line="240" w:lineRule="auto"/>
              <w:jc w:val="center"/>
              <w:rPr>
                <w:rFonts w:eastAsia="Times New Roman" w:cs="Calibri"/>
                <w:b/>
                <w:bCs/>
                <w:color w:val="FFFFFF"/>
                <w:szCs w:val="20"/>
                <w:lang w:eastAsia="en-GB"/>
              </w:rPr>
            </w:pPr>
            <w:r>
              <w:rPr>
                <w:rFonts w:eastAsia="Times New Roman" w:cs="Calibri"/>
                <w:b/>
                <w:bCs/>
                <w:color w:val="FFFFFF"/>
                <w:szCs w:val="20"/>
                <w:lang w:eastAsia="en-GB"/>
              </w:rPr>
              <w:t>O</w:t>
            </w:r>
            <w:r w:rsidR="00AB43DB" w:rsidRPr="00AB43DB">
              <w:rPr>
                <w:rFonts w:eastAsia="Times New Roman" w:cs="Calibri"/>
                <w:b/>
                <w:bCs/>
                <w:color w:val="FFFFFF"/>
                <w:szCs w:val="20"/>
                <w:lang w:eastAsia="en-GB"/>
              </w:rPr>
              <w:t>CC</w:t>
            </w:r>
          </w:p>
        </w:tc>
        <w:tc>
          <w:tcPr>
            <w:tcW w:w="2780" w:type="dxa"/>
            <w:vMerge w:val="restart"/>
            <w:tcBorders>
              <w:top w:val="nil"/>
              <w:left w:val="nil"/>
              <w:bottom w:val="nil"/>
              <w:right w:val="nil"/>
            </w:tcBorders>
            <w:shd w:val="clear" w:color="000000" w:fill="000099"/>
            <w:vAlign w:val="center"/>
            <w:hideMark/>
          </w:tcPr>
          <w:p w14:paraId="428F4DC6"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700" w:type="dxa"/>
            <w:tcBorders>
              <w:top w:val="nil"/>
              <w:left w:val="nil"/>
              <w:bottom w:val="nil"/>
              <w:right w:val="nil"/>
            </w:tcBorders>
            <w:shd w:val="clear" w:color="000000" w:fill="000099"/>
            <w:vAlign w:val="bottom"/>
            <w:hideMark/>
          </w:tcPr>
          <w:p w14:paraId="0EA78930"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520" w:type="dxa"/>
            <w:tcBorders>
              <w:top w:val="nil"/>
              <w:left w:val="nil"/>
              <w:bottom w:val="nil"/>
              <w:right w:val="nil"/>
            </w:tcBorders>
            <w:shd w:val="clear" w:color="000000" w:fill="000099"/>
            <w:vAlign w:val="bottom"/>
            <w:hideMark/>
          </w:tcPr>
          <w:p w14:paraId="4C46AB43" w14:textId="44BDE212" w:rsidR="00AB43DB" w:rsidRPr="00AB43DB" w:rsidRDefault="00C357E3" w:rsidP="00AB43DB">
            <w:pPr>
              <w:spacing w:line="240" w:lineRule="auto"/>
              <w:jc w:val="center"/>
              <w:rPr>
                <w:rFonts w:eastAsia="Times New Roman" w:cs="Calibri"/>
                <w:b/>
                <w:bCs/>
                <w:color w:val="FFFFFF"/>
                <w:szCs w:val="20"/>
                <w:lang w:eastAsia="en-GB"/>
              </w:rPr>
            </w:pPr>
            <w:r>
              <w:rPr>
                <w:rFonts w:eastAsia="Times New Roman" w:cs="Calibri"/>
                <w:b/>
                <w:bCs/>
                <w:color w:val="FFFFFF"/>
                <w:szCs w:val="20"/>
                <w:lang w:eastAsia="en-GB"/>
              </w:rPr>
              <w:t>O</w:t>
            </w:r>
            <w:r w:rsidR="00AB43DB" w:rsidRPr="00AB43DB">
              <w:rPr>
                <w:rFonts w:eastAsia="Times New Roman" w:cs="Calibri"/>
                <w:b/>
                <w:bCs/>
                <w:color w:val="FFFFFF"/>
                <w:szCs w:val="20"/>
                <w:lang w:eastAsia="en-GB"/>
              </w:rPr>
              <w:t>CC</w:t>
            </w:r>
          </w:p>
        </w:tc>
      </w:tr>
      <w:tr w:rsidR="00AB43DB" w:rsidRPr="00AB43DB" w14:paraId="4B5C16CF" w14:textId="77777777" w:rsidTr="00AB43DB">
        <w:trPr>
          <w:trHeight w:val="300"/>
        </w:trPr>
        <w:tc>
          <w:tcPr>
            <w:tcW w:w="1480" w:type="dxa"/>
            <w:tcBorders>
              <w:top w:val="nil"/>
              <w:left w:val="nil"/>
              <w:bottom w:val="nil"/>
              <w:right w:val="nil"/>
            </w:tcBorders>
            <w:shd w:val="clear" w:color="000000" w:fill="000099"/>
            <w:vAlign w:val="bottom"/>
            <w:hideMark/>
          </w:tcPr>
          <w:p w14:paraId="7D4B29A1"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31/03/2023</w:t>
            </w:r>
          </w:p>
        </w:tc>
        <w:tc>
          <w:tcPr>
            <w:tcW w:w="2780" w:type="dxa"/>
            <w:vMerge/>
            <w:tcBorders>
              <w:top w:val="nil"/>
              <w:left w:val="nil"/>
              <w:bottom w:val="nil"/>
              <w:right w:val="nil"/>
            </w:tcBorders>
            <w:vAlign w:val="center"/>
            <w:hideMark/>
          </w:tcPr>
          <w:p w14:paraId="478900D2" w14:textId="77777777" w:rsidR="00AB43DB" w:rsidRPr="00AB43DB" w:rsidRDefault="00AB43DB" w:rsidP="00AB43DB">
            <w:pPr>
              <w:spacing w:line="240" w:lineRule="auto"/>
              <w:jc w:val="left"/>
              <w:rPr>
                <w:rFonts w:eastAsia="Times New Roman" w:cs="Calibri"/>
                <w:b/>
                <w:bCs/>
                <w:color w:val="FFFFFF"/>
                <w:szCs w:val="20"/>
                <w:lang w:eastAsia="en-GB"/>
              </w:rPr>
            </w:pPr>
          </w:p>
        </w:tc>
        <w:tc>
          <w:tcPr>
            <w:tcW w:w="1700" w:type="dxa"/>
            <w:tcBorders>
              <w:top w:val="nil"/>
              <w:left w:val="nil"/>
              <w:bottom w:val="nil"/>
              <w:right w:val="nil"/>
            </w:tcBorders>
            <w:shd w:val="clear" w:color="000000" w:fill="000099"/>
            <w:vAlign w:val="bottom"/>
            <w:hideMark/>
          </w:tcPr>
          <w:p w14:paraId="6DF15187"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 </w:t>
            </w:r>
          </w:p>
        </w:tc>
        <w:tc>
          <w:tcPr>
            <w:tcW w:w="1520" w:type="dxa"/>
            <w:tcBorders>
              <w:top w:val="nil"/>
              <w:left w:val="nil"/>
              <w:bottom w:val="nil"/>
              <w:right w:val="nil"/>
            </w:tcBorders>
            <w:shd w:val="clear" w:color="000000" w:fill="000099"/>
            <w:vAlign w:val="bottom"/>
            <w:hideMark/>
          </w:tcPr>
          <w:p w14:paraId="5DD18EB1"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31/03/2024</w:t>
            </w:r>
          </w:p>
        </w:tc>
      </w:tr>
      <w:tr w:rsidR="00AB43DB" w:rsidRPr="00AB43DB" w14:paraId="68E3378A" w14:textId="77777777" w:rsidTr="00AB43DB">
        <w:trPr>
          <w:trHeight w:val="300"/>
        </w:trPr>
        <w:tc>
          <w:tcPr>
            <w:tcW w:w="1480" w:type="dxa"/>
            <w:tcBorders>
              <w:top w:val="nil"/>
              <w:left w:val="nil"/>
              <w:bottom w:val="nil"/>
              <w:right w:val="nil"/>
            </w:tcBorders>
            <w:shd w:val="clear" w:color="000000" w:fill="000099"/>
            <w:vAlign w:val="bottom"/>
            <w:hideMark/>
          </w:tcPr>
          <w:p w14:paraId="26E3DC5E"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c>
          <w:tcPr>
            <w:tcW w:w="2780" w:type="dxa"/>
            <w:vMerge/>
            <w:tcBorders>
              <w:top w:val="nil"/>
              <w:left w:val="nil"/>
              <w:bottom w:val="nil"/>
              <w:right w:val="nil"/>
            </w:tcBorders>
            <w:vAlign w:val="center"/>
            <w:hideMark/>
          </w:tcPr>
          <w:p w14:paraId="0E89BB79" w14:textId="77777777" w:rsidR="00AB43DB" w:rsidRPr="00AB43DB" w:rsidRDefault="00AB43DB" w:rsidP="00AB43DB">
            <w:pPr>
              <w:spacing w:line="240" w:lineRule="auto"/>
              <w:jc w:val="left"/>
              <w:rPr>
                <w:rFonts w:eastAsia="Times New Roman" w:cs="Calibri"/>
                <w:b/>
                <w:bCs/>
                <w:color w:val="FFFFFF"/>
                <w:szCs w:val="20"/>
                <w:lang w:eastAsia="en-GB"/>
              </w:rPr>
            </w:pPr>
          </w:p>
        </w:tc>
        <w:tc>
          <w:tcPr>
            <w:tcW w:w="1700" w:type="dxa"/>
            <w:tcBorders>
              <w:top w:val="nil"/>
              <w:left w:val="nil"/>
              <w:bottom w:val="nil"/>
              <w:right w:val="nil"/>
            </w:tcBorders>
            <w:shd w:val="clear" w:color="000000" w:fill="000099"/>
            <w:vAlign w:val="bottom"/>
            <w:hideMark/>
          </w:tcPr>
          <w:p w14:paraId="54E9C2B5"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Note</w:t>
            </w:r>
          </w:p>
        </w:tc>
        <w:tc>
          <w:tcPr>
            <w:tcW w:w="1520" w:type="dxa"/>
            <w:tcBorders>
              <w:top w:val="nil"/>
              <w:left w:val="nil"/>
              <w:bottom w:val="nil"/>
              <w:right w:val="nil"/>
            </w:tcBorders>
            <w:shd w:val="clear" w:color="000000" w:fill="000099"/>
            <w:vAlign w:val="bottom"/>
            <w:hideMark/>
          </w:tcPr>
          <w:p w14:paraId="26DF8AF9" w14:textId="77777777" w:rsidR="00AB43DB" w:rsidRPr="00AB43DB" w:rsidRDefault="00AB43DB" w:rsidP="00AB43DB">
            <w:pPr>
              <w:spacing w:line="240" w:lineRule="auto"/>
              <w:jc w:val="center"/>
              <w:rPr>
                <w:rFonts w:eastAsia="Times New Roman" w:cs="Calibri"/>
                <w:b/>
                <w:bCs/>
                <w:color w:val="FFFFFF"/>
                <w:szCs w:val="20"/>
                <w:lang w:eastAsia="en-GB"/>
              </w:rPr>
            </w:pPr>
            <w:r w:rsidRPr="00AB43DB">
              <w:rPr>
                <w:rFonts w:eastAsia="Times New Roman" w:cs="Calibri"/>
                <w:b/>
                <w:bCs/>
                <w:color w:val="FFFFFF"/>
                <w:szCs w:val="20"/>
                <w:lang w:eastAsia="en-GB"/>
              </w:rPr>
              <w:t>£000</w:t>
            </w:r>
          </w:p>
        </w:tc>
      </w:tr>
      <w:tr w:rsidR="00AB43DB" w:rsidRPr="00AB43DB" w14:paraId="34D30248" w14:textId="77777777" w:rsidTr="00AB43DB">
        <w:trPr>
          <w:trHeight w:val="300"/>
        </w:trPr>
        <w:tc>
          <w:tcPr>
            <w:tcW w:w="1480" w:type="dxa"/>
            <w:tcBorders>
              <w:top w:val="nil"/>
              <w:left w:val="nil"/>
              <w:bottom w:val="nil"/>
              <w:right w:val="nil"/>
            </w:tcBorders>
            <w:shd w:val="clear" w:color="000000" w:fill="FFFFFF"/>
            <w:vAlign w:val="bottom"/>
            <w:hideMark/>
          </w:tcPr>
          <w:p w14:paraId="6FD6951A"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1622FCD6"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Property, Plant and Equipment</w:t>
            </w:r>
          </w:p>
        </w:tc>
        <w:tc>
          <w:tcPr>
            <w:tcW w:w="1700" w:type="dxa"/>
            <w:tcBorders>
              <w:top w:val="nil"/>
              <w:left w:val="nil"/>
              <w:bottom w:val="nil"/>
              <w:right w:val="nil"/>
            </w:tcBorders>
            <w:shd w:val="clear" w:color="000000" w:fill="FFFFFF"/>
            <w:vAlign w:val="bottom"/>
            <w:hideMark/>
          </w:tcPr>
          <w:p w14:paraId="574A50E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18</w:t>
            </w:r>
          </w:p>
        </w:tc>
        <w:tc>
          <w:tcPr>
            <w:tcW w:w="1520" w:type="dxa"/>
            <w:tcBorders>
              <w:top w:val="nil"/>
              <w:left w:val="nil"/>
              <w:bottom w:val="nil"/>
              <w:right w:val="nil"/>
            </w:tcBorders>
            <w:shd w:val="clear" w:color="000000" w:fill="CCECFF"/>
            <w:vAlign w:val="bottom"/>
            <w:hideMark/>
          </w:tcPr>
          <w:p w14:paraId="590F238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9DA6B4E" w14:textId="77777777" w:rsidTr="00AB43DB">
        <w:trPr>
          <w:trHeight w:val="300"/>
        </w:trPr>
        <w:tc>
          <w:tcPr>
            <w:tcW w:w="1480" w:type="dxa"/>
            <w:tcBorders>
              <w:top w:val="nil"/>
              <w:left w:val="nil"/>
              <w:bottom w:val="nil"/>
              <w:right w:val="nil"/>
            </w:tcBorders>
            <w:shd w:val="clear" w:color="000000" w:fill="FFFFFF"/>
            <w:vAlign w:val="bottom"/>
            <w:hideMark/>
          </w:tcPr>
          <w:p w14:paraId="1E0B50E3"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32AC7F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Intangible Assets</w:t>
            </w:r>
          </w:p>
        </w:tc>
        <w:tc>
          <w:tcPr>
            <w:tcW w:w="1700" w:type="dxa"/>
            <w:tcBorders>
              <w:top w:val="nil"/>
              <w:left w:val="nil"/>
              <w:bottom w:val="nil"/>
              <w:right w:val="nil"/>
            </w:tcBorders>
            <w:shd w:val="clear" w:color="000000" w:fill="FFFFFF"/>
            <w:vAlign w:val="bottom"/>
            <w:hideMark/>
          </w:tcPr>
          <w:p w14:paraId="0B453A3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23</w:t>
            </w:r>
          </w:p>
        </w:tc>
        <w:tc>
          <w:tcPr>
            <w:tcW w:w="1520" w:type="dxa"/>
            <w:tcBorders>
              <w:top w:val="nil"/>
              <w:left w:val="nil"/>
              <w:bottom w:val="nil"/>
              <w:right w:val="nil"/>
            </w:tcBorders>
            <w:shd w:val="clear" w:color="000000" w:fill="CCECFF"/>
            <w:vAlign w:val="bottom"/>
            <w:hideMark/>
          </w:tcPr>
          <w:p w14:paraId="79D77618"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66EDAFD" w14:textId="77777777" w:rsidTr="00AB43DB">
        <w:trPr>
          <w:trHeight w:val="300"/>
        </w:trPr>
        <w:tc>
          <w:tcPr>
            <w:tcW w:w="1480" w:type="dxa"/>
            <w:tcBorders>
              <w:top w:val="nil"/>
              <w:left w:val="nil"/>
              <w:bottom w:val="nil"/>
              <w:right w:val="nil"/>
            </w:tcBorders>
            <w:shd w:val="clear" w:color="000000" w:fill="FFFFFF"/>
            <w:vAlign w:val="bottom"/>
            <w:hideMark/>
          </w:tcPr>
          <w:p w14:paraId="2B53817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D9A0B1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Long Term Investments</w:t>
            </w:r>
          </w:p>
        </w:tc>
        <w:tc>
          <w:tcPr>
            <w:tcW w:w="1700" w:type="dxa"/>
            <w:tcBorders>
              <w:top w:val="nil"/>
              <w:left w:val="nil"/>
              <w:bottom w:val="nil"/>
              <w:right w:val="nil"/>
            </w:tcBorders>
            <w:shd w:val="clear" w:color="000000" w:fill="FFFFFF"/>
            <w:vAlign w:val="bottom"/>
            <w:hideMark/>
          </w:tcPr>
          <w:p w14:paraId="59A95EC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51A5F32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A2931C2"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45D40D5A"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2780" w:type="dxa"/>
            <w:tcBorders>
              <w:top w:val="single" w:sz="4" w:space="0" w:color="auto"/>
              <w:left w:val="nil"/>
              <w:bottom w:val="single" w:sz="4" w:space="0" w:color="auto"/>
              <w:right w:val="nil"/>
            </w:tcBorders>
            <w:shd w:val="clear" w:color="000000" w:fill="FFFFFF"/>
            <w:noWrap/>
            <w:vAlign w:val="center"/>
            <w:hideMark/>
          </w:tcPr>
          <w:p w14:paraId="73110FAE"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Long Term Assets</w:t>
            </w:r>
          </w:p>
        </w:tc>
        <w:tc>
          <w:tcPr>
            <w:tcW w:w="1700" w:type="dxa"/>
            <w:tcBorders>
              <w:top w:val="single" w:sz="4" w:space="0" w:color="auto"/>
              <w:left w:val="nil"/>
              <w:bottom w:val="single" w:sz="4" w:space="0" w:color="auto"/>
              <w:right w:val="nil"/>
            </w:tcBorders>
            <w:shd w:val="clear" w:color="000000" w:fill="FFFFFF"/>
            <w:vAlign w:val="bottom"/>
            <w:hideMark/>
          </w:tcPr>
          <w:p w14:paraId="70938C2E"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6775B838"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27A2302A" w14:textId="77777777" w:rsidTr="00AB43DB">
        <w:trPr>
          <w:trHeight w:val="300"/>
        </w:trPr>
        <w:tc>
          <w:tcPr>
            <w:tcW w:w="1480" w:type="dxa"/>
            <w:tcBorders>
              <w:top w:val="nil"/>
              <w:left w:val="nil"/>
              <w:bottom w:val="nil"/>
              <w:right w:val="nil"/>
            </w:tcBorders>
            <w:shd w:val="clear" w:color="000000" w:fill="FFFFFF"/>
            <w:vAlign w:val="bottom"/>
            <w:hideMark/>
          </w:tcPr>
          <w:p w14:paraId="0966AB28"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42C0E28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7CBFAD2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6061EBDC"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0EAA3649" w14:textId="77777777" w:rsidTr="00AB43DB">
        <w:trPr>
          <w:trHeight w:val="300"/>
        </w:trPr>
        <w:tc>
          <w:tcPr>
            <w:tcW w:w="1480" w:type="dxa"/>
            <w:tcBorders>
              <w:top w:val="nil"/>
              <w:left w:val="nil"/>
              <w:bottom w:val="nil"/>
              <w:right w:val="nil"/>
            </w:tcBorders>
            <w:shd w:val="clear" w:color="000000" w:fill="FFFFFF"/>
            <w:vAlign w:val="bottom"/>
            <w:hideMark/>
          </w:tcPr>
          <w:p w14:paraId="141E7B8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70767DD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Short-term Investments</w:t>
            </w:r>
          </w:p>
        </w:tc>
        <w:tc>
          <w:tcPr>
            <w:tcW w:w="1700" w:type="dxa"/>
            <w:tcBorders>
              <w:top w:val="nil"/>
              <w:left w:val="nil"/>
              <w:bottom w:val="nil"/>
              <w:right w:val="nil"/>
            </w:tcBorders>
            <w:shd w:val="clear" w:color="000000" w:fill="FFFFFF"/>
            <w:vAlign w:val="bottom"/>
            <w:hideMark/>
          </w:tcPr>
          <w:p w14:paraId="0CC705CA"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4A35D7F2"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31A27BA4" w14:textId="77777777" w:rsidTr="00AB43DB">
        <w:trPr>
          <w:trHeight w:val="300"/>
        </w:trPr>
        <w:tc>
          <w:tcPr>
            <w:tcW w:w="1480" w:type="dxa"/>
            <w:tcBorders>
              <w:top w:val="nil"/>
              <w:left w:val="nil"/>
              <w:bottom w:val="nil"/>
              <w:right w:val="nil"/>
            </w:tcBorders>
            <w:shd w:val="clear" w:color="000000" w:fill="FFFFFF"/>
            <w:vAlign w:val="bottom"/>
            <w:hideMark/>
          </w:tcPr>
          <w:p w14:paraId="32F13A0E"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B4CF304"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Assets Held for Sale</w:t>
            </w:r>
          </w:p>
        </w:tc>
        <w:tc>
          <w:tcPr>
            <w:tcW w:w="1700" w:type="dxa"/>
            <w:tcBorders>
              <w:top w:val="nil"/>
              <w:left w:val="nil"/>
              <w:bottom w:val="nil"/>
              <w:right w:val="nil"/>
            </w:tcBorders>
            <w:shd w:val="clear" w:color="000000" w:fill="FFFFFF"/>
            <w:vAlign w:val="bottom"/>
            <w:hideMark/>
          </w:tcPr>
          <w:p w14:paraId="0213C8AF"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20</w:t>
            </w:r>
          </w:p>
        </w:tc>
        <w:tc>
          <w:tcPr>
            <w:tcW w:w="1520" w:type="dxa"/>
            <w:tcBorders>
              <w:top w:val="nil"/>
              <w:left w:val="nil"/>
              <w:bottom w:val="nil"/>
              <w:right w:val="nil"/>
            </w:tcBorders>
            <w:shd w:val="clear" w:color="000000" w:fill="CCECFF"/>
            <w:vAlign w:val="bottom"/>
            <w:hideMark/>
          </w:tcPr>
          <w:p w14:paraId="4C06882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7E44523B" w14:textId="77777777" w:rsidTr="00AB43DB">
        <w:trPr>
          <w:trHeight w:val="300"/>
        </w:trPr>
        <w:tc>
          <w:tcPr>
            <w:tcW w:w="1480" w:type="dxa"/>
            <w:tcBorders>
              <w:top w:val="nil"/>
              <w:left w:val="nil"/>
              <w:bottom w:val="nil"/>
              <w:right w:val="nil"/>
            </w:tcBorders>
            <w:shd w:val="clear" w:color="000000" w:fill="FFFFFF"/>
            <w:vAlign w:val="bottom"/>
            <w:hideMark/>
          </w:tcPr>
          <w:p w14:paraId="416E1EE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8A3E24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Inventories</w:t>
            </w:r>
          </w:p>
        </w:tc>
        <w:tc>
          <w:tcPr>
            <w:tcW w:w="1700" w:type="dxa"/>
            <w:tcBorders>
              <w:top w:val="nil"/>
              <w:left w:val="nil"/>
              <w:bottom w:val="nil"/>
              <w:right w:val="nil"/>
            </w:tcBorders>
            <w:shd w:val="clear" w:color="000000" w:fill="FFFFFF"/>
            <w:vAlign w:val="bottom"/>
            <w:hideMark/>
          </w:tcPr>
          <w:p w14:paraId="022C824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27</w:t>
            </w:r>
          </w:p>
        </w:tc>
        <w:tc>
          <w:tcPr>
            <w:tcW w:w="1520" w:type="dxa"/>
            <w:tcBorders>
              <w:top w:val="nil"/>
              <w:left w:val="nil"/>
              <w:bottom w:val="nil"/>
              <w:right w:val="nil"/>
            </w:tcBorders>
            <w:shd w:val="clear" w:color="000000" w:fill="CCECFF"/>
            <w:vAlign w:val="bottom"/>
            <w:hideMark/>
          </w:tcPr>
          <w:p w14:paraId="008EB863"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11802364" w14:textId="77777777" w:rsidTr="00AB43DB">
        <w:trPr>
          <w:trHeight w:val="300"/>
        </w:trPr>
        <w:tc>
          <w:tcPr>
            <w:tcW w:w="1480" w:type="dxa"/>
            <w:tcBorders>
              <w:top w:val="nil"/>
              <w:left w:val="nil"/>
              <w:bottom w:val="nil"/>
              <w:right w:val="nil"/>
            </w:tcBorders>
            <w:shd w:val="clear" w:color="000000" w:fill="FFFFFF"/>
            <w:vAlign w:val="bottom"/>
            <w:hideMark/>
          </w:tcPr>
          <w:p w14:paraId="1E138EFA"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F60C2B1"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 Term Debtors</w:t>
            </w:r>
          </w:p>
        </w:tc>
        <w:tc>
          <w:tcPr>
            <w:tcW w:w="1700" w:type="dxa"/>
            <w:tcBorders>
              <w:top w:val="nil"/>
              <w:left w:val="nil"/>
              <w:bottom w:val="nil"/>
              <w:right w:val="nil"/>
            </w:tcBorders>
            <w:shd w:val="clear" w:color="000000" w:fill="FFFFFF"/>
            <w:vAlign w:val="bottom"/>
            <w:hideMark/>
          </w:tcPr>
          <w:p w14:paraId="6E19F124"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26</w:t>
            </w:r>
          </w:p>
        </w:tc>
        <w:tc>
          <w:tcPr>
            <w:tcW w:w="1520" w:type="dxa"/>
            <w:tcBorders>
              <w:top w:val="nil"/>
              <w:left w:val="nil"/>
              <w:bottom w:val="nil"/>
              <w:right w:val="nil"/>
            </w:tcBorders>
            <w:shd w:val="clear" w:color="000000" w:fill="CCECFF"/>
            <w:vAlign w:val="bottom"/>
            <w:hideMark/>
          </w:tcPr>
          <w:p w14:paraId="7444E132"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57E9FC1E" w14:textId="77777777" w:rsidTr="00AB43DB">
        <w:trPr>
          <w:trHeight w:val="300"/>
        </w:trPr>
        <w:tc>
          <w:tcPr>
            <w:tcW w:w="1480" w:type="dxa"/>
            <w:tcBorders>
              <w:top w:val="nil"/>
              <w:left w:val="nil"/>
              <w:bottom w:val="nil"/>
              <w:right w:val="nil"/>
            </w:tcBorders>
            <w:shd w:val="clear" w:color="000000" w:fill="FFFFFF"/>
            <w:vAlign w:val="bottom"/>
            <w:hideMark/>
          </w:tcPr>
          <w:p w14:paraId="7BDA8047"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0878128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Cash and Cash Equivalents</w:t>
            </w:r>
          </w:p>
        </w:tc>
        <w:tc>
          <w:tcPr>
            <w:tcW w:w="1700" w:type="dxa"/>
            <w:tcBorders>
              <w:top w:val="nil"/>
              <w:left w:val="nil"/>
              <w:bottom w:val="nil"/>
              <w:right w:val="nil"/>
            </w:tcBorders>
            <w:shd w:val="clear" w:color="000000" w:fill="FFFFFF"/>
            <w:vAlign w:val="bottom"/>
            <w:hideMark/>
          </w:tcPr>
          <w:p w14:paraId="016BFD98"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33</w:t>
            </w:r>
          </w:p>
        </w:tc>
        <w:tc>
          <w:tcPr>
            <w:tcW w:w="1520" w:type="dxa"/>
            <w:tcBorders>
              <w:top w:val="nil"/>
              <w:left w:val="nil"/>
              <w:bottom w:val="nil"/>
              <w:right w:val="nil"/>
            </w:tcBorders>
            <w:shd w:val="clear" w:color="000000" w:fill="CCECFF"/>
            <w:vAlign w:val="bottom"/>
            <w:hideMark/>
          </w:tcPr>
          <w:p w14:paraId="26EC724F"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5FCBDCA"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4679F1D0"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c>
          <w:tcPr>
            <w:tcW w:w="2780" w:type="dxa"/>
            <w:tcBorders>
              <w:top w:val="single" w:sz="4" w:space="0" w:color="auto"/>
              <w:left w:val="nil"/>
              <w:bottom w:val="single" w:sz="4" w:space="0" w:color="auto"/>
              <w:right w:val="nil"/>
            </w:tcBorders>
            <w:shd w:val="clear" w:color="000000" w:fill="FFFFFF"/>
            <w:noWrap/>
            <w:vAlign w:val="center"/>
            <w:hideMark/>
          </w:tcPr>
          <w:p w14:paraId="4F3E91BA"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Current Assets</w:t>
            </w:r>
          </w:p>
        </w:tc>
        <w:tc>
          <w:tcPr>
            <w:tcW w:w="1700" w:type="dxa"/>
            <w:tcBorders>
              <w:top w:val="single" w:sz="4" w:space="0" w:color="auto"/>
              <w:left w:val="nil"/>
              <w:bottom w:val="single" w:sz="4" w:space="0" w:color="auto"/>
              <w:right w:val="nil"/>
            </w:tcBorders>
            <w:shd w:val="clear" w:color="000000" w:fill="FFFFFF"/>
            <w:vAlign w:val="bottom"/>
            <w:hideMark/>
          </w:tcPr>
          <w:p w14:paraId="2E696C4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1D6AD1BB"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w:t>
            </w:r>
          </w:p>
        </w:tc>
      </w:tr>
      <w:tr w:rsidR="00AB43DB" w:rsidRPr="00AB43DB" w14:paraId="01BD14EA" w14:textId="77777777" w:rsidTr="00AB43DB">
        <w:trPr>
          <w:trHeight w:val="300"/>
        </w:trPr>
        <w:tc>
          <w:tcPr>
            <w:tcW w:w="1480" w:type="dxa"/>
            <w:tcBorders>
              <w:top w:val="nil"/>
              <w:left w:val="nil"/>
              <w:bottom w:val="nil"/>
              <w:right w:val="nil"/>
            </w:tcBorders>
            <w:shd w:val="clear" w:color="000000" w:fill="FFFFFF"/>
            <w:vAlign w:val="bottom"/>
            <w:hideMark/>
          </w:tcPr>
          <w:p w14:paraId="6C09B37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4B36C834"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0FAB42FE"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3835C46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70A93A0B" w14:textId="77777777" w:rsidTr="00AB43DB">
        <w:trPr>
          <w:trHeight w:val="300"/>
        </w:trPr>
        <w:tc>
          <w:tcPr>
            <w:tcW w:w="1480" w:type="dxa"/>
            <w:tcBorders>
              <w:top w:val="nil"/>
              <w:left w:val="nil"/>
              <w:bottom w:val="nil"/>
              <w:right w:val="nil"/>
            </w:tcBorders>
            <w:shd w:val="clear" w:color="000000" w:fill="FFFFFF"/>
            <w:vAlign w:val="bottom"/>
            <w:hideMark/>
          </w:tcPr>
          <w:p w14:paraId="4DD818E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(1,443)</w:t>
            </w:r>
          </w:p>
        </w:tc>
        <w:tc>
          <w:tcPr>
            <w:tcW w:w="2780" w:type="dxa"/>
            <w:tcBorders>
              <w:top w:val="nil"/>
              <w:left w:val="nil"/>
              <w:bottom w:val="nil"/>
              <w:right w:val="nil"/>
            </w:tcBorders>
            <w:shd w:val="clear" w:color="000000" w:fill="FFFFFF"/>
            <w:noWrap/>
            <w:vAlign w:val="center"/>
            <w:hideMark/>
          </w:tcPr>
          <w:p w14:paraId="763FD26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 Term Creditors</w:t>
            </w:r>
          </w:p>
        </w:tc>
        <w:tc>
          <w:tcPr>
            <w:tcW w:w="1700" w:type="dxa"/>
            <w:tcBorders>
              <w:top w:val="nil"/>
              <w:left w:val="nil"/>
              <w:bottom w:val="nil"/>
              <w:right w:val="nil"/>
            </w:tcBorders>
            <w:shd w:val="clear" w:color="000000" w:fill="FFFFFF"/>
            <w:vAlign w:val="bottom"/>
            <w:hideMark/>
          </w:tcPr>
          <w:p w14:paraId="09776F4C"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29</w:t>
            </w:r>
          </w:p>
        </w:tc>
        <w:tc>
          <w:tcPr>
            <w:tcW w:w="1520" w:type="dxa"/>
            <w:tcBorders>
              <w:top w:val="nil"/>
              <w:left w:val="nil"/>
              <w:bottom w:val="nil"/>
              <w:right w:val="nil"/>
            </w:tcBorders>
            <w:shd w:val="clear" w:color="000000" w:fill="CCECFF"/>
            <w:vAlign w:val="bottom"/>
            <w:hideMark/>
          </w:tcPr>
          <w:p w14:paraId="45F55ACD"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(2,969)</w:t>
            </w:r>
          </w:p>
        </w:tc>
      </w:tr>
      <w:tr w:rsidR="00AB43DB" w:rsidRPr="00AB43DB" w14:paraId="7B2D7516" w14:textId="77777777" w:rsidTr="00AB43DB">
        <w:trPr>
          <w:trHeight w:val="300"/>
        </w:trPr>
        <w:tc>
          <w:tcPr>
            <w:tcW w:w="1480" w:type="dxa"/>
            <w:tcBorders>
              <w:top w:val="nil"/>
              <w:left w:val="nil"/>
              <w:bottom w:val="nil"/>
              <w:right w:val="nil"/>
            </w:tcBorders>
            <w:shd w:val="clear" w:color="000000" w:fill="FFFFFF"/>
            <w:vAlign w:val="bottom"/>
            <w:hideMark/>
          </w:tcPr>
          <w:p w14:paraId="2724B474"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462B94B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Short-term Borrowing</w:t>
            </w:r>
          </w:p>
        </w:tc>
        <w:tc>
          <w:tcPr>
            <w:tcW w:w="1700" w:type="dxa"/>
            <w:tcBorders>
              <w:top w:val="nil"/>
              <w:left w:val="nil"/>
              <w:bottom w:val="nil"/>
              <w:right w:val="nil"/>
            </w:tcBorders>
            <w:shd w:val="clear" w:color="000000" w:fill="FFFFFF"/>
            <w:vAlign w:val="bottom"/>
            <w:hideMark/>
          </w:tcPr>
          <w:p w14:paraId="10F6054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39</w:t>
            </w:r>
          </w:p>
        </w:tc>
        <w:tc>
          <w:tcPr>
            <w:tcW w:w="1520" w:type="dxa"/>
            <w:tcBorders>
              <w:top w:val="nil"/>
              <w:left w:val="nil"/>
              <w:bottom w:val="nil"/>
              <w:right w:val="nil"/>
            </w:tcBorders>
            <w:shd w:val="clear" w:color="000000" w:fill="CCECFF"/>
            <w:vAlign w:val="bottom"/>
            <w:hideMark/>
          </w:tcPr>
          <w:p w14:paraId="49346C5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1E96D3E3" w14:textId="77777777" w:rsidTr="00AB43DB">
        <w:trPr>
          <w:trHeight w:val="300"/>
        </w:trPr>
        <w:tc>
          <w:tcPr>
            <w:tcW w:w="1480" w:type="dxa"/>
            <w:tcBorders>
              <w:top w:val="nil"/>
              <w:left w:val="nil"/>
              <w:bottom w:val="nil"/>
              <w:right w:val="nil"/>
            </w:tcBorders>
            <w:shd w:val="clear" w:color="000000" w:fill="FFFFFF"/>
            <w:vAlign w:val="bottom"/>
            <w:hideMark/>
          </w:tcPr>
          <w:p w14:paraId="19F1B64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68EA307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Provisions</w:t>
            </w:r>
          </w:p>
        </w:tc>
        <w:tc>
          <w:tcPr>
            <w:tcW w:w="1700" w:type="dxa"/>
            <w:tcBorders>
              <w:top w:val="nil"/>
              <w:left w:val="nil"/>
              <w:bottom w:val="nil"/>
              <w:right w:val="nil"/>
            </w:tcBorders>
            <w:shd w:val="clear" w:color="000000" w:fill="FFFFFF"/>
            <w:vAlign w:val="bottom"/>
            <w:hideMark/>
          </w:tcPr>
          <w:p w14:paraId="7B52E075"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28</w:t>
            </w:r>
          </w:p>
        </w:tc>
        <w:tc>
          <w:tcPr>
            <w:tcW w:w="1520" w:type="dxa"/>
            <w:tcBorders>
              <w:top w:val="nil"/>
              <w:left w:val="nil"/>
              <w:bottom w:val="nil"/>
              <w:right w:val="nil"/>
            </w:tcBorders>
            <w:shd w:val="clear" w:color="000000" w:fill="CCECFF"/>
            <w:vAlign w:val="bottom"/>
            <w:hideMark/>
          </w:tcPr>
          <w:p w14:paraId="3579D96C"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47B3F565"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1B4B622A"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(1,443)</w:t>
            </w:r>
          </w:p>
        </w:tc>
        <w:tc>
          <w:tcPr>
            <w:tcW w:w="2780" w:type="dxa"/>
            <w:tcBorders>
              <w:top w:val="single" w:sz="4" w:space="0" w:color="auto"/>
              <w:left w:val="nil"/>
              <w:bottom w:val="single" w:sz="4" w:space="0" w:color="auto"/>
              <w:right w:val="nil"/>
            </w:tcBorders>
            <w:shd w:val="clear" w:color="000000" w:fill="FFFFFF"/>
            <w:noWrap/>
            <w:vAlign w:val="center"/>
            <w:hideMark/>
          </w:tcPr>
          <w:p w14:paraId="3601AFAA"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Current Liabilities</w:t>
            </w:r>
          </w:p>
        </w:tc>
        <w:tc>
          <w:tcPr>
            <w:tcW w:w="1700" w:type="dxa"/>
            <w:tcBorders>
              <w:top w:val="single" w:sz="4" w:space="0" w:color="auto"/>
              <w:left w:val="nil"/>
              <w:bottom w:val="single" w:sz="4" w:space="0" w:color="auto"/>
              <w:right w:val="nil"/>
            </w:tcBorders>
            <w:shd w:val="clear" w:color="000000" w:fill="FFFFFF"/>
            <w:vAlign w:val="bottom"/>
            <w:hideMark/>
          </w:tcPr>
          <w:p w14:paraId="79BCCE64"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5B46D706"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(2,969)</w:t>
            </w:r>
          </w:p>
        </w:tc>
      </w:tr>
      <w:tr w:rsidR="00AB43DB" w:rsidRPr="00AB43DB" w14:paraId="02B763B4" w14:textId="77777777" w:rsidTr="00AB43DB">
        <w:trPr>
          <w:trHeight w:val="300"/>
        </w:trPr>
        <w:tc>
          <w:tcPr>
            <w:tcW w:w="1480" w:type="dxa"/>
            <w:tcBorders>
              <w:top w:val="nil"/>
              <w:left w:val="nil"/>
              <w:bottom w:val="nil"/>
              <w:right w:val="nil"/>
            </w:tcBorders>
            <w:shd w:val="clear" w:color="000000" w:fill="FFFFFF"/>
            <w:vAlign w:val="bottom"/>
            <w:hideMark/>
          </w:tcPr>
          <w:p w14:paraId="5DD9F2F7"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D4ACE51"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09D9B213"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7F9142A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E92EC38" w14:textId="77777777" w:rsidTr="00AB43DB">
        <w:trPr>
          <w:trHeight w:val="300"/>
        </w:trPr>
        <w:tc>
          <w:tcPr>
            <w:tcW w:w="1480" w:type="dxa"/>
            <w:tcBorders>
              <w:top w:val="nil"/>
              <w:left w:val="nil"/>
              <w:bottom w:val="nil"/>
              <w:right w:val="nil"/>
            </w:tcBorders>
            <w:shd w:val="clear" w:color="000000" w:fill="FFFFFF"/>
            <w:vAlign w:val="bottom"/>
            <w:hideMark/>
          </w:tcPr>
          <w:p w14:paraId="5078B240"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415B347E"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Long Term Borrowing</w:t>
            </w:r>
          </w:p>
        </w:tc>
        <w:tc>
          <w:tcPr>
            <w:tcW w:w="1700" w:type="dxa"/>
            <w:tcBorders>
              <w:top w:val="nil"/>
              <w:left w:val="nil"/>
              <w:bottom w:val="nil"/>
              <w:right w:val="nil"/>
            </w:tcBorders>
            <w:shd w:val="clear" w:color="000000" w:fill="FFFFFF"/>
            <w:vAlign w:val="bottom"/>
            <w:hideMark/>
          </w:tcPr>
          <w:p w14:paraId="62F99E30"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39</w:t>
            </w:r>
          </w:p>
        </w:tc>
        <w:tc>
          <w:tcPr>
            <w:tcW w:w="1520" w:type="dxa"/>
            <w:tcBorders>
              <w:top w:val="nil"/>
              <w:left w:val="nil"/>
              <w:bottom w:val="nil"/>
              <w:right w:val="nil"/>
            </w:tcBorders>
            <w:shd w:val="clear" w:color="000000" w:fill="CCECFF"/>
            <w:vAlign w:val="bottom"/>
            <w:hideMark/>
          </w:tcPr>
          <w:p w14:paraId="1D367E2B"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6201E2BE" w14:textId="77777777" w:rsidTr="00AB43DB">
        <w:trPr>
          <w:trHeight w:val="300"/>
        </w:trPr>
        <w:tc>
          <w:tcPr>
            <w:tcW w:w="1480" w:type="dxa"/>
            <w:tcBorders>
              <w:top w:val="nil"/>
              <w:left w:val="nil"/>
              <w:bottom w:val="nil"/>
              <w:right w:val="nil"/>
            </w:tcBorders>
            <w:shd w:val="clear" w:color="000000" w:fill="FFFFFF"/>
            <w:vAlign w:val="bottom"/>
            <w:hideMark/>
          </w:tcPr>
          <w:p w14:paraId="757D0DD0"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(1,018,341)</w:t>
            </w:r>
          </w:p>
        </w:tc>
        <w:tc>
          <w:tcPr>
            <w:tcW w:w="2780" w:type="dxa"/>
            <w:tcBorders>
              <w:top w:val="nil"/>
              <w:left w:val="nil"/>
              <w:bottom w:val="nil"/>
              <w:right w:val="nil"/>
            </w:tcBorders>
            <w:shd w:val="clear" w:color="000000" w:fill="FFFFFF"/>
            <w:noWrap/>
            <w:vAlign w:val="center"/>
            <w:hideMark/>
          </w:tcPr>
          <w:p w14:paraId="5987CCD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Other Long Term Liabilities</w:t>
            </w:r>
          </w:p>
        </w:tc>
        <w:tc>
          <w:tcPr>
            <w:tcW w:w="1700" w:type="dxa"/>
            <w:tcBorders>
              <w:top w:val="nil"/>
              <w:left w:val="nil"/>
              <w:bottom w:val="nil"/>
              <w:right w:val="nil"/>
            </w:tcBorders>
            <w:shd w:val="clear" w:color="000000" w:fill="FFFFFF"/>
            <w:vAlign w:val="bottom"/>
            <w:hideMark/>
          </w:tcPr>
          <w:p w14:paraId="49CB0E21"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37</w:t>
            </w:r>
          </w:p>
        </w:tc>
        <w:tc>
          <w:tcPr>
            <w:tcW w:w="1520" w:type="dxa"/>
            <w:tcBorders>
              <w:top w:val="nil"/>
              <w:left w:val="nil"/>
              <w:bottom w:val="nil"/>
              <w:right w:val="nil"/>
            </w:tcBorders>
            <w:shd w:val="clear" w:color="000000" w:fill="CCECFF"/>
            <w:vAlign w:val="bottom"/>
            <w:hideMark/>
          </w:tcPr>
          <w:p w14:paraId="0DE9EBA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000000"/>
                <w:szCs w:val="20"/>
                <w:lang w:eastAsia="en-GB"/>
              </w:rPr>
              <w:t>(1,055,020)</w:t>
            </w:r>
          </w:p>
        </w:tc>
      </w:tr>
      <w:tr w:rsidR="00AB43DB" w:rsidRPr="00AB43DB" w14:paraId="3C2F1439" w14:textId="77777777" w:rsidTr="00AB43DB">
        <w:trPr>
          <w:trHeight w:val="300"/>
        </w:trPr>
        <w:tc>
          <w:tcPr>
            <w:tcW w:w="1480" w:type="dxa"/>
            <w:tcBorders>
              <w:top w:val="single" w:sz="4" w:space="0" w:color="auto"/>
              <w:left w:val="nil"/>
              <w:bottom w:val="single" w:sz="4" w:space="0" w:color="auto"/>
              <w:right w:val="nil"/>
            </w:tcBorders>
            <w:shd w:val="clear" w:color="000000" w:fill="FFFFFF"/>
            <w:vAlign w:val="bottom"/>
            <w:hideMark/>
          </w:tcPr>
          <w:p w14:paraId="7D649000"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(1,018,341)</w:t>
            </w:r>
          </w:p>
        </w:tc>
        <w:tc>
          <w:tcPr>
            <w:tcW w:w="2780" w:type="dxa"/>
            <w:tcBorders>
              <w:top w:val="single" w:sz="4" w:space="0" w:color="auto"/>
              <w:left w:val="nil"/>
              <w:bottom w:val="single" w:sz="4" w:space="0" w:color="auto"/>
              <w:right w:val="nil"/>
            </w:tcBorders>
            <w:shd w:val="clear" w:color="000000" w:fill="FFFFFF"/>
            <w:noWrap/>
            <w:vAlign w:val="center"/>
            <w:hideMark/>
          </w:tcPr>
          <w:p w14:paraId="15F54F4E"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Long Term Liabilities</w:t>
            </w:r>
          </w:p>
        </w:tc>
        <w:tc>
          <w:tcPr>
            <w:tcW w:w="1700" w:type="dxa"/>
            <w:tcBorders>
              <w:top w:val="single" w:sz="4" w:space="0" w:color="auto"/>
              <w:left w:val="nil"/>
              <w:bottom w:val="single" w:sz="4" w:space="0" w:color="auto"/>
              <w:right w:val="nil"/>
            </w:tcBorders>
            <w:shd w:val="clear" w:color="000000" w:fill="FFFFFF"/>
            <w:vAlign w:val="bottom"/>
            <w:hideMark/>
          </w:tcPr>
          <w:p w14:paraId="7EF02E30"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4" w:space="0" w:color="auto"/>
              <w:right w:val="nil"/>
            </w:tcBorders>
            <w:shd w:val="clear" w:color="000000" w:fill="CCECFF"/>
            <w:vAlign w:val="bottom"/>
            <w:hideMark/>
          </w:tcPr>
          <w:p w14:paraId="5F28D2E2"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(1,055,020)</w:t>
            </w:r>
          </w:p>
        </w:tc>
      </w:tr>
      <w:tr w:rsidR="00AB43DB" w:rsidRPr="00AB43DB" w14:paraId="0CD9EC2F" w14:textId="77777777" w:rsidTr="00AB43DB">
        <w:trPr>
          <w:trHeight w:val="300"/>
        </w:trPr>
        <w:tc>
          <w:tcPr>
            <w:tcW w:w="1480" w:type="dxa"/>
            <w:tcBorders>
              <w:top w:val="nil"/>
              <w:left w:val="nil"/>
              <w:bottom w:val="nil"/>
              <w:right w:val="nil"/>
            </w:tcBorders>
            <w:shd w:val="clear" w:color="000000" w:fill="FFFFFF"/>
            <w:vAlign w:val="bottom"/>
            <w:hideMark/>
          </w:tcPr>
          <w:p w14:paraId="7527ACAA"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E17ED6C"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46FBFED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4C6D015B"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40DB5C1B" w14:textId="77777777" w:rsidTr="00AB43DB">
        <w:trPr>
          <w:trHeight w:val="315"/>
        </w:trPr>
        <w:tc>
          <w:tcPr>
            <w:tcW w:w="1480" w:type="dxa"/>
            <w:tcBorders>
              <w:top w:val="single" w:sz="4" w:space="0" w:color="auto"/>
              <w:left w:val="nil"/>
              <w:bottom w:val="single" w:sz="8" w:space="0" w:color="auto"/>
              <w:right w:val="nil"/>
            </w:tcBorders>
            <w:shd w:val="clear" w:color="000000" w:fill="FFFFFF"/>
            <w:vAlign w:val="bottom"/>
            <w:hideMark/>
          </w:tcPr>
          <w:p w14:paraId="1F467EAC"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(1,019,784)</w:t>
            </w:r>
          </w:p>
        </w:tc>
        <w:tc>
          <w:tcPr>
            <w:tcW w:w="2780" w:type="dxa"/>
            <w:tcBorders>
              <w:top w:val="single" w:sz="4" w:space="0" w:color="auto"/>
              <w:left w:val="nil"/>
              <w:bottom w:val="single" w:sz="8" w:space="0" w:color="auto"/>
              <w:right w:val="nil"/>
            </w:tcBorders>
            <w:shd w:val="clear" w:color="000000" w:fill="FFFFFF"/>
            <w:noWrap/>
            <w:vAlign w:val="center"/>
            <w:hideMark/>
          </w:tcPr>
          <w:p w14:paraId="6E765DC7"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Net Assets</w:t>
            </w:r>
          </w:p>
        </w:tc>
        <w:tc>
          <w:tcPr>
            <w:tcW w:w="1700" w:type="dxa"/>
            <w:tcBorders>
              <w:top w:val="single" w:sz="4" w:space="0" w:color="auto"/>
              <w:left w:val="nil"/>
              <w:bottom w:val="single" w:sz="8" w:space="0" w:color="auto"/>
              <w:right w:val="nil"/>
            </w:tcBorders>
            <w:shd w:val="clear" w:color="000000" w:fill="FFFFFF"/>
            <w:vAlign w:val="bottom"/>
            <w:hideMark/>
          </w:tcPr>
          <w:p w14:paraId="4DF89E9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8" w:space="0" w:color="auto"/>
              <w:right w:val="nil"/>
            </w:tcBorders>
            <w:shd w:val="clear" w:color="000000" w:fill="CCECFF"/>
            <w:vAlign w:val="bottom"/>
            <w:hideMark/>
          </w:tcPr>
          <w:p w14:paraId="55E80381"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000000"/>
                <w:szCs w:val="20"/>
                <w:lang w:eastAsia="en-GB"/>
              </w:rPr>
              <w:t>(1,057,989)</w:t>
            </w:r>
          </w:p>
        </w:tc>
      </w:tr>
      <w:tr w:rsidR="00AB43DB" w:rsidRPr="00AB43DB" w14:paraId="1356B18B" w14:textId="77777777" w:rsidTr="00AB43DB">
        <w:trPr>
          <w:trHeight w:val="300"/>
        </w:trPr>
        <w:tc>
          <w:tcPr>
            <w:tcW w:w="1480" w:type="dxa"/>
            <w:tcBorders>
              <w:top w:val="nil"/>
              <w:left w:val="nil"/>
              <w:bottom w:val="nil"/>
              <w:right w:val="nil"/>
            </w:tcBorders>
            <w:shd w:val="clear" w:color="000000" w:fill="FFFFFF"/>
            <w:vAlign w:val="bottom"/>
            <w:hideMark/>
          </w:tcPr>
          <w:p w14:paraId="3A695565"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75FDD882"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2667E4BF"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7ABF2E0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5678F52C" w14:textId="77777777" w:rsidTr="00AB43DB">
        <w:trPr>
          <w:trHeight w:val="300"/>
        </w:trPr>
        <w:tc>
          <w:tcPr>
            <w:tcW w:w="1480" w:type="dxa"/>
            <w:tcBorders>
              <w:top w:val="nil"/>
              <w:left w:val="nil"/>
              <w:bottom w:val="nil"/>
              <w:right w:val="nil"/>
            </w:tcBorders>
            <w:shd w:val="clear" w:color="000000" w:fill="FFFFFF"/>
            <w:vAlign w:val="bottom"/>
            <w:hideMark/>
          </w:tcPr>
          <w:p w14:paraId="7FE5EF0B"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c>
          <w:tcPr>
            <w:tcW w:w="2780" w:type="dxa"/>
            <w:tcBorders>
              <w:top w:val="nil"/>
              <w:left w:val="nil"/>
              <w:bottom w:val="nil"/>
              <w:right w:val="nil"/>
            </w:tcBorders>
            <w:shd w:val="clear" w:color="000000" w:fill="FFFFFF"/>
            <w:noWrap/>
            <w:vAlign w:val="center"/>
            <w:hideMark/>
          </w:tcPr>
          <w:p w14:paraId="3310792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Usable Reserves</w:t>
            </w:r>
          </w:p>
        </w:tc>
        <w:tc>
          <w:tcPr>
            <w:tcW w:w="1700" w:type="dxa"/>
            <w:tcBorders>
              <w:top w:val="nil"/>
              <w:left w:val="nil"/>
              <w:bottom w:val="nil"/>
              <w:right w:val="nil"/>
            </w:tcBorders>
            <w:shd w:val="clear" w:color="000000" w:fill="FFFFFF"/>
            <w:vAlign w:val="bottom"/>
            <w:hideMark/>
          </w:tcPr>
          <w:p w14:paraId="1A038B7B"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16</w:t>
            </w:r>
          </w:p>
        </w:tc>
        <w:tc>
          <w:tcPr>
            <w:tcW w:w="1520" w:type="dxa"/>
            <w:tcBorders>
              <w:top w:val="nil"/>
              <w:left w:val="nil"/>
              <w:bottom w:val="nil"/>
              <w:right w:val="nil"/>
            </w:tcBorders>
            <w:shd w:val="clear" w:color="000000" w:fill="CCECFF"/>
            <w:vAlign w:val="bottom"/>
            <w:hideMark/>
          </w:tcPr>
          <w:p w14:paraId="150AB2C5"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w:t>
            </w:r>
          </w:p>
        </w:tc>
      </w:tr>
      <w:tr w:rsidR="00AB43DB" w:rsidRPr="00AB43DB" w14:paraId="2D6DE370" w14:textId="77777777" w:rsidTr="00AB43DB">
        <w:trPr>
          <w:trHeight w:val="300"/>
        </w:trPr>
        <w:tc>
          <w:tcPr>
            <w:tcW w:w="1480" w:type="dxa"/>
            <w:tcBorders>
              <w:top w:val="nil"/>
              <w:left w:val="nil"/>
              <w:bottom w:val="nil"/>
              <w:right w:val="nil"/>
            </w:tcBorders>
            <w:shd w:val="clear" w:color="000000" w:fill="FFFFFF"/>
            <w:vAlign w:val="bottom"/>
            <w:hideMark/>
          </w:tcPr>
          <w:p w14:paraId="79628F5E"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1,019,784</w:t>
            </w:r>
          </w:p>
        </w:tc>
        <w:tc>
          <w:tcPr>
            <w:tcW w:w="2780" w:type="dxa"/>
            <w:tcBorders>
              <w:top w:val="nil"/>
              <w:left w:val="nil"/>
              <w:bottom w:val="nil"/>
              <w:right w:val="nil"/>
            </w:tcBorders>
            <w:shd w:val="clear" w:color="000000" w:fill="FFFFFF"/>
            <w:noWrap/>
            <w:vAlign w:val="center"/>
            <w:hideMark/>
          </w:tcPr>
          <w:p w14:paraId="5523090D"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Unusable Reserves</w:t>
            </w:r>
          </w:p>
        </w:tc>
        <w:tc>
          <w:tcPr>
            <w:tcW w:w="1700" w:type="dxa"/>
            <w:tcBorders>
              <w:top w:val="nil"/>
              <w:left w:val="nil"/>
              <w:bottom w:val="nil"/>
              <w:right w:val="nil"/>
            </w:tcBorders>
            <w:shd w:val="clear" w:color="000000" w:fill="FFFFFF"/>
            <w:vAlign w:val="bottom"/>
            <w:hideMark/>
          </w:tcPr>
          <w:p w14:paraId="3C1F13F6"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17</w:t>
            </w:r>
          </w:p>
        </w:tc>
        <w:tc>
          <w:tcPr>
            <w:tcW w:w="1520" w:type="dxa"/>
            <w:tcBorders>
              <w:top w:val="nil"/>
              <w:left w:val="nil"/>
              <w:bottom w:val="nil"/>
              <w:right w:val="nil"/>
            </w:tcBorders>
            <w:shd w:val="clear" w:color="000000" w:fill="CCECFF"/>
            <w:vAlign w:val="bottom"/>
            <w:hideMark/>
          </w:tcPr>
          <w:p w14:paraId="0F4D8ED9" w14:textId="77777777" w:rsidR="00AB43DB" w:rsidRPr="00AB43DB" w:rsidRDefault="00AB43DB" w:rsidP="00AB43DB">
            <w:pPr>
              <w:spacing w:line="240" w:lineRule="auto"/>
              <w:jc w:val="right"/>
              <w:rPr>
                <w:rFonts w:eastAsia="Times New Roman" w:cs="Calibri"/>
                <w:color w:val="auto"/>
                <w:szCs w:val="20"/>
                <w:lang w:eastAsia="en-GB"/>
              </w:rPr>
            </w:pPr>
            <w:r w:rsidRPr="00AB43DB">
              <w:rPr>
                <w:rFonts w:eastAsia="Times New Roman" w:cs="Calibri"/>
                <w:color w:val="auto"/>
                <w:szCs w:val="20"/>
                <w:lang w:eastAsia="en-GB"/>
              </w:rPr>
              <w:t>1,057,989</w:t>
            </w:r>
          </w:p>
        </w:tc>
      </w:tr>
      <w:tr w:rsidR="00AB43DB" w:rsidRPr="00AB43DB" w14:paraId="072415A7" w14:textId="77777777" w:rsidTr="00AB43DB">
        <w:trPr>
          <w:trHeight w:val="49"/>
        </w:trPr>
        <w:tc>
          <w:tcPr>
            <w:tcW w:w="1480" w:type="dxa"/>
            <w:tcBorders>
              <w:top w:val="nil"/>
              <w:left w:val="nil"/>
              <w:bottom w:val="nil"/>
              <w:right w:val="nil"/>
            </w:tcBorders>
            <w:shd w:val="clear" w:color="000000" w:fill="FFFFFF"/>
            <w:vAlign w:val="bottom"/>
            <w:hideMark/>
          </w:tcPr>
          <w:p w14:paraId="6BBB19E6"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c>
          <w:tcPr>
            <w:tcW w:w="2780" w:type="dxa"/>
            <w:tcBorders>
              <w:top w:val="nil"/>
              <w:left w:val="nil"/>
              <w:bottom w:val="nil"/>
              <w:right w:val="nil"/>
            </w:tcBorders>
            <w:shd w:val="clear" w:color="000000" w:fill="FFFFFF"/>
            <w:noWrap/>
            <w:vAlign w:val="center"/>
            <w:hideMark/>
          </w:tcPr>
          <w:p w14:paraId="03DD8112"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xml:space="preserve"> </w:t>
            </w:r>
          </w:p>
        </w:tc>
        <w:tc>
          <w:tcPr>
            <w:tcW w:w="1700" w:type="dxa"/>
            <w:tcBorders>
              <w:top w:val="nil"/>
              <w:left w:val="nil"/>
              <w:bottom w:val="nil"/>
              <w:right w:val="nil"/>
            </w:tcBorders>
            <w:shd w:val="clear" w:color="000000" w:fill="FFFFFF"/>
            <w:vAlign w:val="bottom"/>
            <w:hideMark/>
          </w:tcPr>
          <w:p w14:paraId="63AD5465" w14:textId="77777777" w:rsidR="00AB43DB" w:rsidRPr="00AB43DB" w:rsidRDefault="00AB43DB" w:rsidP="00AB43DB">
            <w:pPr>
              <w:spacing w:line="240" w:lineRule="auto"/>
              <w:jc w:val="center"/>
              <w:rPr>
                <w:rFonts w:eastAsia="Times New Roman" w:cs="Calibri"/>
                <w:color w:val="auto"/>
                <w:szCs w:val="20"/>
                <w:lang w:eastAsia="en-GB"/>
              </w:rPr>
            </w:pPr>
            <w:r w:rsidRPr="00AB43DB">
              <w:rPr>
                <w:rFonts w:eastAsia="Times New Roman" w:cs="Calibri"/>
                <w:color w:val="auto"/>
                <w:szCs w:val="20"/>
                <w:lang w:eastAsia="en-GB"/>
              </w:rPr>
              <w:t> </w:t>
            </w:r>
          </w:p>
        </w:tc>
        <w:tc>
          <w:tcPr>
            <w:tcW w:w="1520" w:type="dxa"/>
            <w:tcBorders>
              <w:top w:val="nil"/>
              <w:left w:val="nil"/>
              <w:bottom w:val="nil"/>
              <w:right w:val="nil"/>
            </w:tcBorders>
            <w:shd w:val="clear" w:color="000000" w:fill="CCECFF"/>
            <w:vAlign w:val="bottom"/>
            <w:hideMark/>
          </w:tcPr>
          <w:p w14:paraId="0B8BA420" w14:textId="77777777" w:rsidR="00AB43DB" w:rsidRPr="00AB43DB" w:rsidRDefault="00AB43DB" w:rsidP="00AB43DB">
            <w:pPr>
              <w:spacing w:line="240" w:lineRule="auto"/>
              <w:jc w:val="left"/>
              <w:rPr>
                <w:rFonts w:eastAsia="Times New Roman" w:cs="Calibri"/>
                <w:color w:val="auto"/>
                <w:szCs w:val="20"/>
                <w:lang w:eastAsia="en-GB"/>
              </w:rPr>
            </w:pPr>
            <w:r w:rsidRPr="00AB43DB">
              <w:rPr>
                <w:rFonts w:eastAsia="Times New Roman" w:cs="Calibri"/>
                <w:color w:val="auto"/>
                <w:szCs w:val="20"/>
                <w:lang w:eastAsia="en-GB"/>
              </w:rPr>
              <w:t> </w:t>
            </w:r>
          </w:p>
        </w:tc>
      </w:tr>
      <w:tr w:rsidR="00AB43DB" w:rsidRPr="00AB43DB" w14:paraId="2B0F5EA3" w14:textId="77777777" w:rsidTr="00AB43DB">
        <w:trPr>
          <w:trHeight w:val="315"/>
        </w:trPr>
        <w:tc>
          <w:tcPr>
            <w:tcW w:w="1480" w:type="dxa"/>
            <w:tcBorders>
              <w:top w:val="single" w:sz="4" w:space="0" w:color="auto"/>
              <w:left w:val="nil"/>
              <w:bottom w:val="single" w:sz="8" w:space="0" w:color="auto"/>
              <w:right w:val="nil"/>
            </w:tcBorders>
            <w:shd w:val="clear" w:color="000000" w:fill="FFFFFF"/>
            <w:vAlign w:val="bottom"/>
            <w:hideMark/>
          </w:tcPr>
          <w:p w14:paraId="0E5F59B9"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1,019,784</w:t>
            </w:r>
          </w:p>
        </w:tc>
        <w:tc>
          <w:tcPr>
            <w:tcW w:w="2780" w:type="dxa"/>
            <w:tcBorders>
              <w:top w:val="single" w:sz="4" w:space="0" w:color="auto"/>
              <w:left w:val="nil"/>
              <w:bottom w:val="single" w:sz="8" w:space="0" w:color="auto"/>
              <w:right w:val="nil"/>
            </w:tcBorders>
            <w:shd w:val="clear" w:color="000000" w:fill="FFFFFF"/>
            <w:noWrap/>
            <w:vAlign w:val="center"/>
            <w:hideMark/>
          </w:tcPr>
          <w:p w14:paraId="7B01CE91" w14:textId="77777777" w:rsidR="00AB43DB" w:rsidRPr="00AB43DB" w:rsidRDefault="00AB43DB" w:rsidP="00AB43DB">
            <w:pPr>
              <w:spacing w:line="240" w:lineRule="auto"/>
              <w:jc w:val="left"/>
              <w:rPr>
                <w:rFonts w:eastAsia="Times New Roman" w:cs="Calibri"/>
                <w:b/>
                <w:bCs/>
                <w:color w:val="auto"/>
                <w:szCs w:val="20"/>
                <w:lang w:eastAsia="en-GB"/>
              </w:rPr>
            </w:pPr>
            <w:r w:rsidRPr="00AB43DB">
              <w:rPr>
                <w:rFonts w:eastAsia="Times New Roman" w:cs="Calibri"/>
                <w:b/>
                <w:bCs/>
                <w:color w:val="auto"/>
                <w:szCs w:val="20"/>
                <w:lang w:eastAsia="en-GB"/>
              </w:rPr>
              <w:t>Total Reserves</w:t>
            </w:r>
          </w:p>
        </w:tc>
        <w:tc>
          <w:tcPr>
            <w:tcW w:w="1700" w:type="dxa"/>
            <w:tcBorders>
              <w:top w:val="single" w:sz="4" w:space="0" w:color="auto"/>
              <w:left w:val="nil"/>
              <w:bottom w:val="single" w:sz="8" w:space="0" w:color="auto"/>
              <w:right w:val="nil"/>
            </w:tcBorders>
            <w:shd w:val="clear" w:color="000000" w:fill="FFFFFF"/>
            <w:vAlign w:val="bottom"/>
            <w:hideMark/>
          </w:tcPr>
          <w:p w14:paraId="0F5E9201" w14:textId="77777777" w:rsidR="00AB43DB" w:rsidRPr="00AB43DB" w:rsidRDefault="00AB43DB" w:rsidP="00AB43DB">
            <w:pPr>
              <w:spacing w:line="240" w:lineRule="auto"/>
              <w:jc w:val="center"/>
              <w:rPr>
                <w:rFonts w:eastAsia="Times New Roman" w:cs="Calibri"/>
                <w:b/>
                <w:bCs/>
                <w:color w:val="auto"/>
                <w:szCs w:val="20"/>
                <w:lang w:eastAsia="en-GB"/>
              </w:rPr>
            </w:pPr>
            <w:r w:rsidRPr="00AB43DB">
              <w:rPr>
                <w:rFonts w:eastAsia="Times New Roman" w:cs="Calibri"/>
                <w:b/>
                <w:bCs/>
                <w:color w:val="auto"/>
                <w:szCs w:val="20"/>
                <w:lang w:eastAsia="en-GB"/>
              </w:rPr>
              <w:t> </w:t>
            </w:r>
          </w:p>
        </w:tc>
        <w:tc>
          <w:tcPr>
            <w:tcW w:w="1520" w:type="dxa"/>
            <w:tcBorders>
              <w:top w:val="single" w:sz="4" w:space="0" w:color="auto"/>
              <w:left w:val="nil"/>
              <w:bottom w:val="single" w:sz="8" w:space="0" w:color="auto"/>
              <w:right w:val="nil"/>
            </w:tcBorders>
            <w:shd w:val="clear" w:color="000000" w:fill="CCECFF"/>
            <w:vAlign w:val="bottom"/>
            <w:hideMark/>
          </w:tcPr>
          <w:p w14:paraId="3A13F79F" w14:textId="77777777" w:rsidR="00AB43DB" w:rsidRPr="00AB43DB" w:rsidRDefault="00AB43DB" w:rsidP="00AB43DB">
            <w:pPr>
              <w:spacing w:line="240" w:lineRule="auto"/>
              <w:jc w:val="right"/>
              <w:rPr>
                <w:rFonts w:eastAsia="Times New Roman" w:cs="Calibri"/>
                <w:b/>
                <w:bCs/>
                <w:color w:val="auto"/>
                <w:szCs w:val="20"/>
                <w:lang w:eastAsia="en-GB"/>
              </w:rPr>
            </w:pPr>
            <w:r w:rsidRPr="00AB43DB">
              <w:rPr>
                <w:rFonts w:eastAsia="Times New Roman" w:cs="Calibri"/>
                <w:b/>
                <w:bCs/>
                <w:color w:val="auto"/>
                <w:szCs w:val="20"/>
                <w:lang w:eastAsia="en-GB"/>
              </w:rPr>
              <w:t>1,057,989</w:t>
            </w:r>
          </w:p>
        </w:tc>
      </w:tr>
    </w:tbl>
    <w:p w14:paraId="054F2C45" w14:textId="465F5BFC" w:rsidR="00EE0AC7" w:rsidRPr="00F5122B" w:rsidRDefault="00EE0AC7" w:rsidP="00C60BA1"/>
    <w:p w14:paraId="689427CA" w14:textId="77777777" w:rsidR="001C7399" w:rsidRDefault="001C7399" w:rsidP="00C60BA1">
      <w:pPr>
        <w:rPr>
          <w:rFonts w:cs="Arial"/>
        </w:rPr>
      </w:pPr>
    </w:p>
    <w:p w14:paraId="4EDE8879" w14:textId="3BDC5DF7" w:rsidR="00354E03" w:rsidRPr="00F5122B" w:rsidRDefault="00354E03" w:rsidP="00C60BA1">
      <w:pPr>
        <w:rPr>
          <w:rFonts w:cs="Arial"/>
        </w:rPr>
        <w:sectPr w:rsidR="00354E03" w:rsidRPr="00F5122B" w:rsidSect="009B0396">
          <w:type w:val="continuous"/>
          <w:pgSz w:w="11900" w:h="16840"/>
          <w:pgMar w:top="1276" w:right="1127" w:bottom="720" w:left="1134" w:header="709" w:footer="397" w:gutter="0"/>
          <w:cols w:space="708"/>
          <w:docGrid w:linePitch="360"/>
        </w:sectPr>
      </w:pPr>
    </w:p>
    <w:p w14:paraId="4A265E2D" w14:textId="77777777" w:rsidR="001C7399" w:rsidRDefault="001C7399" w:rsidP="00C60BA1">
      <w:pPr>
        <w:pStyle w:val="Normal0"/>
      </w:pPr>
      <w:r w:rsidRPr="00F5122B">
        <w:rPr>
          <w:noProof/>
          <w:lang w:val="en-GB" w:eastAsia="en-GB"/>
        </w:rPr>
        <mc:AlternateContent>
          <mc:Choice Requires="wps">
            <w:drawing>
              <wp:anchor distT="0" distB="0" distL="114300" distR="114300" simplePos="0" relativeHeight="251658242" behindDoc="0" locked="0" layoutInCell="1" allowOverlap="1" wp14:anchorId="02F409A0" wp14:editId="627DBB18">
                <wp:simplePos x="0" y="0"/>
                <wp:positionH relativeFrom="column">
                  <wp:posOffset>1270</wp:posOffset>
                </wp:positionH>
                <wp:positionV relativeFrom="paragraph">
                  <wp:posOffset>44450</wp:posOffset>
                </wp:positionV>
                <wp:extent cx="5659200" cy="0"/>
                <wp:effectExtent l="0" t="0" r="36830" b="1905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12695" id="Straight Connector 50"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D997FF3" w14:textId="77777777" w:rsidR="00A62C11" w:rsidRPr="00AB43DB" w:rsidRDefault="00A62C11" w:rsidP="00A62C11">
      <w:pPr>
        <w:tabs>
          <w:tab w:val="left" w:pos="4253"/>
        </w:tabs>
      </w:pPr>
      <w:r>
        <w:t>Signed:</w:t>
      </w:r>
    </w:p>
    <w:p w14:paraId="74CE4A7E" w14:textId="7EE6567D" w:rsidR="00A62C11" w:rsidRDefault="00A62C11" w:rsidP="00A62C11">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290CACF9" w14:textId="77777777" w:rsidR="00A62C11" w:rsidRDefault="00A62C11" w:rsidP="00A62C11">
      <w:pPr>
        <w:pStyle w:val="Normal0"/>
        <w:rPr>
          <w:rFonts w:ascii="Verdana" w:hAnsi="Verdana"/>
          <w:sz w:val="22"/>
          <w:szCs w:val="22"/>
          <w:lang w:val="en-AU"/>
        </w:rPr>
      </w:pPr>
    </w:p>
    <w:p w14:paraId="6654A731" w14:textId="77777777" w:rsidR="00A62C11" w:rsidRPr="000B79EC" w:rsidRDefault="00A62C11" w:rsidP="00A62C11">
      <w:pPr>
        <w:tabs>
          <w:tab w:val="left" w:pos="4253"/>
        </w:tabs>
        <w:rPr>
          <w:b/>
          <w:bCs/>
        </w:rPr>
      </w:pPr>
      <w:r w:rsidRPr="000B79EC">
        <w:rPr>
          <w:b/>
          <w:bCs/>
        </w:rPr>
        <w:t>Nick Alexander</w:t>
      </w:r>
      <w:r w:rsidRPr="000B79EC">
        <w:rPr>
          <w:b/>
          <w:bCs/>
        </w:rPr>
        <w:tab/>
        <w:t xml:space="preserve">Ivan Balhatchet </w:t>
      </w:r>
    </w:p>
    <w:p w14:paraId="589F01BA" w14:textId="77777777" w:rsidR="00A62C11" w:rsidRPr="000B79EC" w:rsidRDefault="00A62C11" w:rsidP="00A62C11">
      <w:pPr>
        <w:tabs>
          <w:tab w:val="left" w:pos="4253"/>
        </w:tabs>
        <w:rPr>
          <w:b/>
          <w:bCs/>
        </w:rPr>
      </w:pPr>
      <w:r w:rsidRPr="000B79EC">
        <w:rPr>
          <w:b/>
          <w:bCs/>
          <w:lang w:eastAsia="en-GB"/>
        </w:rPr>
        <w:t>Chief Finance Officer (s151)</w:t>
      </w:r>
      <w:r w:rsidRPr="000B79EC">
        <w:rPr>
          <w:b/>
          <w:bCs/>
          <w:lang w:eastAsia="en-GB"/>
        </w:rPr>
        <w:tab/>
      </w:r>
      <w:r w:rsidRPr="000B79EC">
        <w:rPr>
          <w:b/>
          <w:bCs/>
        </w:rPr>
        <w:t>Northamptonshire Chief Constable</w:t>
      </w:r>
    </w:p>
    <w:p w14:paraId="6712313B" w14:textId="77777777" w:rsidR="00A62C11" w:rsidRDefault="00A62C11" w:rsidP="00A62C11">
      <w:pPr>
        <w:tabs>
          <w:tab w:val="left" w:pos="4253"/>
        </w:tabs>
      </w:pPr>
    </w:p>
    <w:p w14:paraId="13386650" w14:textId="3FF79D85" w:rsidR="001C7399" w:rsidRDefault="00A62C11" w:rsidP="00A62C11">
      <w:pPr>
        <w:tabs>
          <w:tab w:val="left" w:pos="4253"/>
        </w:tabs>
      </w:pPr>
      <w:r w:rsidRPr="00837A71">
        <w:t>Date:</w:t>
      </w:r>
      <w:r>
        <w:t xml:space="preserve"> 27</w:t>
      </w:r>
      <w:r w:rsidRPr="00A62C11">
        <w:t>th</w:t>
      </w:r>
      <w:r>
        <w:t xml:space="preserve"> February 2025</w:t>
      </w:r>
      <w:r w:rsidRPr="00837A71">
        <w:tab/>
        <w:t>Date:</w:t>
      </w:r>
      <w:r>
        <w:t xml:space="preserve">  27</w:t>
      </w:r>
      <w:r w:rsidRPr="00A62C11">
        <w:t>th</w:t>
      </w:r>
      <w:r>
        <w:t xml:space="preserve"> February 2025</w:t>
      </w:r>
    </w:p>
    <w:p w14:paraId="3BC6B198" w14:textId="77777777" w:rsidR="00A62C11" w:rsidRPr="00A62C11" w:rsidRDefault="00A62C11" w:rsidP="00A62C11">
      <w:pPr>
        <w:tabs>
          <w:tab w:val="left" w:pos="4253"/>
        </w:tabs>
      </w:pPr>
    </w:p>
    <w:p w14:paraId="75B9B5EB" w14:textId="77777777" w:rsidR="001C7399" w:rsidRPr="00FE4060" w:rsidRDefault="001C7399" w:rsidP="00C60BA1">
      <w:pPr>
        <w:pStyle w:val="Normal0"/>
        <w:rPr>
          <w:rFonts w:cs="Times New Roman"/>
          <w:highlight w:val="yellow"/>
        </w:rPr>
        <w:sectPr w:rsidR="001C7399" w:rsidRPr="00FE4060" w:rsidSect="00C60BA1">
          <w:type w:val="continuous"/>
          <w:pgSz w:w="11900" w:h="16840"/>
          <w:pgMar w:top="1418" w:right="1418" w:bottom="1418" w:left="1134" w:header="709" w:footer="0" w:gutter="0"/>
          <w:cols w:space="708"/>
          <w:docGrid w:linePitch="360"/>
        </w:sectPr>
      </w:pPr>
      <w:r>
        <w:rPr>
          <w:noProof/>
          <w:lang w:val="en-GB" w:eastAsia="en-GB"/>
        </w:rPr>
        <mc:AlternateContent>
          <mc:Choice Requires="wps">
            <w:drawing>
              <wp:anchor distT="0" distB="0" distL="114300" distR="114300" simplePos="0" relativeHeight="251658243" behindDoc="0" locked="0" layoutInCell="1" allowOverlap="1" wp14:anchorId="1BA9F807" wp14:editId="0C7F82FB">
                <wp:simplePos x="0" y="0"/>
                <wp:positionH relativeFrom="column">
                  <wp:posOffset>0</wp:posOffset>
                </wp:positionH>
                <wp:positionV relativeFrom="paragraph">
                  <wp:posOffset>0</wp:posOffset>
                </wp:positionV>
                <wp:extent cx="5659200" cy="0"/>
                <wp:effectExtent l="0" t="0" r="36830"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BCDD8" id="Straight Connector 5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" strokecolor="black [3200]" strokeweight=".5pt">
                <v:stroke joinstyle="miter"/>
              </v:line>
            </w:pict>
          </mc:Fallback>
        </mc:AlternateContent>
      </w:r>
    </w:p>
    <w:p w14:paraId="7084F4AD" w14:textId="77777777" w:rsidR="002522D4" w:rsidRPr="00E350DD" w:rsidRDefault="002522D4" w:rsidP="00C60BA1">
      <w:pPr>
        <w:pStyle w:val="ChapterHeading"/>
        <w:rPr>
          <w:lang w:val="pt-BR"/>
        </w:rPr>
      </w:pPr>
      <w:r w:rsidRPr="00653D20">
        <w:rPr>
          <w:rFonts w:ascii="Verdana" w:hAnsi="Verdana"/>
          <w:sz w:val="22"/>
          <w:szCs w:val="22"/>
          <w:highlight w:val="yellow"/>
          <w:lang w:val="en-AU"/>
        </w:rPr>
        <w:br w:type="page"/>
      </w:r>
      <w:bookmarkStart w:id="69" w:name="_Toc9272499"/>
      <w:bookmarkStart w:id="70" w:name="_Toc191281428"/>
      <w:r w:rsidRPr="00460A5D">
        <w:rPr>
          <w:lang w:val="pt-BR"/>
        </w:rPr>
        <w:lastRenderedPageBreak/>
        <w:t>Cash Flow Statement</w:t>
      </w:r>
      <w:bookmarkEnd w:id="69"/>
      <w:bookmarkEnd w:id="70"/>
    </w:p>
    <w:p w14:paraId="37AB77E0" w14:textId="77777777" w:rsidR="002522D4" w:rsidRPr="00E350DD" w:rsidRDefault="002522D4" w:rsidP="00C60BA1">
      <w:pPr>
        <w:rPr>
          <w:lang w:val="pt-BR"/>
        </w:rPr>
      </w:pPr>
    </w:p>
    <w:p w14:paraId="48229CEC" w14:textId="77777777" w:rsidR="002522D4" w:rsidRPr="00E350DD" w:rsidRDefault="002522D4" w:rsidP="00C60BA1">
      <w:pPr>
        <w:rPr>
          <w:lang w:val="pt-BR"/>
        </w:rPr>
      </w:pPr>
      <w:r w:rsidRPr="00E350DD">
        <w:rPr>
          <w:lang w:val="pt-BR"/>
        </w:rPr>
        <w:t xml:space="preserve">This statement shows a summary of the cash flowing in and out of the </w:t>
      </w:r>
      <w:r w:rsidR="006A5AA6" w:rsidRPr="00E350DD">
        <w:rPr>
          <w:lang w:val="pt-BR"/>
        </w:rPr>
        <w:t>OCC</w:t>
      </w:r>
      <w:r w:rsidRPr="00E350DD">
        <w:rPr>
          <w:lang w:val="pt-BR"/>
        </w:rPr>
        <w:t xml:space="preserve"> arising from transactions with third parties for revenue and capital purposes. </w:t>
      </w:r>
      <w:r w:rsidR="006A5AA6" w:rsidRPr="00E350DD">
        <w:rPr>
          <w:lang w:val="pt-BR"/>
        </w:rPr>
        <w:t xml:space="preserve"> </w:t>
      </w:r>
      <w:r w:rsidRPr="00E350DD">
        <w:rPr>
          <w:lang w:val="pt-BR"/>
        </w:rPr>
        <w:t>Cash is defined for this statement as cash in hand and deposits repayable on demand.</w:t>
      </w:r>
    </w:p>
    <w:p w14:paraId="72EAEDB0" w14:textId="77777777" w:rsidR="002522D4" w:rsidRPr="00E350DD" w:rsidRDefault="002522D4" w:rsidP="00C60BA1"/>
    <w:p w14:paraId="21E24B1C" w14:textId="77777777" w:rsidR="00460A5D" w:rsidRDefault="008329C8" w:rsidP="008329C8">
      <w:pPr>
        <w:pStyle w:val="Normal0"/>
        <w:tabs>
          <w:tab w:val="left" w:pos="180"/>
        </w:tabs>
        <w:spacing w:after="160" w:line="259" w:lineRule="auto"/>
        <w:jc w:val="both"/>
        <w:rPr>
          <w:rFonts w:ascii="Verdana" w:eastAsia="Calibri" w:hAnsi="Verdana" w:cs="Arial"/>
          <w:sz w:val="22"/>
          <w:szCs w:val="22"/>
          <w:lang w:val="pt-BR"/>
        </w:rPr>
      </w:pPr>
      <w:r>
        <w:rPr>
          <w:rFonts w:ascii="Verdana" w:eastAsia="Calibri" w:hAnsi="Verdana" w:cs="Arial"/>
          <w:sz w:val="22"/>
          <w:szCs w:val="22"/>
          <w:lang w:val="pt-BR"/>
        </w:rPr>
        <w:tab/>
      </w:r>
    </w:p>
    <w:tbl>
      <w:tblPr>
        <w:tblW w:w="8020" w:type="dxa"/>
        <w:tblLook w:val="04A0" w:firstRow="1" w:lastRow="0" w:firstColumn="1" w:lastColumn="0" w:noHBand="0" w:noVBand="1"/>
      </w:tblPr>
      <w:tblGrid>
        <w:gridCol w:w="1420"/>
        <w:gridCol w:w="5260"/>
        <w:gridCol w:w="1340"/>
      </w:tblGrid>
      <w:tr w:rsidR="00460A5D" w:rsidRPr="00460A5D" w14:paraId="7FD8CAB6" w14:textId="77777777" w:rsidTr="00460A5D">
        <w:trPr>
          <w:trHeight w:val="290"/>
        </w:trPr>
        <w:tc>
          <w:tcPr>
            <w:tcW w:w="1420" w:type="dxa"/>
            <w:tcBorders>
              <w:top w:val="nil"/>
              <w:left w:val="nil"/>
              <w:bottom w:val="nil"/>
              <w:right w:val="nil"/>
            </w:tcBorders>
            <w:shd w:val="clear" w:color="000000" w:fill="000099"/>
            <w:vAlign w:val="bottom"/>
            <w:hideMark/>
          </w:tcPr>
          <w:p w14:paraId="01682939"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 </w:t>
            </w:r>
          </w:p>
        </w:tc>
        <w:tc>
          <w:tcPr>
            <w:tcW w:w="5260" w:type="dxa"/>
            <w:tcBorders>
              <w:top w:val="nil"/>
              <w:left w:val="nil"/>
              <w:bottom w:val="nil"/>
              <w:right w:val="nil"/>
            </w:tcBorders>
            <w:shd w:val="clear" w:color="000000" w:fill="000099"/>
            <w:vAlign w:val="bottom"/>
            <w:hideMark/>
          </w:tcPr>
          <w:p w14:paraId="14021E17"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30491C8B"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 </w:t>
            </w:r>
          </w:p>
        </w:tc>
      </w:tr>
      <w:tr w:rsidR="00460A5D" w:rsidRPr="00460A5D" w14:paraId="171AF56C" w14:textId="77777777" w:rsidTr="00460A5D">
        <w:trPr>
          <w:trHeight w:val="290"/>
        </w:trPr>
        <w:tc>
          <w:tcPr>
            <w:tcW w:w="1420" w:type="dxa"/>
            <w:tcBorders>
              <w:top w:val="nil"/>
              <w:left w:val="nil"/>
              <w:bottom w:val="nil"/>
              <w:right w:val="nil"/>
            </w:tcBorders>
            <w:shd w:val="clear" w:color="000000" w:fill="000099"/>
            <w:vAlign w:val="bottom"/>
            <w:hideMark/>
          </w:tcPr>
          <w:p w14:paraId="3AE591E1"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2022/23</w:t>
            </w:r>
          </w:p>
        </w:tc>
        <w:tc>
          <w:tcPr>
            <w:tcW w:w="5260" w:type="dxa"/>
            <w:tcBorders>
              <w:top w:val="nil"/>
              <w:left w:val="nil"/>
              <w:bottom w:val="nil"/>
              <w:right w:val="nil"/>
            </w:tcBorders>
            <w:shd w:val="clear" w:color="000000" w:fill="000099"/>
            <w:vAlign w:val="bottom"/>
            <w:hideMark/>
          </w:tcPr>
          <w:p w14:paraId="141A3A3C"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4D38CCF0"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2023/24</w:t>
            </w:r>
          </w:p>
        </w:tc>
      </w:tr>
      <w:tr w:rsidR="00460A5D" w:rsidRPr="00460A5D" w14:paraId="056BEA1D" w14:textId="77777777" w:rsidTr="00460A5D">
        <w:trPr>
          <w:trHeight w:val="290"/>
        </w:trPr>
        <w:tc>
          <w:tcPr>
            <w:tcW w:w="1420" w:type="dxa"/>
            <w:tcBorders>
              <w:top w:val="nil"/>
              <w:left w:val="nil"/>
              <w:bottom w:val="nil"/>
              <w:right w:val="nil"/>
            </w:tcBorders>
            <w:shd w:val="clear" w:color="000000" w:fill="000099"/>
            <w:vAlign w:val="bottom"/>
            <w:hideMark/>
          </w:tcPr>
          <w:p w14:paraId="0045E8BC"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14FE2621"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75096B72" w14:textId="77777777" w:rsidR="00460A5D" w:rsidRPr="00460A5D" w:rsidRDefault="00460A5D" w:rsidP="00460A5D">
            <w:pPr>
              <w:spacing w:line="240" w:lineRule="auto"/>
              <w:jc w:val="center"/>
              <w:rPr>
                <w:rFonts w:eastAsia="Times New Roman" w:cs="Calibri"/>
                <w:b/>
                <w:bCs/>
                <w:color w:val="FFFFFF"/>
                <w:szCs w:val="20"/>
                <w:lang w:eastAsia="en-GB"/>
              </w:rPr>
            </w:pPr>
            <w:r w:rsidRPr="00460A5D">
              <w:rPr>
                <w:rFonts w:eastAsia="Times New Roman" w:cs="Calibri"/>
                <w:b/>
                <w:bCs/>
                <w:color w:val="FFFFFF"/>
                <w:szCs w:val="20"/>
                <w:lang w:eastAsia="en-GB"/>
              </w:rPr>
              <w:t>£000</w:t>
            </w:r>
          </w:p>
        </w:tc>
      </w:tr>
      <w:tr w:rsidR="00460A5D" w:rsidRPr="00460A5D" w14:paraId="6ED7AC50" w14:textId="77777777" w:rsidTr="00460A5D">
        <w:trPr>
          <w:trHeight w:val="290"/>
        </w:trPr>
        <w:tc>
          <w:tcPr>
            <w:tcW w:w="1420" w:type="dxa"/>
            <w:tcBorders>
              <w:top w:val="nil"/>
              <w:left w:val="nil"/>
              <w:bottom w:val="nil"/>
              <w:right w:val="nil"/>
            </w:tcBorders>
            <w:shd w:val="clear" w:color="000000" w:fill="FFFFFF"/>
            <w:noWrap/>
            <w:vAlign w:val="bottom"/>
            <w:hideMark/>
          </w:tcPr>
          <w:p w14:paraId="1800FD3B"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nil"/>
              <w:right w:val="nil"/>
            </w:tcBorders>
            <w:shd w:val="clear" w:color="000000" w:fill="FFFFFF"/>
            <w:noWrap/>
            <w:vAlign w:val="bottom"/>
            <w:hideMark/>
          </w:tcPr>
          <w:p w14:paraId="78FF77BA"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bottom"/>
            <w:hideMark/>
          </w:tcPr>
          <w:p w14:paraId="7BA11CB8"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6C558356" w14:textId="77777777" w:rsidTr="00460A5D">
        <w:trPr>
          <w:trHeight w:val="290"/>
        </w:trPr>
        <w:tc>
          <w:tcPr>
            <w:tcW w:w="1420" w:type="dxa"/>
            <w:tcBorders>
              <w:top w:val="nil"/>
              <w:left w:val="nil"/>
              <w:bottom w:val="nil"/>
              <w:right w:val="nil"/>
            </w:tcBorders>
            <w:shd w:val="clear" w:color="000000" w:fill="FFFFFF"/>
            <w:noWrap/>
            <w:vAlign w:val="center"/>
            <w:hideMark/>
          </w:tcPr>
          <w:p w14:paraId="62FA6170"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53,045</w:t>
            </w:r>
          </w:p>
        </w:tc>
        <w:tc>
          <w:tcPr>
            <w:tcW w:w="5260" w:type="dxa"/>
            <w:tcBorders>
              <w:top w:val="nil"/>
              <w:left w:val="nil"/>
              <w:bottom w:val="nil"/>
              <w:right w:val="nil"/>
            </w:tcBorders>
            <w:shd w:val="clear" w:color="000000" w:fill="FFFFFF"/>
            <w:vAlign w:val="center"/>
            <w:hideMark/>
          </w:tcPr>
          <w:p w14:paraId="3A78E094"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Net Surplus/Deficit on Provision of Services</w:t>
            </w:r>
          </w:p>
        </w:tc>
        <w:tc>
          <w:tcPr>
            <w:tcW w:w="1340" w:type="dxa"/>
            <w:tcBorders>
              <w:top w:val="nil"/>
              <w:left w:val="nil"/>
              <w:bottom w:val="nil"/>
              <w:right w:val="nil"/>
            </w:tcBorders>
            <w:shd w:val="clear" w:color="000000" w:fill="CCECFF"/>
            <w:vAlign w:val="center"/>
            <w:hideMark/>
          </w:tcPr>
          <w:p w14:paraId="4A4C4DE7"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24,397</w:t>
            </w:r>
          </w:p>
        </w:tc>
      </w:tr>
      <w:tr w:rsidR="00460A5D" w:rsidRPr="00460A5D" w14:paraId="6410E25F" w14:textId="77777777" w:rsidTr="00460A5D">
        <w:trPr>
          <w:trHeight w:val="290"/>
        </w:trPr>
        <w:tc>
          <w:tcPr>
            <w:tcW w:w="1420" w:type="dxa"/>
            <w:tcBorders>
              <w:top w:val="nil"/>
              <w:left w:val="nil"/>
              <w:bottom w:val="nil"/>
              <w:right w:val="nil"/>
            </w:tcBorders>
            <w:shd w:val="clear" w:color="000000" w:fill="FFFFFF"/>
            <w:noWrap/>
            <w:vAlign w:val="center"/>
            <w:hideMark/>
          </w:tcPr>
          <w:p w14:paraId="279C7414"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381DE43B"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 </w:t>
            </w:r>
          </w:p>
        </w:tc>
        <w:tc>
          <w:tcPr>
            <w:tcW w:w="1340" w:type="dxa"/>
            <w:tcBorders>
              <w:top w:val="nil"/>
              <w:left w:val="nil"/>
              <w:bottom w:val="nil"/>
              <w:right w:val="nil"/>
            </w:tcBorders>
            <w:shd w:val="clear" w:color="000000" w:fill="CCECFF"/>
            <w:vAlign w:val="center"/>
            <w:hideMark/>
          </w:tcPr>
          <w:p w14:paraId="6DC9716A"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6BD0CCCE" w14:textId="77777777" w:rsidTr="00460A5D">
        <w:trPr>
          <w:trHeight w:val="520"/>
        </w:trPr>
        <w:tc>
          <w:tcPr>
            <w:tcW w:w="1420" w:type="dxa"/>
            <w:tcBorders>
              <w:top w:val="nil"/>
              <w:left w:val="nil"/>
              <w:bottom w:val="nil"/>
              <w:right w:val="nil"/>
            </w:tcBorders>
            <w:shd w:val="clear" w:color="000000" w:fill="FFFFFF"/>
            <w:noWrap/>
            <w:vAlign w:val="center"/>
            <w:hideMark/>
          </w:tcPr>
          <w:p w14:paraId="76C941E2"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(53,045)</w:t>
            </w:r>
          </w:p>
        </w:tc>
        <w:tc>
          <w:tcPr>
            <w:tcW w:w="5260" w:type="dxa"/>
            <w:tcBorders>
              <w:top w:val="nil"/>
              <w:left w:val="nil"/>
              <w:bottom w:val="nil"/>
              <w:right w:val="nil"/>
            </w:tcBorders>
            <w:shd w:val="clear" w:color="000000" w:fill="FFFFFF"/>
            <w:vAlign w:val="center"/>
            <w:hideMark/>
          </w:tcPr>
          <w:p w14:paraId="21F1601B"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Adjustments to net surplus/deficit on the provision of services for non cash movements (Note 34)</w:t>
            </w:r>
          </w:p>
        </w:tc>
        <w:tc>
          <w:tcPr>
            <w:tcW w:w="1340" w:type="dxa"/>
            <w:tcBorders>
              <w:top w:val="nil"/>
              <w:left w:val="nil"/>
              <w:bottom w:val="nil"/>
              <w:right w:val="nil"/>
            </w:tcBorders>
            <w:shd w:val="clear" w:color="000000" w:fill="CCECFF"/>
            <w:vAlign w:val="center"/>
            <w:hideMark/>
          </w:tcPr>
          <w:p w14:paraId="4400BFF4"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000000"/>
                <w:szCs w:val="20"/>
                <w:lang w:eastAsia="en-GB"/>
              </w:rPr>
              <w:t>(24,397)</w:t>
            </w:r>
          </w:p>
        </w:tc>
      </w:tr>
      <w:tr w:rsidR="00460A5D" w:rsidRPr="00460A5D" w14:paraId="4FF764AF" w14:textId="77777777" w:rsidTr="00460A5D">
        <w:trPr>
          <w:trHeight w:val="1350"/>
        </w:trPr>
        <w:tc>
          <w:tcPr>
            <w:tcW w:w="1420" w:type="dxa"/>
            <w:tcBorders>
              <w:top w:val="nil"/>
              <w:left w:val="nil"/>
              <w:bottom w:val="nil"/>
              <w:right w:val="nil"/>
            </w:tcBorders>
            <w:shd w:val="clear" w:color="000000" w:fill="FFFFFF"/>
            <w:noWrap/>
            <w:vAlign w:val="center"/>
            <w:hideMark/>
          </w:tcPr>
          <w:p w14:paraId="444DDA85"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79C4F881"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Adjustments for items included in the net surplus/deficit on the provision of services that are investing and financing activities (Note 34)</w:t>
            </w:r>
          </w:p>
        </w:tc>
        <w:tc>
          <w:tcPr>
            <w:tcW w:w="1340" w:type="dxa"/>
            <w:tcBorders>
              <w:top w:val="nil"/>
              <w:left w:val="nil"/>
              <w:bottom w:val="nil"/>
              <w:right w:val="nil"/>
            </w:tcBorders>
            <w:shd w:val="clear" w:color="000000" w:fill="CCECFF"/>
            <w:vAlign w:val="center"/>
            <w:hideMark/>
          </w:tcPr>
          <w:p w14:paraId="147E650D"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r>
      <w:tr w:rsidR="00460A5D" w:rsidRPr="00460A5D" w14:paraId="5E4F72C1" w14:textId="77777777" w:rsidTr="00460A5D">
        <w:trPr>
          <w:trHeight w:val="290"/>
        </w:trPr>
        <w:tc>
          <w:tcPr>
            <w:tcW w:w="1420" w:type="dxa"/>
            <w:tcBorders>
              <w:top w:val="nil"/>
              <w:left w:val="nil"/>
              <w:bottom w:val="single" w:sz="4" w:space="0" w:color="auto"/>
              <w:right w:val="nil"/>
            </w:tcBorders>
            <w:shd w:val="clear" w:color="000000" w:fill="FFFFFF"/>
            <w:noWrap/>
            <w:vAlign w:val="center"/>
            <w:hideMark/>
          </w:tcPr>
          <w:p w14:paraId="60DE79EB"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51F81F3C"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36D32C18"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0938371D" w14:textId="77777777" w:rsidTr="00460A5D">
        <w:trPr>
          <w:trHeight w:val="290"/>
        </w:trPr>
        <w:tc>
          <w:tcPr>
            <w:tcW w:w="1420" w:type="dxa"/>
            <w:tcBorders>
              <w:top w:val="nil"/>
              <w:left w:val="nil"/>
              <w:bottom w:val="nil"/>
              <w:right w:val="nil"/>
            </w:tcBorders>
            <w:shd w:val="clear" w:color="000000" w:fill="FFFFFF"/>
            <w:noWrap/>
            <w:vAlign w:val="center"/>
            <w:hideMark/>
          </w:tcPr>
          <w:p w14:paraId="28F22E61"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6DEA1807"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Net cash flows from Operating Activities</w:t>
            </w:r>
          </w:p>
        </w:tc>
        <w:tc>
          <w:tcPr>
            <w:tcW w:w="1340" w:type="dxa"/>
            <w:tcBorders>
              <w:top w:val="nil"/>
              <w:left w:val="nil"/>
              <w:bottom w:val="nil"/>
              <w:right w:val="nil"/>
            </w:tcBorders>
            <w:shd w:val="clear" w:color="000000" w:fill="CCECFF"/>
            <w:vAlign w:val="center"/>
            <w:hideMark/>
          </w:tcPr>
          <w:p w14:paraId="48A8A7BF"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r>
      <w:tr w:rsidR="00460A5D" w:rsidRPr="00460A5D" w14:paraId="58513909" w14:textId="77777777" w:rsidTr="00460A5D">
        <w:trPr>
          <w:trHeight w:val="290"/>
        </w:trPr>
        <w:tc>
          <w:tcPr>
            <w:tcW w:w="1420" w:type="dxa"/>
            <w:tcBorders>
              <w:top w:val="nil"/>
              <w:left w:val="nil"/>
              <w:bottom w:val="nil"/>
              <w:right w:val="nil"/>
            </w:tcBorders>
            <w:shd w:val="clear" w:color="000000" w:fill="FFFFFF"/>
            <w:noWrap/>
            <w:vAlign w:val="center"/>
            <w:hideMark/>
          </w:tcPr>
          <w:p w14:paraId="4CA6F627"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3C3E0CDC"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338033D5"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3286B1F4" w14:textId="77777777" w:rsidTr="00460A5D">
        <w:trPr>
          <w:trHeight w:val="290"/>
        </w:trPr>
        <w:tc>
          <w:tcPr>
            <w:tcW w:w="1420" w:type="dxa"/>
            <w:tcBorders>
              <w:top w:val="nil"/>
              <w:left w:val="nil"/>
              <w:bottom w:val="nil"/>
              <w:right w:val="nil"/>
            </w:tcBorders>
            <w:shd w:val="clear" w:color="000000" w:fill="FFFFFF"/>
            <w:noWrap/>
            <w:vAlign w:val="center"/>
            <w:hideMark/>
          </w:tcPr>
          <w:p w14:paraId="3F05F320"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624CD8D5"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Investing Activities (Note 35)</w:t>
            </w:r>
          </w:p>
        </w:tc>
        <w:tc>
          <w:tcPr>
            <w:tcW w:w="1340" w:type="dxa"/>
            <w:tcBorders>
              <w:top w:val="nil"/>
              <w:left w:val="nil"/>
              <w:bottom w:val="nil"/>
              <w:right w:val="nil"/>
            </w:tcBorders>
            <w:shd w:val="clear" w:color="000000" w:fill="CCECFF"/>
            <w:vAlign w:val="center"/>
            <w:hideMark/>
          </w:tcPr>
          <w:p w14:paraId="392744C9"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r>
      <w:tr w:rsidR="00460A5D" w:rsidRPr="00460A5D" w14:paraId="7C100757" w14:textId="77777777" w:rsidTr="00460A5D">
        <w:trPr>
          <w:trHeight w:val="290"/>
        </w:trPr>
        <w:tc>
          <w:tcPr>
            <w:tcW w:w="1420" w:type="dxa"/>
            <w:tcBorders>
              <w:top w:val="nil"/>
              <w:left w:val="nil"/>
              <w:bottom w:val="nil"/>
              <w:right w:val="nil"/>
            </w:tcBorders>
            <w:shd w:val="clear" w:color="000000" w:fill="FFFFFF"/>
            <w:noWrap/>
            <w:vAlign w:val="center"/>
            <w:hideMark/>
          </w:tcPr>
          <w:p w14:paraId="7465BCCC"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7E08D22B"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3373C9C3"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5AC73F4F" w14:textId="77777777" w:rsidTr="00460A5D">
        <w:trPr>
          <w:trHeight w:val="290"/>
        </w:trPr>
        <w:tc>
          <w:tcPr>
            <w:tcW w:w="1420" w:type="dxa"/>
            <w:tcBorders>
              <w:top w:val="nil"/>
              <w:left w:val="nil"/>
              <w:bottom w:val="nil"/>
              <w:right w:val="nil"/>
            </w:tcBorders>
            <w:shd w:val="clear" w:color="000000" w:fill="FFFFFF"/>
            <w:noWrap/>
            <w:vAlign w:val="center"/>
            <w:hideMark/>
          </w:tcPr>
          <w:p w14:paraId="0DF69C14"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8CE6E54"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Financing Activities</w:t>
            </w:r>
          </w:p>
        </w:tc>
        <w:tc>
          <w:tcPr>
            <w:tcW w:w="1340" w:type="dxa"/>
            <w:tcBorders>
              <w:top w:val="nil"/>
              <w:left w:val="nil"/>
              <w:bottom w:val="nil"/>
              <w:right w:val="nil"/>
            </w:tcBorders>
            <w:shd w:val="clear" w:color="000000" w:fill="CCECFF"/>
            <w:vAlign w:val="center"/>
            <w:hideMark/>
          </w:tcPr>
          <w:p w14:paraId="326B55CC"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r>
      <w:tr w:rsidR="00460A5D" w:rsidRPr="00460A5D" w14:paraId="1686C8EF" w14:textId="77777777" w:rsidTr="00460A5D">
        <w:trPr>
          <w:trHeight w:val="290"/>
        </w:trPr>
        <w:tc>
          <w:tcPr>
            <w:tcW w:w="1420" w:type="dxa"/>
            <w:tcBorders>
              <w:top w:val="nil"/>
              <w:left w:val="nil"/>
              <w:bottom w:val="single" w:sz="4" w:space="0" w:color="auto"/>
              <w:right w:val="nil"/>
            </w:tcBorders>
            <w:shd w:val="clear" w:color="000000" w:fill="FFFFFF"/>
            <w:noWrap/>
            <w:vAlign w:val="center"/>
            <w:hideMark/>
          </w:tcPr>
          <w:p w14:paraId="28D4AF7D"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025D1692"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48378F71"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 </w:t>
            </w:r>
          </w:p>
        </w:tc>
      </w:tr>
      <w:tr w:rsidR="00460A5D" w:rsidRPr="00460A5D" w14:paraId="7E43004A" w14:textId="77777777" w:rsidTr="00460A5D">
        <w:trPr>
          <w:trHeight w:val="290"/>
        </w:trPr>
        <w:tc>
          <w:tcPr>
            <w:tcW w:w="1420" w:type="dxa"/>
            <w:tcBorders>
              <w:top w:val="nil"/>
              <w:left w:val="nil"/>
              <w:bottom w:val="nil"/>
              <w:right w:val="nil"/>
            </w:tcBorders>
            <w:shd w:val="clear" w:color="000000" w:fill="FFFFFF"/>
            <w:noWrap/>
            <w:vAlign w:val="center"/>
            <w:hideMark/>
          </w:tcPr>
          <w:p w14:paraId="4BD72C00"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18BFD82A"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Net (increase) or decrease in cash &amp; cash equivalents</w:t>
            </w:r>
          </w:p>
        </w:tc>
        <w:tc>
          <w:tcPr>
            <w:tcW w:w="1340" w:type="dxa"/>
            <w:tcBorders>
              <w:top w:val="nil"/>
              <w:left w:val="nil"/>
              <w:bottom w:val="nil"/>
              <w:right w:val="nil"/>
            </w:tcBorders>
            <w:shd w:val="clear" w:color="000000" w:fill="CCECFF"/>
            <w:vAlign w:val="center"/>
            <w:hideMark/>
          </w:tcPr>
          <w:p w14:paraId="12D486C5"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r>
      <w:tr w:rsidR="00460A5D" w:rsidRPr="00460A5D" w14:paraId="36CD28CB" w14:textId="77777777" w:rsidTr="00460A5D">
        <w:trPr>
          <w:trHeight w:val="290"/>
        </w:trPr>
        <w:tc>
          <w:tcPr>
            <w:tcW w:w="1420" w:type="dxa"/>
            <w:tcBorders>
              <w:top w:val="nil"/>
              <w:left w:val="nil"/>
              <w:bottom w:val="nil"/>
              <w:right w:val="nil"/>
            </w:tcBorders>
            <w:shd w:val="clear" w:color="000000" w:fill="FFFFFF"/>
            <w:noWrap/>
            <w:vAlign w:val="center"/>
            <w:hideMark/>
          </w:tcPr>
          <w:p w14:paraId="6B6F1715"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1FD578BE"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5B85CB17"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46A7DF45" w14:textId="77777777" w:rsidTr="00460A5D">
        <w:trPr>
          <w:trHeight w:val="520"/>
        </w:trPr>
        <w:tc>
          <w:tcPr>
            <w:tcW w:w="1420" w:type="dxa"/>
            <w:tcBorders>
              <w:top w:val="nil"/>
              <w:left w:val="nil"/>
              <w:bottom w:val="nil"/>
              <w:right w:val="nil"/>
            </w:tcBorders>
            <w:shd w:val="clear" w:color="000000" w:fill="FFFFFF"/>
            <w:noWrap/>
            <w:vAlign w:val="center"/>
            <w:hideMark/>
          </w:tcPr>
          <w:p w14:paraId="77A2BBC0"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3909A3F2"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Cash &amp; cash equivalents at the beginning of the reporting period</w:t>
            </w:r>
          </w:p>
        </w:tc>
        <w:tc>
          <w:tcPr>
            <w:tcW w:w="1340" w:type="dxa"/>
            <w:tcBorders>
              <w:top w:val="nil"/>
              <w:left w:val="nil"/>
              <w:bottom w:val="nil"/>
              <w:right w:val="nil"/>
            </w:tcBorders>
            <w:shd w:val="clear" w:color="000000" w:fill="CCECFF"/>
            <w:vAlign w:val="center"/>
            <w:hideMark/>
          </w:tcPr>
          <w:p w14:paraId="41E343AB" w14:textId="77777777" w:rsidR="00460A5D" w:rsidRPr="00460A5D" w:rsidRDefault="00460A5D" w:rsidP="00460A5D">
            <w:pPr>
              <w:spacing w:line="240" w:lineRule="auto"/>
              <w:jc w:val="right"/>
              <w:rPr>
                <w:rFonts w:eastAsia="Times New Roman" w:cs="Calibri"/>
                <w:color w:val="auto"/>
                <w:szCs w:val="20"/>
                <w:lang w:eastAsia="en-GB"/>
              </w:rPr>
            </w:pPr>
            <w:r w:rsidRPr="00460A5D">
              <w:rPr>
                <w:rFonts w:eastAsia="Times New Roman" w:cs="Calibri"/>
                <w:color w:val="auto"/>
                <w:szCs w:val="20"/>
                <w:lang w:eastAsia="en-GB"/>
              </w:rPr>
              <w:t>-</w:t>
            </w:r>
          </w:p>
        </w:tc>
      </w:tr>
      <w:tr w:rsidR="00460A5D" w:rsidRPr="00460A5D" w14:paraId="70299102" w14:textId="77777777" w:rsidTr="00460A5D">
        <w:trPr>
          <w:trHeight w:val="290"/>
        </w:trPr>
        <w:tc>
          <w:tcPr>
            <w:tcW w:w="1420" w:type="dxa"/>
            <w:tcBorders>
              <w:top w:val="nil"/>
              <w:left w:val="nil"/>
              <w:bottom w:val="single" w:sz="4" w:space="0" w:color="auto"/>
              <w:right w:val="nil"/>
            </w:tcBorders>
            <w:shd w:val="clear" w:color="000000" w:fill="FFFFFF"/>
            <w:noWrap/>
            <w:vAlign w:val="center"/>
            <w:hideMark/>
          </w:tcPr>
          <w:p w14:paraId="312D4657"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30F03D24"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0B665723" w14:textId="77777777" w:rsidR="00460A5D" w:rsidRPr="00460A5D" w:rsidRDefault="00460A5D" w:rsidP="00460A5D">
            <w:pPr>
              <w:spacing w:line="240" w:lineRule="auto"/>
              <w:jc w:val="left"/>
              <w:rPr>
                <w:rFonts w:eastAsia="Times New Roman" w:cs="Calibri"/>
                <w:color w:val="auto"/>
                <w:szCs w:val="20"/>
                <w:lang w:eastAsia="en-GB"/>
              </w:rPr>
            </w:pPr>
            <w:r w:rsidRPr="00460A5D">
              <w:rPr>
                <w:rFonts w:eastAsia="Times New Roman" w:cs="Calibri"/>
                <w:color w:val="auto"/>
                <w:szCs w:val="20"/>
                <w:lang w:eastAsia="en-GB"/>
              </w:rPr>
              <w:t> </w:t>
            </w:r>
          </w:p>
        </w:tc>
      </w:tr>
      <w:tr w:rsidR="00460A5D" w:rsidRPr="00460A5D" w14:paraId="01009C6A" w14:textId="77777777" w:rsidTr="00460A5D">
        <w:trPr>
          <w:trHeight w:val="690"/>
        </w:trPr>
        <w:tc>
          <w:tcPr>
            <w:tcW w:w="1420" w:type="dxa"/>
            <w:tcBorders>
              <w:top w:val="nil"/>
              <w:left w:val="nil"/>
              <w:bottom w:val="single" w:sz="4" w:space="0" w:color="auto"/>
              <w:right w:val="nil"/>
            </w:tcBorders>
            <w:shd w:val="clear" w:color="000000" w:fill="FFFFFF"/>
            <w:noWrap/>
            <w:vAlign w:val="center"/>
            <w:hideMark/>
          </w:tcPr>
          <w:p w14:paraId="05ACFBE2"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c>
          <w:tcPr>
            <w:tcW w:w="5260" w:type="dxa"/>
            <w:tcBorders>
              <w:top w:val="nil"/>
              <w:left w:val="nil"/>
              <w:bottom w:val="single" w:sz="4" w:space="0" w:color="auto"/>
              <w:right w:val="nil"/>
            </w:tcBorders>
            <w:shd w:val="clear" w:color="000000" w:fill="FFFFFF"/>
            <w:vAlign w:val="center"/>
            <w:hideMark/>
          </w:tcPr>
          <w:p w14:paraId="5847ADD8" w14:textId="77777777" w:rsidR="00460A5D" w:rsidRPr="00460A5D" w:rsidRDefault="00460A5D" w:rsidP="00460A5D">
            <w:pPr>
              <w:spacing w:line="240" w:lineRule="auto"/>
              <w:jc w:val="left"/>
              <w:rPr>
                <w:rFonts w:eastAsia="Times New Roman" w:cs="Calibri"/>
                <w:b/>
                <w:bCs/>
                <w:color w:val="auto"/>
                <w:szCs w:val="20"/>
                <w:lang w:eastAsia="en-GB"/>
              </w:rPr>
            </w:pPr>
            <w:r w:rsidRPr="00460A5D">
              <w:rPr>
                <w:rFonts w:eastAsia="Times New Roman" w:cs="Calibri"/>
                <w:b/>
                <w:bCs/>
                <w:color w:val="auto"/>
                <w:szCs w:val="20"/>
                <w:lang w:eastAsia="en-GB"/>
              </w:rPr>
              <w:t>Cash &amp; cash equivalents at the end of the reporting period</w:t>
            </w:r>
          </w:p>
        </w:tc>
        <w:tc>
          <w:tcPr>
            <w:tcW w:w="1340" w:type="dxa"/>
            <w:tcBorders>
              <w:top w:val="nil"/>
              <w:left w:val="nil"/>
              <w:bottom w:val="single" w:sz="4" w:space="0" w:color="auto"/>
              <w:right w:val="nil"/>
            </w:tcBorders>
            <w:shd w:val="clear" w:color="000000" w:fill="CCECFF"/>
            <w:vAlign w:val="center"/>
            <w:hideMark/>
          </w:tcPr>
          <w:p w14:paraId="50E51FC5" w14:textId="77777777" w:rsidR="00460A5D" w:rsidRPr="00460A5D" w:rsidRDefault="00460A5D" w:rsidP="00460A5D">
            <w:pPr>
              <w:spacing w:line="240" w:lineRule="auto"/>
              <w:jc w:val="right"/>
              <w:rPr>
                <w:rFonts w:eastAsia="Times New Roman" w:cs="Calibri"/>
                <w:b/>
                <w:bCs/>
                <w:color w:val="auto"/>
                <w:szCs w:val="20"/>
                <w:lang w:eastAsia="en-GB"/>
              </w:rPr>
            </w:pPr>
            <w:r w:rsidRPr="00460A5D">
              <w:rPr>
                <w:rFonts w:eastAsia="Times New Roman" w:cs="Calibri"/>
                <w:b/>
                <w:bCs/>
                <w:color w:val="auto"/>
                <w:szCs w:val="20"/>
                <w:lang w:eastAsia="en-GB"/>
              </w:rPr>
              <w:t>-</w:t>
            </w:r>
          </w:p>
        </w:tc>
      </w:tr>
    </w:tbl>
    <w:p w14:paraId="7599A910" w14:textId="3FAB18C6" w:rsidR="00EE0AC7" w:rsidRDefault="00EE0AC7" w:rsidP="008329C8">
      <w:pPr>
        <w:pStyle w:val="Normal0"/>
        <w:tabs>
          <w:tab w:val="left" w:pos="180"/>
        </w:tabs>
        <w:spacing w:after="160" w:line="259" w:lineRule="auto"/>
        <w:jc w:val="both"/>
        <w:rPr>
          <w:rFonts w:ascii="Verdana" w:eastAsia="Calibri" w:hAnsi="Verdana" w:cs="Arial"/>
          <w:sz w:val="22"/>
          <w:szCs w:val="22"/>
          <w:lang w:val="pt-BR"/>
        </w:rPr>
      </w:pPr>
    </w:p>
    <w:p w14:paraId="6E1DCBF5" w14:textId="77777777" w:rsidR="00152532" w:rsidRDefault="00152532" w:rsidP="008329C8">
      <w:pPr>
        <w:pStyle w:val="Normal0"/>
        <w:tabs>
          <w:tab w:val="left" w:pos="180"/>
        </w:tabs>
        <w:spacing w:after="160" w:line="259" w:lineRule="auto"/>
        <w:jc w:val="both"/>
        <w:rPr>
          <w:rFonts w:ascii="Verdana" w:eastAsia="Calibri" w:hAnsi="Verdana" w:cs="Arial"/>
          <w:sz w:val="22"/>
          <w:szCs w:val="22"/>
          <w:lang w:val="pt-BR"/>
        </w:rPr>
      </w:pPr>
    </w:p>
    <w:p w14:paraId="0973512A"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ED0A8C"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5BF250FB"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ED50E0"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068DFAC7"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50D01C2"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9C421E" w14:textId="77777777" w:rsidR="002334D9" w:rsidRPr="009909DC"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B91396" w14:textId="0621E359" w:rsidR="00B121D3" w:rsidRPr="00E350DD" w:rsidRDefault="00B121D3" w:rsidP="00B121D3">
      <w:pPr>
        <w:pStyle w:val="ChapterHeading"/>
      </w:pPr>
      <w:bookmarkStart w:id="71" w:name="_Toc9277050"/>
      <w:bookmarkStart w:id="72" w:name="_Toc191281429"/>
      <w:bookmarkStart w:id="73" w:name="_Toc517077275"/>
      <w:bookmarkStart w:id="74" w:name="_Toc9272501"/>
      <w:bookmarkStart w:id="75" w:name="_Toc9592047"/>
      <w:bookmarkEnd w:id="4"/>
      <w:r w:rsidRPr="00E350DD">
        <w:lastRenderedPageBreak/>
        <w:t>Notes to the Accounts</w:t>
      </w:r>
      <w:bookmarkEnd w:id="71"/>
      <w:bookmarkEnd w:id="72"/>
    </w:p>
    <w:p w14:paraId="3A591851" w14:textId="5F236D7C" w:rsidR="00A17A9C" w:rsidRDefault="00A17A9C">
      <w:pPr>
        <w:pStyle w:val="TOC2"/>
      </w:pPr>
      <w:r>
        <w:tab/>
      </w:r>
    </w:p>
    <w:p w14:paraId="66055FC9" w14:textId="5ADC3599" w:rsidR="00DA6165" w:rsidRDefault="00B121D3">
      <w:pPr>
        <w:pStyle w:val="TOC2"/>
        <w:rPr>
          <w:rFonts w:asciiTheme="minorHAnsi" w:eastAsiaTheme="minorEastAsia" w:hAnsiTheme="minorHAnsi"/>
          <w:noProof/>
          <w:color w:val="auto"/>
          <w:kern w:val="2"/>
          <w:sz w:val="24"/>
          <w:lang w:eastAsia="en-GB"/>
          <w14:ligatures w14:val="standardContextual"/>
        </w:rPr>
      </w:pPr>
      <w:r w:rsidRPr="00AF7F7E">
        <w:fldChar w:fldCharType="begin"/>
      </w:r>
      <w:r w:rsidRPr="00AF7F7E">
        <w:instrText xml:space="preserve"> TOC \b Notes \* MERGEFORMAT </w:instrText>
      </w:r>
      <w:r w:rsidRPr="00AF7F7E">
        <w:fldChar w:fldCharType="separate"/>
      </w:r>
      <w:r w:rsidR="00DA6165">
        <w:rPr>
          <w:noProof/>
        </w:rPr>
        <w:t>Expenditure and Funding Analysis</w:t>
      </w:r>
      <w:r w:rsidR="00DA6165">
        <w:rPr>
          <w:noProof/>
        </w:rPr>
        <w:tab/>
      </w:r>
      <w:r w:rsidR="00DA6165">
        <w:rPr>
          <w:noProof/>
        </w:rPr>
        <w:fldChar w:fldCharType="begin"/>
      </w:r>
      <w:r w:rsidR="00DA6165">
        <w:rPr>
          <w:noProof/>
        </w:rPr>
        <w:instrText xml:space="preserve"> PAGEREF _Toc191457314 \h </w:instrText>
      </w:r>
      <w:r w:rsidR="00DA6165">
        <w:rPr>
          <w:noProof/>
        </w:rPr>
      </w:r>
      <w:r w:rsidR="00DA6165">
        <w:rPr>
          <w:noProof/>
        </w:rPr>
        <w:fldChar w:fldCharType="separate"/>
      </w:r>
      <w:r w:rsidR="00945E9C">
        <w:rPr>
          <w:noProof/>
        </w:rPr>
        <w:t>25</w:t>
      </w:r>
      <w:r w:rsidR="00DA6165">
        <w:rPr>
          <w:noProof/>
        </w:rPr>
        <w:fldChar w:fldCharType="end"/>
      </w:r>
    </w:p>
    <w:p w14:paraId="77389747" w14:textId="3BE66652"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1 - Critical Judgements in Applying Accounting Policies</w:t>
      </w:r>
      <w:r>
        <w:rPr>
          <w:noProof/>
        </w:rPr>
        <w:tab/>
      </w:r>
      <w:r>
        <w:rPr>
          <w:noProof/>
        </w:rPr>
        <w:fldChar w:fldCharType="begin"/>
      </w:r>
      <w:r>
        <w:rPr>
          <w:noProof/>
        </w:rPr>
        <w:instrText xml:space="preserve"> PAGEREF _Toc191457315 \h </w:instrText>
      </w:r>
      <w:r>
        <w:rPr>
          <w:noProof/>
        </w:rPr>
      </w:r>
      <w:r>
        <w:rPr>
          <w:noProof/>
        </w:rPr>
        <w:fldChar w:fldCharType="separate"/>
      </w:r>
      <w:r w:rsidR="00945E9C">
        <w:rPr>
          <w:noProof/>
        </w:rPr>
        <w:t>26</w:t>
      </w:r>
      <w:r>
        <w:rPr>
          <w:noProof/>
        </w:rPr>
        <w:fldChar w:fldCharType="end"/>
      </w:r>
    </w:p>
    <w:p w14:paraId="51108942" w14:textId="68C109C3"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2 - Assumptions Made about the Future and Other Major Sources of Estimation Uncertainty</w:t>
      </w:r>
      <w:r>
        <w:rPr>
          <w:noProof/>
        </w:rPr>
        <w:tab/>
      </w:r>
      <w:r>
        <w:rPr>
          <w:noProof/>
        </w:rPr>
        <w:fldChar w:fldCharType="begin"/>
      </w:r>
      <w:r>
        <w:rPr>
          <w:noProof/>
        </w:rPr>
        <w:instrText xml:space="preserve"> PAGEREF _Toc191457316 \h </w:instrText>
      </w:r>
      <w:r>
        <w:rPr>
          <w:noProof/>
        </w:rPr>
      </w:r>
      <w:r>
        <w:rPr>
          <w:noProof/>
        </w:rPr>
        <w:fldChar w:fldCharType="separate"/>
      </w:r>
      <w:r w:rsidR="00945E9C">
        <w:rPr>
          <w:noProof/>
        </w:rPr>
        <w:t>26</w:t>
      </w:r>
      <w:r>
        <w:rPr>
          <w:noProof/>
        </w:rPr>
        <w:fldChar w:fldCharType="end"/>
      </w:r>
    </w:p>
    <w:p w14:paraId="026E9C98" w14:textId="36E54B1E"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3 - Events after the Balance Sheet Date</w:t>
      </w:r>
      <w:r>
        <w:rPr>
          <w:noProof/>
        </w:rPr>
        <w:tab/>
      </w:r>
      <w:r>
        <w:rPr>
          <w:noProof/>
        </w:rPr>
        <w:fldChar w:fldCharType="begin"/>
      </w:r>
      <w:r>
        <w:rPr>
          <w:noProof/>
        </w:rPr>
        <w:instrText xml:space="preserve"> PAGEREF _Toc191457317 \h </w:instrText>
      </w:r>
      <w:r>
        <w:rPr>
          <w:noProof/>
        </w:rPr>
      </w:r>
      <w:r>
        <w:rPr>
          <w:noProof/>
        </w:rPr>
        <w:fldChar w:fldCharType="separate"/>
      </w:r>
      <w:r w:rsidR="00945E9C">
        <w:rPr>
          <w:noProof/>
        </w:rPr>
        <w:t>27</w:t>
      </w:r>
      <w:r>
        <w:rPr>
          <w:noProof/>
        </w:rPr>
        <w:fldChar w:fldCharType="end"/>
      </w:r>
    </w:p>
    <w:p w14:paraId="687A311B" w14:textId="5BD8B4BA"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4 - Officers’ Remuneration</w:t>
      </w:r>
      <w:r>
        <w:rPr>
          <w:noProof/>
        </w:rPr>
        <w:tab/>
      </w:r>
      <w:r>
        <w:rPr>
          <w:noProof/>
        </w:rPr>
        <w:fldChar w:fldCharType="begin"/>
      </w:r>
      <w:r>
        <w:rPr>
          <w:noProof/>
        </w:rPr>
        <w:instrText xml:space="preserve"> PAGEREF _Toc191457318 \h </w:instrText>
      </w:r>
      <w:r>
        <w:rPr>
          <w:noProof/>
        </w:rPr>
      </w:r>
      <w:r>
        <w:rPr>
          <w:noProof/>
        </w:rPr>
        <w:fldChar w:fldCharType="separate"/>
      </w:r>
      <w:r w:rsidR="00945E9C">
        <w:rPr>
          <w:noProof/>
        </w:rPr>
        <w:t>27</w:t>
      </w:r>
      <w:r>
        <w:rPr>
          <w:noProof/>
        </w:rPr>
        <w:fldChar w:fldCharType="end"/>
      </w:r>
    </w:p>
    <w:p w14:paraId="32BADA5D" w14:textId="6B6F8AEB"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5A - Note to the Expenditure and Funding Analysis</w:t>
      </w:r>
      <w:r>
        <w:rPr>
          <w:noProof/>
        </w:rPr>
        <w:tab/>
      </w:r>
      <w:r>
        <w:rPr>
          <w:noProof/>
        </w:rPr>
        <w:fldChar w:fldCharType="begin"/>
      </w:r>
      <w:r>
        <w:rPr>
          <w:noProof/>
        </w:rPr>
        <w:instrText xml:space="preserve"> PAGEREF _Toc191457319 \h </w:instrText>
      </w:r>
      <w:r>
        <w:rPr>
          <w:noProof/>
        </w:rPr>
      </w:r>
      <w:r>
        <w:rPr>
          <w:noProof/>
        </w:rPr>
        <w:fldChar w:fldCharType="separate"/>
      </w:r>
      <w:r w:rsidR="00945E9C">
        <w:rPr>
          <w:noProof/>
        </w:rPr>
        <w:t>29</w:t>
      </w:r>
      <w:r>
        <w:rPr>
          <w:noProof/>
        </w:rPr>
        <w:fldChar w:fldCharType="end"/>
      </w:r>
    </w:p>
    <w:p w14:paraId="4557EE70" w14:textId="4821A961"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5B - Segmental Analysis of Income and Expenditure</w:t>
      </w:r>
      <w:r>
        <w:rPr>
          <w:noProof/>
        </w:rPr>
        <w:tab/>
      </w:r>
      <w:r>
        <w:rPr>
          <w:noProof/>
        </w:rPr>
        <w:fldChar w:fldCharType="begin"/>
      </w:r>
      <w:r>
        <w:rPr>
          <w:noProof/>
        </w:rPr>
        <w:instrText xml:space="preserve"> PAGEREF _Toc191457320 \h </w:instrText>
      </w:r>
      <w:r>
        <w:rPr>
          <w:noProof/>
        </w:rPr>
      </w:r>
      <w:r>
        <w:rPr>
          <w:noProof/>
        </w:rPr>
        <w:fldChar w:fldCharType="separate"/>
      </w:r>
      <w:r w:rsidR="00945E9C">
        <w:rPr>
          <w:noProof/>
        </w:rPr>
        <w:t>29</w:t>
      </w:r>
      <w:r>
        <w:rPr>
          <w:noProof/>
        </w:rPr>
        <w:fldChar w:fldCharType="end"/>
      </w:r>
    </w:p>
    <w:p w14:paraId="5963118F" w14:textId="1A06C07F"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5C - Expenditure and Income Analysed by Nature</w:t>
      </w:r>
      <w:r>
        <w:rPr>
          <w:noProof/>
        </w:rPr>
        <w:tab/>
      </w:r>
      <w:r>
        <w:rPr>
          <w:noProof/>
        </w:rPr>
        <w:fldChar w:fldCharType="begin"/>
      </w:r>
      <w:r>
        <w:rPr>
          <w:noProof/>
        </w:rPr>
        <w:instrText xml:space="preserve"> PAGEREF _Toc191457321 \h </w:instrText>
      </w:r>
      <w:r>
        <w:rPr>
          <w:noProof/>
        </w:rPr>
      </w:r>
      <w:r>
        <w:rPr>
          <w:noProof/>
        </w:rPr>
        <w:fldChar w:fldCharType="separate"/>
      </w:r>
      <w:r w:rsidR="00945E9C">
        <w:rPr>
          <w:noProof/>
        </w:rPr>
        <w:t>30</w:t>
      </w:r>
      <w:r>
        <w:rPr>
          <w:noProof/>
        </w:rPr>
        <w:fldChar w:fldCharType="end"/>
      </w:r>
    </w:p>
    <w:p w14:paraId="48A570BE" w14:textId="5A6AFA50"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6 - Adjustments between Accounting Basis and Funding Basis under Regulations</w:t>
      </w:r>
      <w:r>
        <w:rPr>
          <w:noProof/>
        </w:rPr>
        <w:tab/>
      </w:r>
      <w:r>
        <w:rPr>
          <w:noProof/>
        </w:rPr>
        <w:fldChar w:fldCharType="begin"/>
      </w:r>
      <w:r>
        <w:rPr>
          <w:noProof/>
        </w:rPr>
        <w:instrText xml:space="preserve"> PAGEREF _Toc191457322 \h </w:instrText>
      </w:r>
      <w:r>
        <w:rPr>
          <w:noProof/>
        </w:rPr>
      </w:r>
      <w:r>
        <w:rPr>
          <w:noProof/>
        </w:rPr>
        <w:fldChar w:fldCharType="separate"/>
      </w:r>
      <w:r w:rsidR="00945E9C">
        <w:rPr>
          <w:noProof/>
        </w:rPr>
        <w:t>31</w:t>
      </w:r>
      <w:r>
        <w:rPr>
          <w:noProof/>
        </w:rPr>
        <w:fldChar w:fldCharType="end"/>
      </w:r>
    </w:p>
    <w:p w14:paraId="0DE3020B" w14:textId="232A44D7"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7 - Other Operating Expenditure</w:t>
      </w:r>
      <w:r>
        <w:rPr>
          <w:noProof/>
        </w:rPr>
        <w:tab/>
      </w:r>
      <w:r>
        <w:rPr>
          <w:noProof/>
        </w:rPr>
        <w:fldChar w:fldCharType="begin"/>
      </w:r>
      <w:r>
        <w:rPr>
          <w:noProof/>
        </w:rPr>
        <w:instrText xml:space="preserve"> PAGEREF _Toc191457323 \h </w:instrText>
      </w:r>
      <w:r>
        <w:rPr>
          <w:noProof/>
        </w:rPr>
      </w:r>
      <w:r>
        <w:rPr>
          <w:noProof/>
        </w:rPr>
        <w:fldChar w:fldCharType="separate"/>
      </w:r>
      <w:r w:rsidR="00945E9C">
        <w:rPr>
          <w:noProof/>
        </w:rPr>
        <w:t>32</w:t>
      </w:r>
      <w:r>
        <w:rPr>
          <w:noProof/>
        </w:rPr>
        <w:fldChar w:fldCharType="end"/>
      </w:r>
    </w:p>
    <w:p w14:paraId="58D20B61" w14:textId="34186D84"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8 - Financing and Investment Income and Expenditure</w:t>
      </w:r>
      <w:r>
        <w:rPr>
          <w:noProof/>
        </w:rPr>
        <w:tab/>
      </w:r>
      <w:r>
        <w:rPr>
          <w:noProof/>
        </w:rPr>
        <w:fldChar w:fldCharType="begin"/>
      </w:r>
      <w:r>
        <w:rPr>
          <w:noProof/>
        </w:rPr>
        <w:instrText xml:space="preserve"> PAGEREF _Toc191457324 \h </w:instrText>
      </w:r>
      <w:r>
        <w:rPr>
          <w:noProof/>
        </w:rPr>
      </w:r>
      <w:r>
        <w:rPr>
          <w:noProof/>
        </w:rPr>
        <w:fldChar w:fldCharType="separate"/>
      </w:r>
      <w:r w:rsidR="00945E9C">
        <w:rPr>
          <w:noProof/>
        </w:rPr>
        <w:t>33</w:t>
      </w:r>
      <w:r>
        <w:rPr>
          <w:noProof/>
        </w:rPr>
        <w:fldChar w:fldCharType="end"/>
      </w:r>
    </w:p>
    <w:p w14:paraId="0D0B6899" w14:textId="0CACDC4C"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9 - Taxation and Non-Specific Grant Income</w:t>
      </w:r>
      <w:r>
        <w:rPr>
          <w:noProof/>
        </w:rPr>
        <w:tab/>
      </w:r>
      <w:r>
        <w:rPr>
          <w:noProof/>
        </w:rPr>
        <w:fldChar w:fldCharType="begin"/>
      </w:r>
      <w:r>
        <w:rPr>
          <w:noProof/>
        </w:rPr>
        <w:instrText xml:space="preserve"> PAGEREF _Toc191457325 \h </w:instrText>
      </w:r>
      <w:r>
        <w:rPr>
          <w:noProof/>
        </w:rPr>
      </w:r>
      <w:r>
        <w:rPr>
          <w:noProof/>
        </w:rPr>
        <w:fldChar w:fldCharType="separate"/>
      </w:r>
      <w:r w:rsidR="00945E9C">
        <w:rPr>
          <w:noProof/>
        </w:rPr>
        <w:t>33</w:t>
      </w:r>
      <w:r>
        <w:rPr>
          <w:noProof/>
        </w:rPr>
        <w:fldChar w:fldCharType="end"/>
      </w:r>
    </w:p>
    <w:p w14:paraId="09B87FB1" w14:textId="3DE34335"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10 - Material Items of Income and Expense</w:t>
      </w:r>
      <w:r>
        <w:rPr>
          <w:noProof/>
        </w:rPr>
        <w:tab/>
      </w:r>
      <w:r>
        <w:rPr>
          <w:noProof/>
        </w:rPr>
        <w:fldChar w:fldCharType="begin"/>
      </w:r>
      <w:r>
        <w:rPr>
          <w:noProof/>
        </w:rPr>
        <w:instrText xml:space="preserve"> PAGEREF _Toc191457326 \h </w:instrText>
      </w:r>
      <w:r>
        <w:rPr>
          <w:noProof/>
        </w:rPr>
      </w:r>
      <w:r>
        <w:rPr>
          <w:noProof/>
        </w:rPr>
        <w:fldChar w:fldCharType="separate"/>
      </w:r>
      <w:r w:rsidR="00945E9C">
        <w:rPr>
          <w:noProof/>
        </w:rPr>
        <w:t>33</w:t>
      </w:r>
      <w:r>
        <w:rPr>
          <w:noProof/>
        </w:rPr>
        <w:fldChar w:fldCharType="end"/>
      </w:r>
    </w:p>
    <w:p w14:paraId="06074F12" w14:textId="61B2C667"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11 - Trading Operations</w:t>
      </w:r>
      <w:r>
        <w:rPr>
          <w:noProof/>
        </w:rPr>
        <w:tab/>
      </w:r>
      <w:r>
        <w:rPr>
          <w:noProof/>
        </w:rPr>
        <w:fldChar w:fldCharType="begin"/>
      </w:r>
      <w:r>
        <w:rPr>
          <w:noProof/>
        </w:rPr>
        <w:instrText xml:space="preserve"> PAGEREF _Toc191457327 \h </w:instrText>
      </w:r>
      <w:r>
        <w:rPr>
          <w:noProof/>
        </w:rPr>
      </w:r>
      <w:r>
        <w:rPr>
          <w:noProof/>
        </w:rPr>
        <w:fldChar w:fldCharType="separate"/>
      </w:r>
      <w:r w:rsidR="00945E9C">
        <w:rPr>
          <w:noProof/>
        </w:rPr>
        <w:t>33</w:t>
      </w:r>
      <w:r>
        <w:rPr>
          <w:noProof/>
        </w:rPr>
        <w:fldChar w:fldCharType="end"/>
      </w:r>
    </w:p>
    <w:p w14:paraId="617107A1" w14:textId="142040BF"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12 - Members’ Allowances</w:t>
      </w:r>
      <w:r>
        <w:rPr>
          <w:noProof/>
        </w:rPr>
        <w:tab/>
      </w:r>
      <w:r>
        <w:rPr>
          <w:noProof/>
        </w:rPr>
        <w:fldChar w:fldCharType="begin"/>
      </w:r>
      <w:r>
        <w:rPr>
          <w:noProof/>
        </w:rPr>
        <w:instrText xml:space="preserve"> PAGEREF _Toc191457328 \h </w:instrText>
      </w:r>
      <w:r>
        <w:rPr>
          <w:noProof/>
        </w:rPr>
      </w:r>
      <w:r>
        <w:rPr>
          <w:noProof/>
        </w:rPr>
        <w:fldChar w:fldCharType="separate"/>
      </w:r>
      <w:r w:rsidR="00945E9C">
        <w:rPr>
          <w:noProof/>
        </w:rPr>
        <w:t>33</w:t>
      </w:r>
      <w:r>
        <w:rPr>
          <w:noProof/>
        </w:rPr>
        <w:fldChar w:fldCharType="end"/>
      </w:r>
    </w:p>
    <w:p w14:paraId="483E9E21" w14:textId="76A468D4"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13 - External Audit Costs</w:t>
      </w:r>
      <w:r>
        <w:rPr>
          <w:noProof/>
        </w:rPr>
        <w:tab/>
      </w:r>
      <w:r>
        <w:rPr>
          <w:noProof/>
        </w:rPr>
        <w:fldChar w:fldCharType="begin"/>
      </w:r>
      <w:r>
        <w:rPr>
          <w:noProof/>
        </w:rPr>
        <w:instrText xml:space="preserve"> PAGEREF _Toc191457329 \h </w:instrText>
      </w:r>
      <w:r>
        <w:rPr>
          <w:noProof/>
        </w:rPr>
      </w:r>
      <w:r>
        <w:rPr>
          <w:noProof/>
        </w:rPr>
        <w:fldChar w:fldCharType="separate"/>
      </w:r>
      <w:r w:rsidR="00945E9C">
        <w:rPr>
          <w:noProof/>
        </w:rPr>
        <w:t>33</w:t>
      </w:r>
      <w:r>
        <w:rPr>
          <w:noProof/>
        </w:rPr>
        <w:fldChar w:fldCharType="end"/>
      </w:r>
    </w:p>
    <w:p w14:paraId="25452E62" w14:textId="3BABBAC0"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14 - Grant Income</w:t>
      </w:r>
      <w:r>
        <w:rPr>
          <w:noProof/>
        </w:rPr>
        <w:tab/>
      </w:r>
      <w:r>
        <w:rPr>
          <w:noProof/>
        </w:rPr>
        <w:fldChar w:fldCharType="begin"/>
      </w:r>
      <w:r>
        <w:rPr>
          <w:noProof/>
        </w:rPr>
        <w:instrText xml:space="preserve"> PAGEREF _Toc191457330 \h </w:instrText>
      </w:r>
      <w:r>
        <w:rPr>
          <w:noProof/>
        </w:rPr>
      </w:r>
      <w:r>
        <w:rPr>
          <w:noProof/>
        </w:rPr>
        <w:fldChar w:fldCharType="separate"/>
      </w:r>
      <w:r w:rsidR="00945E9C">
        <w:rPr>
          <w:noProof/>
        </w:rPr>
        <w:t>34</w:t>
      </w:r>
      <w:r>
        <w:rPr>
          <w:noProof/>
        </w:rPr>
        <w:fldChar w:fldCharType="end"/>
      </w:r>
    </w:p>
    <w:p w14:paraId="6A1129A2" w14:textId="0C70FD25"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15 - Related Parties</w:t>
      </w:r>
      <w:r>
        <w:rPr>
          <w:noProof/>
        </w:rPr>
        <w:tab/>
      </w:r>
      <w:r>
        <w:rPr>
          <w:noProof/>
        </w:rPr>
        <w:fldChar w:fldCharType="begin"/>
      </w:r>
      <w:r>
        <w:rPr>
          <w:noProof/>
        </w:rPr>
        <w:instrText xml:space="preserve"> PAGEREF _Toc191457331 \h </w:instrText>
      </w:r>
      <w:r>
        <w:rPr>
          <w:noProof/>
        </w:rPr>
      </w:r>
      <w:r>
        <w:rPr>
          <w:noProof/>
        </w:rPr>
        <w:fldChar w:fldCharType="separate"/>
      </w:r>
      <w:r w:rsidR="00945E9C">
        <w:rPr>
          <w:noProof/>
        </w:rPr>
        <w:t>34</w:t>
      </w:r>
      <w:r>
        <w:rPr>
          <w:noProof/>
        </w:rPr>
        <w:fldChar w:fldCharType="end"/>
      </w:r>
    </w:p>
    <w:p w14:paraId="2F77295C" w14:textId="1BE56D1E"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16 - Transfers to/from Earmarked Reserves</w:t>
      </w:r>
      <w:r>
        <w:rPr>
          <w:noProof/>
        </w:rPr>
        <w:tab/>
      </w:r>
      <w:r>
        <w:rPr>
          <w:noProof/>
        </w:rPr>
        <w:fldChar w:fldCharType="begin"/>
      </w:r>
      <w:r>
        <w:rPr>
          <w:noProof/>
        </w:rPr>
        <w:instrText xml:space="preserve"> PAGEREF _Toc191457332 \h </w:instrText>
      </w:r>
      <w:r>
        <w:rPr>
          <w:noProof/>
        </w:rPr>
      </w:r>
      <w:r>
        <w:rPr>
          <w:noProof/>
        </w:rPr>
        <w:fldChar w:fldCharType="separate"/>
      </w:r>
      <w:r w:rsidR="00945E9C">
        <w:rPr>
          <w:noProof/>
        </w:rPr>
        <w:t>35</w:t>
      </w:r>
      <w:r>
        <w:rPr>
          <w:noProof/>
        </w:rPr>
        <w:fldChar w:fldCharType="end"/>
      </w:r>
    </w:p>
    <w:p w14:paraId="097A6B6B" w14:textId="1D24E83A"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17 - Unusable Reserves</w:t>
      </w:r>
      <w:r>
        <w:rPr>
          <w:noProof/>
        </w:rPr>
        <w:tab/>
      </w:r>
      <w:r>
        <w:rPr>
          <w:noProof/>
        </w:rPr>
        <w:fldChar w:fldCharType="begin"/>
      </w:r>
      <w:r>
        <w:rPr>
          <w:noProof/>
        </w:rPr>
        <w:instrText xml:space="preserve"> PAGEREF _Toc191457333 \h </w:instrText>
      </w:r>
      <w:r>
        <w:rPr>
          <w:noProof/>
        </w:rPr>
      </w:r>
      <w:r>
        <w:rPr>
          <w:noProof/>
        </w:rPr>
        <w:fldChar w:fldCharType="separate"/>
      </w:r>
      <w:r w:rsidR="00945E9C">
        <w:rPr>
          <w:noProof/>
        </w:rPr>
        <w:t>35</w:t>
      </w:r>
      <w:r>
        <w:rPr>
          <w:noProof/>
        </w:rPr>
        <w:fldChar w:fldCharType="end"/>
      </w:r>
    </w:p>
    <w:p w14:paraId="387795CE" w14:textId="58042867"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18 - Property, Plant and Equipment</w:t>
      </w:r>
      <w:r>
        <w:rPr>
          <w:noProof/>
        </w:rPr>
        <w:tab/>
      </w:r>
      <w:r>
        <w:rPr>
          <w:noProof/>
        </w:rPr>
        <w:fldChar w:fldCharType="begin"/>
      </w:r>
      <w:r>
        <w:rPr>
          <w:noProof/>
        </w:rPr>
        <w:instrText xml:space="preserve"> PAGEREF _Toc191457334 \h </w:instrText>
      </w:r>
      <w:r>
        <w:rPr>
          <w:noProof/>
        </w:rPr>
      </w:r>
      <w:r>
        <w:rPr>
          <w:noProof/>
        </w:rPr>
        <w:fldChar w:fldCharType="separate"/>
      </w:r>
      <w:r w:rsidR="00945E9C">
        <w:rPr>
          <w:noProof/>
        </w:rPr>
        <w:t>36</w:t>
      </w:r>
      <w:r>
        <w:rPr>
          <w:noProof/>
        </w:rPr>
        <w:fldChar w:fldCharType="end"/>
      </w:r>
    </w:p>
    <w:p w14:paraId="5EBAC093" w14:textId="2B4F4A8A"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19 - Impairment Losses</w:t>
      </w:r>
      <w:r>
        <w:rPr>
          <w:noProof/>
        </w:rPr>
        <w:tab/>
      </w:r>
      <w:r>
        <w:rPr>
          <w:noProof/>
        </w:rPr>
        <w:fldChar w:fldCharType="begin"/>
      </w:r>
      <w:r>
        <w:rPr>
          <w:noProof/>
        </w:rPr>
        <w:instrText xml:space="preserve"> PAGEREF _Toc191457335 \h </w:instrText>
      </w:r>
      <w:r>
        <w:rPr>
          <w:noProof/>
        </w:rPr>
      </w:r>
      <w:r>
        <w:rPr>
          <w:noProof/>
        </w:rPr>
        <w:fldChar w:fldCharType="separate"/>
      </w:r>
      <w:r w:rsidR="00945E9C">
        <w:rPr>
          <w:noProof/>
        </w:rPr>
        <w:t>36</w:t>
      </w:r>
      <w:r>
        <w:rPr>
          <w:noProof/>
        </w:rPr>
        <w:fldChar w:fldCharType="end"/>
      </w:r>
    </w:p>
    <w:p w14:paraId="3D7A9ED8" w14:textId="2EA9C586"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20 - Assets Held for Sale</w:t>
      </w:r>
      <w:r>
        <w:rPr>
          <w:noProof/>
        </w:rPr>
        <w:tab/>
      </w:r>
      <w:r>
        <w:rPr>
          <w:noProof/>
        </w:rPr>
        <w:fldChar w:fldCharType="begin"/>
      </w:r>
      <w:r>
        <w:rPr>
          <w:noProof/>
        </w:rPr>
        <w:instrText xml:space="preserve"> PAGEREF _Toc191457336 \h </w:instrText>
      </w:r>
      <w:r>
        <w:rPr>
          <w:noProof/>
        </w:rPr>
      </w:r>
      <w:r>
        <w:rPr>
          <w:noProof/>
        </w:rPr>
        <w:fldChar w:fldCharType="separate"/>
      </w:r>
      <w:r w:rsidR="00945E9C">
        <w:rPr>
          <w:noProof/>
        </w:rPr>
        <w:t>36</w:t>
      </w:r>
      <w:r>
        <w:rPr>
          <w:noProof/>
        </w:rPr>
        <w:fldChar w:fldCharType="end"/>
      </w:r>
    </w:p>
    <w:p w14:paraId="242C9D56" w14:textId="49BE35D0"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21 - Investment Properties</w:t>
      </w:r>
      <w:r>
        <w:rPr>
          <w:noProof/>
        </w:rPr>
        <w:tab/>
      </w:r>
      <w:r>
        <w:rPr>
          <w:noProof/>
        </w:rPr>
        <w:fldChar w:fldCharType="begin"/>
      </w:r>
      <w:r>
        <w:rPr>
          <w:noProof/>
        </w:rPr>
        <w:instrText xml:space="preserve"> PAGEREF _Toc191457337 \h </w:instrText>
      </w:r>
      <w:r>
        <w:rPr>
          <w:noProof/>
        </w:rPr>
      </w:r>
      <w:r>
        <w:rPr>
          <w:noProof/>
        </w:rPr>
        <w:fldChar w:fldCharType="separate"/>
      </w:r>
      <w:r w:rsidR="00945E9C">
        <w:rPr>
          <w:noProof/>
        </w:rPr>
        <w:t>36</w:t>
      </w:r>
      <w:r>
        <w:rPr>
          <w:noProof/>
        </w:rPr>
        <w:fldChar w:fldCharType="end"/>
      </w:r>
    </w:p>
    <w:p w14:paraId="5E9CB00D" w14:textId="627E8182"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22 - Leases</w:t>
      </w:r>
      <w:r>
        <w:rPr>
          <w:noProof/>
        </w:rPr>
        <w:tab/>
      </w:r>
      <w:r>
        <w:rPr>
          <w:noProof/>
        </w:rPr>
        <w:fldChar w:fldCharType="begin"/>
      </w:r>
      <w:r>
        <w:rPr>
          <w:noProof/>
        </w:rPr>
        <w:instrText xml:space="preserve"> PAGEREF _Toc191457338 \h </w:instrText>
      </w:r>
      <w:r>
        <w:rPr>
          <w:noProof/>
        </w:rPr>
      </w:r>
      <w:r>
        <w:rPr>
          <w:noProof/>
        </w:rPr>
        <w:fldChar w:fldCharType="separate"/>
      </w:r>
      <w:r w:rsidR="00945E9C">
        <w:rPr>
          <w:noProof/>
        </w:rPr>
        <w:t>36</w:t>
      </w:r>
      <w:r>
        <w:rPr>
          <w:noProof/>
        </w:rPr>
        <w:fldChar w:fldCharType="end"/>
      </w:r>
    </w:p>
    <w:p w14:paraId="3C1ACB53" w14:textId="400FF8E7"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23 - Intangible Assets</w:t>
      </w:r>
      <w:r>
        <w:rPr>
          <w:noProof/>
        </w:rPr>
        <w:tab/>
      </w:r>
      <w:r>
        <w:rPr>
          <w:noProof/>
        </w:rPr>
        <w:fldChar w:fldCharType="begin"/>
      </w:r>
      <w:r>
        <w:rPr>
          <w:noProof/>
        </w:rPr>
        <w:instrText xml:space="preserve"> PAGEREF _Toc191457339 \h </w:instrText>
      </w:r>
      <w:r>
        <w:rPr>
          <w:noProof/>
        </w:rPr>
      </w:r>
      <w:r>
        <w:rPr>
          <w:noProof/>
        </w:rPr>
        <w:fldChar w:fldCharType="separate"/>
      </w:r>
      <w:r w:rsidR="00945E9C">
        <w:rPr>
          <w:noProof/>
        </w:rPr>
        <w:t>36</w:t>
      </w:r>
      <w:r>
        <w:rPr>
          <w:noProof/>
        </w:rPr>
        <w:fldChar w:fldCharType="end"/>
      </w:r>
    </w:p>
    <w:p w14:paraId="6AF6F881" w14:textId="25AB378A"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24 - Capital Expenditure and Capital Financing</w:t>
      </w:r>
      <w:r>
        <w:rPr>
          <w:noProof/>
        </w:rPr>
        <w:tab/>
      </w:r>
      <w:r>
        <w:rPr>
          <w:noProof/>
        </w:rPr>
        <w:fldChar w:fldCharType="begin"/>
      </w:r>
      <w:r>
        <w:rPr>
          <w:noProof/>
        </w:rPr>
        <w:instrText xml:space="preserve"> PAGEREF _Toc191457340 \h </w:instrText>
      </w:r>
      <w:r>
        <w:rPr>
          <w:noProof/>
        </w:rPr>
      </w:r>
      <w:r>
        <w:rPr>
          <w:noProof/>
        </w:rPr>
        <w:fldChar w:fldCharType="separate"/>
      </w:r>
      <w:r w:rsidR="00945E9C">
        <w:rPr>
          <w:noProof/>
        </w:rPr>
        <w:t>36</w:t>
      </w:r>
      <w:r>
        <w:rPr>
          <w:noProof/>
        </w:rPr>
        <w:fldChar w:fldCharType="end"/>
      </w:r>
    </w:p>
    <w:p w14:paraId="1FA86666" w14:textId="707CA9C7"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25 - Construction Contracts</w:t>
      </w:r>
      <w:r>
        <w:rPr>
          <w:noProof/>
        </w:rPr>
        <w:tab/>
      </w:r>
      <w:r>
        <w:rPr>
          <w:noProof/>
        </w:rPr>
        <w:fldChar w:fldCharType="begin"/>
      </w:r>
      <w:r>
        <w:rPr>
          <w:noProof/>
        </w:rPr>
        <w:instrText xml:space="preserve"> PAGEREF _Toc191457341 \h </w:instrText>
      </w:r>
      <w:r>
        <w:rPr>
          <w:noProof/>
        </w:rPr>
      </w:r>
      <w:r>
        <w:rPr>
          <w:noProof/>
        </w:rPr>
        <w:fldChar w:fldCharType="separate"/>
      </w:r>
      <w:r w:rsidR="00945E9C">
        <w:rPr>
          <w:noProof/>
        </w:rPr>
        <w:t>37</w:t>
      </w:r>
      <w:r>
        <w:rPr>
          <w:noProof/>
        </w:rPr>
        <w:fldChar w:fldCharType="end"/>
      </w:r>
    </w:p>
    <w:p w14:paraId="1A6D2283" w14:textId="45F8BAE3"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26 - Debtors</w:t>
      </w:r>
      <w:r>
        <w:rPr>
          <w:noProof/>
        </w:rPr>
        <w:tab/>
      </w:r>
      <w:r>
        <w:rPr>
          <w:noProof/>
        </w:rPr>
        <w:fldChar w:fldCharType="begin"/>
      </w:r>
      <w:r>
        <w:rPr>
          <w:noProof/>
        </w:rPr>
        <w:instrText xml:space="preserve"> PAGEREF _Toc191457342 \h </w:instrText>
      </w:r>
      <w:r>
        <w:rPr>
          <w:noProof/>
        </w:rPr>
      </w:r>
      <w:r>
        <w:rPr>
          <w:noProof/>
        </w:rPr>
        <w:fldChar w:fldCharType="separate"/>
      </w:r>
      <w:r w:rsidR="00945E9C">
        <w:rPr>
          <w:noProof/>
        </w:rPr>
        <w:t>37</w:t>
      </w:r>
      <w:r>
        <w:rPr>
          <w:noProof/>
        </w:rPr>
        <w:fldChar w:fldCharType="end"/>
      </w:r>
    </w:p>
    <w:p w14:paraId="67D1ABB1" w14:textId="47E8AF6C"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27 - Inventories</w:t>
      </w:r>
      <w:r>
        <w:rPr>
          <w:noProof/>
        </w:rPr>
        <w:tab/>
      </w:r>
      <w:r>
        <w:rPr>
          <w:noProof/>
        </w:rPr>
        <w:fldChar w:fldCharType="begin"/>
      </w:r>
      <w:r>
        <w:rPr>
          <w:noProof/>
        </w:rPr>
        <w:instrText xml:space="preserve"> PAGEREF _Toc191457343 \h </w:instrText>
      </w:r>
      <w:r>
        <w:rPr>
          <w:noProof/>
        </w:rPr>
      </w:r>
      <w:r>
        <w:rPr>
          <w:noProof/>
        </w:rPr>
        <w:fldChar w:fldCharType="separate"/>
      </w:r>
      <w:r w:rsidR="00945E9C">
        <w:rPr>
          <w:noProof/>
        </w:rPr>
        <w:t>37</w:t>
      </w:r>
      <w:r>
        <w:rPr>
          <w:noProof/>
        </w:rPr>
        <w:fldChar w:fldCharType="end"/>
      </w:r>
    </w:p>
    <w:p w14:paraId="71B496AA" w14:textId="12F060EC"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28 - Provisions</w:t>
      </w:r>
      <w:r>
        <w:rPr>
          <w:noProof/>
        </w:rPr>
        <w:tab/>
      </w:r>
      <w:r>
        <w:rPr>
          <w:noProof/>
        </w:rPr>
        <w:fldChar w:fldCharType="begin"/>
      </w:r>
      <w:r>
        <w:rPr>
          <w:noProof/>
        </w:rPr>
        <w:instrText xml:space="preserve"> PAGEREF _Toc191457344 \h </w:instrText>
      </w:r>
      <w:r>
        <w:rPr>
          <w:noProof/>
        </w:rPr>
      </w:r>
      <w:r>
        <w:rPr>
          <w:noProof/>
        </w:rPr>
        <w:fldChar w:fldCharType="separate"/>
      </w:r>
      <w:r w:rsidR="00945E9C">
        <w:rPr>
          <w:noProof/>
        </w:rPr>
        <w:t>37</w:t>
      </w:r>
      <w:r>
        <w:rPr>
          <w:noProof/>
        </w:rPr>
        <w:fldChar w:fldCharType="end"/>
      </w:r>
    </w:p>
    <w:p w14:paraId="3804F124" w14:textId="17050FC1"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29 - Creditors</w:t>
      </w:r>
      <w:r>
        <w:rPr>
          <w:noProof/>
        </w:rPr>
        <w:tab/>
      </w:r>
      <w:r>
        <w:rPr>
          <w:noProof/>
        </w:rPr>
        <w:fldChar w:fldCharType="begin"/>
      </w:r>
      <w:r>
        <w:rPr>
          <w:noProof/>
        </w:rPr>
        <w:instrText xml:space="preserve"> PAGEREF _Toc191457345 \h </w:instrText>
      </w:r>
      <w:r>
        <w:rPr>
          <w:noProof/>
        </w:rPr>
      </w:r>
      <w:r>
        <w:rPr>
          <w:noProof/>
        </w:rPr>
        <w:fldChar w:fldCharType="separate"/>
      </w:r>
      <w:r w:rsidR="00945E9C">
        <w:rPr>
          <w:noProof/>
        </w:rPr>
        <w:t>37</w:t>
      </w:r>
      <w:r>
        <w:rPr>
          <w:noProof/>
        </w:rPr>
        <w:fldChar w:fldCharType="end"/>
      </w:r>
    </w:p>
    <w:p w14:paraId="30A3D5CF" w14:textId="26C57E15"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30 - Capitalisation of Borrowing Costs</w:t>
      </w:r>
      <w:r>
        <w:rPr>
          <w:noProof/>
        </w:rPr>
        <w:tab/>
      </w:r>
      <w:r>
        <w:rPr>
          <w:noProof/>
        </w:rPr>
        <w:fldChar w:fldCharType="begin"/>
      </w:r>
      <w:r>
        <w:rPr>
          <w:noProof/>
        </w:rPr>
        <w:instrText xml:space="preserve"> PAGEREF _Toc191457346 \h </w:instrText>
      </w:r>
      <w:r>
        <w:rPr>
          <w:noProof/>
        </w:rPr>
      </w:r>
      <w:r>
        <w:rPr>
          <w:noProof/>
        </w:rPr>
        <w:fldChar w:fldCharType="separate"/>
      </w:r>
      <w:r w:rsidR="00945E9C">
        <w:rPr>
          <w:noProof/>
        </w:rPr>
        <w:t>37</w:t>
      </w:r>
      <w:r>
        <w:rPr>
          <w:noProof/>
        </w:rPr>
        <w:fldChar w:fldCharType="end"/>
      </w:r>
    </w:p>
    <w:p w14:paraId="184E36FA" w14:textId="0CB6CE1F"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31 - Contingent Liabilities</w:t>
      </w:r>
      <w:r>
        <w:rPr>
          <w:noProof/>
        </w:rPr>
        <w:tab/>
      </w:r>
      <w:r>
        <w:rPr>
          <w:noProof/>
        </w:rPr>
        <w:fldChar w:fldCharType="begin"/>
      </w:r>
      <w:r>
        <w:rPr>
          <w:noProof/>
        </w:rPr>
        <w:instrText xml:space="preserve"> PAGEREF _Toc191457347 \h </w:instrText>
      </w:r>
      <w:r>
        <w:rPr>
          <w:noProof/>
        </w:rPr>
      </w:r>
      <w:r>
        <w:rPr>
          <w:noProof/>
        </w:rPr>
        <w:fldChar w:fldCharType="separate"/>
      </w:r>
      <w:r w:rsidR="00945E9C">
        <w:rPr>
          <w:noProof/>
        </w:rPr>
        <w:t>37</w:t>
      </w:r>
      <w:r>
        <w:rPr>
          <w:noProof/>
        </w:rPr>
        <w:fldChar w:fldCharType="end"/>
      </w:r>
    </w:p>
    <w:p w14:paraId="0B9FC0F5" w14:textId="259CF76C"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32 - Contingent Assets</w:t>
      </w:r>
      <w:r>
        <w:rPr>
          <w:noProof/>
        </w:rPr>
        <w:tab/>
      </w:r>
      <w:r>
        <w:rPr>
          <w:noProof/>
        </w:rPr>
        <w:fldChar w:fldCharType="begin"/>
      </w:r>
      <w:r>
        <w:rPr>
          <w:noProof/>
        </w:rPr>
        <w:instrText xml:space="preserve"> PAGEREF _Toc191457348 \h </w:instrText>
      </w:r>
      <w:r>
        <w:rPr>
          <w:noProof/>
        </w:rPr>
      </w:r>
      <w:r>
        <w:rPr>
          <w:noProof/>
        </w:rPr>
        <w:fldChar w:fldCharType="separate"/>
      </w:r>
      <w:r w:rsidR="00945E9C">
        <w:rPr>
          <w:noProof/>
        </w:rPr>
        <w:t>37</w:t>
      </w:r>
      <w:r>
        <w:rPr>
          <w:noProof/>
        </w:rPr>
        <w:fldChar w:fldCharType="end"/>
      </w:r>
    </w:p>
    <w:p w14:paraId="0ABA29F5" w14:textId="776B3FFE"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33 - Cash and Cash Equivalents</w:t>
      </w:r>
      <w:r>
        <w:rPr>
          <w:noProof/>
        </w:rPr>
        <w:tab/>
      </w:r>
      <w:r>
        <w:rPr>
          <w:noProof/>
        </w:rPr>
        <w:fldChar w:fldCharType="begin"/>
      </w:r>
      <w:r>
        <w:rPr>
          <w:noProof/>
        </w:rPr>
        <w:instrText xml:space="preserve"> PAGEREF _Toc191457349 \h </w:instrText>
      </w:r>
      <w:r>
        <w:rPr>
          <w:noProof/>
        </w:rPr>
      </w:r>
      <w:r>
        <w:rPr>
          <w:noProof/>
        </w:rPr>
        <w:fldChar w:fldCharType="separate"/>
      </w:r>
      <w:r w:rsidR="00945E9C">
        <w:rPr>
          <w:noProof/>
        </w:rPr>
        <w:t>37</w:t>
      </w:r>
      <w:r>
        <w:rPr>
          <w:noProof/>
        </w:rPr>
        <w:fldChar w:fldCharType="end"/>
      </w:r>
    </w:p>
    <w:p w14:paraId="22E86343" w14:textId="03BD75E5"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34 - Cash Flow from Operating Activities</w:t>
      </w:r>
      <w:r>
        <w:rPr>
          <w:noProof/>
        </w:rPr>
        <w:tab/>
      </w:r>
      <w:r>
        <w:rPr>
          <w:noProof/>
        </w:rPr>
        <w:fldChar w:fldCharType="begin"/>
      </w:r>
      <w:r>
        <w:rPr>
          <w:noProof/>
        </w:rPr>
        <w:instrText xml:space="preserve"> PAGEREF _Toc191457350 \h </w:instrText>
      </w:r>
      <w:r>
        <w:rPr>
          <w:noProof/>
        </w:rPr>
      </w:r>
      <w:r>
        <w:rPr>
          <w:noProof/>
        </w:rPr>
        <w:fldChar w:fldCharType="separate"/>
      </w:r>
      <w:r w:rsidR="00945E9C">
        <w:rPr>
          <w:noProof/>
        </w:rPr>
        <w:t>38</w:t>
      </w:r>
      <w:r>
        <w:rPr>
          <w:noProof/>
        </w:rPr>
        <w:fldChar w:fldCharType="end"/>
      </w:r>
    </w:p>
    <w:p w14:paraId="4834D137" w14:textId="0FFD6269"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35 - Cash Flow from Investing Activities</w:t>
      </w:r>
      <w:r>
        <w:rPr>
          <w:noProof/>
        </w:rPr>
        <w:tab/>
      </w:r>
      <w:r>
        <w:rPr>
          <w:noProof/>
        </w:rPr>
        <w:fldChar w:fldCharType="begin"/>
      </w:r>
      <w:r>
        <w:rPr>
          <w:noProof/>
        </w:rPr>
        <w:instrText xml:space="preserve"> PAGEREF _Toc191457351 \h </w:instrText>
      </w:r>
      <w:r>
        <w:rPr>
          <w:noProof/>
        </w:rPr>
      </w:r>
      <w:r>
        <w:rPr>
          <w:noProof/>
        </w:rPr>
        <w:fldChar w:fldCharType="separate"/>
      </w:r>
      <w:r w:rsidR="00945E9C">
        <w:rPr>
          <w:noProof/>
        </w:rPr>
        <w:t>38</w:t>
      </w:r>
      <w:r>
        <w:rPr>
          <w:noProof/>
        </w:rPr>
        <w:fldChar w:fldCharType="end"/>
      </w:r>
    </w:p>
    <w:p w14:paraId="2D4AF696" w14:textId="6853608C"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36 - Termination Benefits</w:t>
      </w:r>
      <w:r>
        <w:rPr>
          <w:noProof/>
        </w:rPr>
        <w:tab/>
      </w:r>
      <w:r>
        <w:rPr>
          <w:noProof/>
        </w:rPr>
        <w:fldChar w:fldCharType="begin"/>
      </w:r>
      <w:r>
        <w:rPr>
          <w:noProof/>
        </w:rPr>
        <w:instrText xml:space="preserve"> PAGEREF _Toc191457352 \h </w:instrText>
      </w:r>
      <w:r>
        <w:rPr>
          <w:noProof/>
        </w:rPr>
      </w:r>
      <w:r>
        <w:rPr>
          <w:noProof/>
        </w:rPr>
        <w:fldChar w:fldCharType="separate"/>
      </w:r>
      <w:r w:rsidR="00945E9C">
        <w:rPr>
          <w:noProof/>
        </w:rPr>
        <w:t>39</w:t>
      </w:r>
      <w:r>
        <w:rPr>
          <w:noProof/>
        </w:rPr>
        <w:fldChar w:fldCharType="end"/>
      </w:r>
    </w:p>
    <w:p w14:paraId="2FE29689" w14:textId="154E1109"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37 - Pension Schemes Accounted for as Defined Contribution Schemes</w:t>
      </w:r>
      <w:r>
        <w:rPr>
          <w:noProof/>
        </w:rPr>
        <w:tab/>
      </w:r>
      <w:r>
        <w:rPr>
          <w:noProof/>
        </w:rPr>
        <w:fldChar w:fldCharType="begin"/>
      </w:r>
      <w:r>
        <w:rPr>
          <w:noProof/>
        </w:rPr>
        <w:instrText xml:space="preserve"> PAGEREF _Toc191457353 \h </w:instrText>
      </w:r>
      <w:r>
        <w:rPr>
          <w:noProof/>
        </w:rPr>
      </w:r>
      <w:r>
        <w:rPr>
          <w:noProof/>
        </w:rPr>
        <w:fldChar w:fldCharType="separate"/>
      </w:r>
      <w:r w:rsidR="00945E9C">
        <w:rPr>
          <w:noProof/>
        </w:rPr>
        <w:t>39</w:t>
      </w:r>
      <w:r>
        <w:rPr>
          <w:noProof/>
        </w:rPr>
        <w:fldChar w:fldCharType="end"/>
      </w:r>
    </w:p>
    <w:p w14:paraId="22B5C888" w14:textId="12C9F035"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38 - Financial Instruments</w:t>
      </w:r>
      <w:r>
        <w:rPr>
          <w:noProof/>
        </w:rPr>
        <w:tab/>
      </w:r>
      <w:r>
        <w:rPr>
          <w:noProof/>
        </w:rPr>
        <w:fldChar w:fldCharType="begin"/>
      </w:r>
      <w:r>
        <w:rPr>
          <w:noProof/>
        </w:rPr>
        <w:instrText xml:space="preserve"> PAGEREF _Toc191457354 \h </w:instrText>
      </w:r>
      <w:r>
        <w:rPr>
          <w:noProof/>
        </w:rPr>
      </w:r>
      <w:r>
        <w:rPr>
          <w:noProof/>
        </w:rPr>
        <w:fldChar w:fldCharType="separate"/>
      </w:r>
      <w:r w:rsidR="00945E9C">
        <w:rPr>
          <w:noProof/>
        </w:rPr>
        <w:t>47</w:t>
      </w:r>
      <w:r>
        <w:rPr>
          <w:noProof/>
        </w:rPr>
        <w:fldChar w:fldCharType="end"/>
      </w:r>
    </w:p>
    <w:p w14:paraId="32DADD2D" w14:textId="67CC6677" w:rsidR="00DA6165" w:rsidRDefault="00DA6165">
      <w:pPr>
        <w:pStyle w:val="TOC2"/>
        <w:rPr>
          <w:rFonts w:asciiTheme="minorHAnsi" w:eastAsiaTheme="minorEastAsia" w:hAnsiTheme="minorHAnsi"/>
          <w:noProof/>
          <w:color w:val="auto"/>
          <w:kern w:val="2"/>
          <w:sz w:val="24"/>
          <w:lang w:eastAsia="en-GB"/>
          <w14:ligatures w14:val="standardContextual"/>
        </w:rPr>
      </w:pPr>
      <w:r>
        <w:rPr>
          <w:noProof/>
        </w:rPr>
        <w:t>Note 39 - Joint Operations &amp; Associate Entities</w:t>
      </w:r>
      <w:r>
        <w:rPr>
          <w:noProof/>
        </w:rPr>
        <w:tab/>
      </w:r>
      <w:r>
        <w:rPr>
          <w:noProof/>
        </w:rPr>
        <w:fldChar w:fldCharType="begin"/>
      </w:r>
      <w:r>
        <w:rPr>
          <w:noProof/>
        </w:rPr>
        <w:instrText xml:space="preserve"> PAGEREF _Toc191457355 \h </w:instrText>
      </w:r>
      <w:r>
        <w:rPr>
          <w:noProof/>
        </w:rPr>
      </w:r>
      <w:r>
        <w:rPr>
          <w:noProof/>
        </w:rPr>
        <w:fldChar w:fldCharType="separate"/>
      </w:r>
      <w:r w:rsidR="00945E9C">
        <w:rPr>
          <w:noProof/>
        </w:rPr>
        <w:t>47</w:t>
      </w:r>
      <w:r>
        <w:rPr>
          <w:noProof/>
        </w:rPr>
        <w:fldChar w:fldCharType="end"/>
      </w:r>
    </w:p>
    <w:p w14:paraId="1163E40A" w14:textId="09CA2A39"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40 - Accounting Standards Issued, Not Adopted</w:t>
      </w:r>
      <w:r>
        <w:rPr>
          <w:noProof/>
        </w:rPr>
        <w:tab/>
      </w:r>
      <w:r>
        <w:rPr>
          <w:noProof/>
        </w:rPr>
        <w:fldChar w:fldCharType="begin"/>
      </w:r>
      <w:r>
        <w:rPr>
          <w:noProof/>
        </w:rPr>
        <w:instrText xml:space="preserve"> PAGEREF _Toc191457356 \h </w:instrText>
      </w:r>
      <w:r>
        <w:rPr>
          <w:noProof/>
        </w:rPr>
      </w:r>
      <w:r>
        <w:rPr>
          <w:noProof/>
        </w:rPr>
        <w:fldChar w:fldCharType="separate"/>
      </w:r>
      <w:r w:rsidR="00945E9C">
        <w:rPr>
          <w:noProof/>
        </w:rPr>
        <w:t>47</w:t>
      </w:r>
      <w:r>
        <w:rPr>
          <w:noProof/>
        </w:rPr>
        <w:fldChar w:fldCharType="end"/>
      </w:r>
    </w:p>
    <w:p w14:paraId="402FFB32" w14:textId="61B645FC" w:rsidR="00DA6165" w:rsidRDefault="00DA6165">
      <w:pPr>
        <w:pStyle w:val="TOC2"/>
        <w:rPr>
          <w:rFonts w:asciiTheme="minorHAnsi" w:eastAsiaTheme="minorEastAsia" w:hAnsiTheme="minorHAnsi"/>
          <w:noProof/>
          <w:color w:val="auto"/>
          <w:kern w:val="2"/>
          <w:sz w:val="24"/>
          <w:lang w:eastAsia="en-GB"/>
          <w14:ligatures w14:val="standardContextual"/>
        </w:rPr>
      </w:pPr>
      <w:r w:rsidRPr="00BA0D5C">
        <w:rPr>
          <w:noProof/>
          <w:lang w:val="pt-BR"/>
        </w:rPr>
        <w:t>Note 41 - Restatements</w:t>
      </w:r>
      <w:r>
        <w:rPr>
          <w:noProof/>
        </w:rPr>
        <w:tab/>
      </w:r>
      <w:r>
        <w:rPr>
          <w:noProof/>
        </w:rPr>
        <w:fldChar w:fldCharType="begin"/>
      </w:r>
      <w:r>
        <w:rPr>
          <w:noProof/>
        </w:rPr>
        <w:instrText xml:space="preserve"> PAGEREF _Toc191457357 \h </w:instrText>
      </w:r>
      <w:r>
        <w:rPr>
          <w:noProof/>
        </w:rPr>
      </w:r>
      <w:r>
        <w:rPr>
          <w:noProof/>
        </w:rPr>
        <w:fldChar w:fldCharType="separate"/>
      </w:r>
      <w:r w:rsidR="00945E9C">
        <w:rPr>
          <w:noProof/>
        </w:rPr>
        <w:t>47</w:t>
      </w:r>
      <w:r>
        <w:rPr>
          <w:noProof/>
        </w:rPr>
        <w:fldChar w:fldCharType="end"/>
      </w:r>
    </w:p>
    <w:p w14:paraId="0C93FD00" w14:textId="0BC48369" w:rsidR="00B121D3" w:rsidRPr="009B64F3" w:rsidRDefault="00B121D3" w:rsidP="00E9432E">
      <w:pPr>
        <w:pStyle w:val="TOC2"/>
        <w:ind w:left="0"/>
        <w:rPr>
          <w:rFonts w:asciiTheme="minorHAnsi" w:eastAsiaTheme="minorEastAsia" w:hAnsiTheme="minorHAnsi"/>
          <w:noProof/>
          <w:color w:val="auto"/>
          <w:sz w:val="22"/>
          <w:szCs w:val="22"/>
          <w:lang w:eastAsia="en-GB"/>
        </w:rPr>
      </w:pPr>
      <w:r w:rsidRPr="00AF7F7E">
        <w:fldChar w:fldCharType="end"/>
      </w:r>
      <w:r w:rsidR="00E9432E" w:rsidRPr="009B64F3">
        <w:rPr>
          <w:rFonts w:asciiTheme="minorHAnsi" w:eastAsiaTheme="minorEastAsia" w:hAnsiTheme="minorHAnsi"/>
          <w:noProof/>
          <w:color w:val="auto"/>
          <w:sz w:val="22"/>
          <w:szCs w:val="22"/>
          <w:lang w:eastAsia="en-GB"/>
        </w:rPr>
        <w:t xml:space="preserve"> </w:t>
      </w:r>
    </w:p>
    <w:p w14:paraId="245D9822" w14:textId="77777777" w:rsidR="00B121D3" w:rsidRPr="00653D20" w:rsidRDefault="00B121D3" w:rsidP="00B121D3">
      <w:pPr>
        <w:rPr>
          <w:highlight w:val="yellow"/>
        </w:rPr>
      </w:pPr>
    </w:p>
    <w:p w14:paraId="35A20D7E" w14:textId="19A349CF" w:rsidR="00B121D3" w:rsidRPr="00653D20" w:rsidRDefault="00B121D3" w:rsidP="00B121D3">
      <w:pPr>
        <w:spacing w:line="240" w:lineRule="auto"/>
        <w:jc w:val="left"/>
        <w:rPr>
          <w:rFonts w:eastAsia="Times New Roman" w:cs="Times New Roman"/>
          <w:b/>
          <w:bCs/>
          <w:color w:val="C00000"/>
          <w:sz w:val="24"/>
          <w:highlight w:val="yellow"/>
          <w:u w:val="single"/>
        </w:rPr>
      </w:pPr>
    </w:p>
    <w:p w14:paraId="71386E24" w14:textId="77777777" w:rsidR="00AE6646" w:rsidRDefault="00AE6646" w:rsidP="00AE6646">
      <w:pPr>
        <w:pStyle w:val="ChapterHeading"/>
      </w:pPr>
      <w:bookmarkStart w:id="76" w:name="_Toc9272122"/>
      <w:bookmarkStart w:id="77" w:name="_Toc9272492"/>
      <w:bookmarkStart w:id="78" w:name="_Toc191281424"/>
      <w:bookmarkStart w:id="79" w:name="_Toc191457314"/>
      <w:bookmarkStart w:id="80" w:name="Notes"/>
      <w:r w:rsidRPr="002B6791">
        <w:t>Expenditure and Funding Analysis</w:t>
      </w:r>
      <w:bookmarkEnd w:id="76"/>
      <w:bookmarkEnd w:id="77"/>
      <w:bookmarkEnd w:id="78"/>
      <w:bookmarkEnd w:id="79"/>
    </w:p>
    <w:p w14:paraId="1CE640C2" w14:textId="77777777" w:rsidR="00AE6646" w:rsidRDefault="00AE6646" w:rsidP="00AE6646"/>
    <w:p w14:paraId="484F18AF" w14:textId="77777777" w:rsidR="00AE6646" w:rsidRDefault="00AE6646" w:rsidP="00AE6646">
      <w:pPr>
        <w:rPr>
          <w:lang w:eastAsia="en-GB"/>
        </w:rPr>
      </w:pPr>
      <w:r w:rsidRPr="00AE1D65">
        <w:rPr>
          <w:lang w:eastAsia="en-GB"/>
        </w:rPr>
        <w:t>The Expenditure and Funding Analysis shows how annual expenditure is used and funded from resources in comparison with those resources consumed or earned by authorities in accordance with generally accepted accounting practices.</w:t>
      </w:r>
      <w:r>
        <w:rPr>
          <w:lang w:eastAsia="en-GB"/>
        </w:rPr>
        <w:t xml:space="preserve"> </w:t>
      </w:r>
      <w:r w:rsidRPr="00AE1D65">
        <w:rPr>
          <w:lang w:eastAsia="en-GB"/>
        </w:rPr>
        <w:t xml:space="preserve"> It also shows how this expenditure is allocated for decision making purposes between the OPFCC and Force. </w:t>
      </w:r>
      <w:r>
        <w:rPr>
          <w:lang w:eastAsia="en-GB"/>
        </w:rPr>
        <w:t xml:space="preserve"> </w:t>
      </w:r>
      <w:r w:rsidRPr="00AE1D65">
        <w:rPr>
          <w:lang w:eastAsia="en-GB"/>
        </w:rPr>
        <w:t>Income and expenditure accounted for under generally accepted accounting practices is presented in the Comprehensive Income and Expenditure Statement.</w:t>
      </w:r>
    </w:p>
    <w:p w14:paraId="1D72D2FC" w14:textId="77777777" w:rsidR="00AE6646" w:rsidRPr="0043793E" w:rsidRDefault="00AE6646" w:rsidP="00AE6646">
      <w:pPr>
        <w:rPr>
          <w:rFonts w:eastAsia="Calibri"/>
          <w:szCs w:val="20"/>
        </w:rPr>
      </w:pPr>
    </w:p>
    <w:tbl>
      <w:tblPr>
        <w:tblW w:w="5000" w:type="pct"/>
        <w:tblLook w:val="04A0" w:firstRow="1" w:lastRow="0" w:firstColumn="1" w:lastColumn="0" w:noHBand="0" w:noVBand="1"/>
      </w:tblPr>
      <w:tblGrid>
        <w:gridCol w:w="1442"/>
        <w:gridCol w:w="1167"/>
        <w:gridCol w:w="1338"/>
        <w:gridCol w:w="1745"/>
        <w:gridCol w:w="1442"/>
        <w:gridCol w:w="1167"/>
        <w:gridCol w:w="1338"/>
      </w:tblGrid>
      <w:tr w:rsidR="00AE6646" w:rsidRPr="00DD39BC" w14:paraId="0A98FE82" w14:textId="77777777" w:rsidTr="00071B92">
        <w:trPr>
          <w:trHeight w:val="290"/>
        </w:trPr>
        <w:tc>
          <w:tcPr>
            <w:tcW w:w="2047" w:type="pct"/>
            <w:gridSpan w:val="3"/>
            <w:tcBorders>
              <w:top w:val="nil"/>
              <w:left w:val="nil"/>
              <w:bottom w:val="nil"/>
              <w:right w:val="nil"/>
            </w:tcBorders>
            <w:shd w:val="clear" w:color="000000" w:fill="000099"/>
            <w:noWrap/>
            <w:vAlign w:val="bottom"/>
            <w:hideMark/>
          </w:tcPr>
          <w:p w14:paraId="5914C61E"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2022/23</w:t>
            </w:r>
          </w:p>
        </w:tc>
        <w:tc>
          <w:tcPr>
            <w:tcW w:w="905" w:type="pct"/>
            <w:tcBorders>
              <w:top w:val="nil"/>
              <w:left w:val="nil"/>
              <w:bottom w:val="nil"/>
              <w:right w:val="nil"/>
            </w:tcBorders>
            <w:shd w:val="clear" w:color="000000" w:fill="000099"/>
            <w:vAlign w:val="bottom"/>
            <w:hideMark/>
          </w:tcPr>
          <w:p w14:paraId="0D014C10" w14:textId="77777777" w:rsidR="00AE6646" w:rsidRPr="00DD39BC" w:rsidRDefault="00AE6646" w:rsidP="00071B92">
            <w:pPr>
              <w:spacing w:line="240" w:lineRule="auto"/>
              <w:jc w:val="left"/>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2047" w:type="pct"/>
            <w:gridSpan w:val="3"/>
            <w:tcBorders>
              <w:top w:val="nil"/>
              <w:left w:val="nil"/>
              <w:bottom w:val="nil"/>
              <w:right w:val="nil"/>
            </w:tcBorders>
            <w:shd w:val="clear" w:color="000000" w:fill="000099"/>
            <w:noWrap/>
            <w:vAlign w:val="bottom"/>
            <w:hideMark/>
          </w:tcPr>
          <w:p w14:paraId="05CFA927"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2023/24</w:t>
            </w:r>
          </w:p>
        </w:tc>
      </w:tr>
      <w:tr w:rsidR="00AE6646" w:rsidRPr="00DD39BC" w14:paraId="510ACED5" w14:textId="77777777" w:rsidTr="00071B92">
        <w:trPr>
          <w:trHeight w:val="1200"/>
        </w:trPr>
        <w:tc>
          <w:tcPr>
            <w:tcW w:w="748" w:type="pct"/>
            <w:tcBorders>
              <w:top w:val="nil"/>
              <w:left w:val="nil"/>
              <w:bottom w:val="nil"/>
              <w:right w:val="nil"/>
            </w:tcBorders>
            <w:shd w:val="clear" w:color="000000" w:fill="000099"/>
            <w:vAlign w:val="center"/>
            <w:hideMark/>
          </w:tcPr>
          <w:p w14:paraId="2A6883B1"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chargeable to CIES</w:t>
            </w:r>
          </w:p>
        </w:tc>
        <w:tc>
          <w:tcPr>
            <w:tcW w:w="605" w:type="pct"/>
            <w:tcBorders>
              <w:top w:val="nil"/>
              <w:left w:val="nil"/>
              <w:bottom w:val="nil"/>
              <w:right w:val="nil"/>
            </w:tcBorders>
            <w:shd w:val="clear" w:color="000000" w:fill="000099"/>
            <w:vAlign w:val="center"/>
            <w:hideMark/>
          </w:tcPr>
          <w:p w14:paraId="0690D533"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Adjustments</w:t>
            </w:r>
          </w:p>
        </w:tc>
        <w:tc>
          <w:tcPr>
            <w:tcW w:w="694" w:type="pct"/>
            <w:tcBorders>
              <w:top w:val="nil"/>
              <w:left w:val="nil"/>
              <w:bottom w:val="nil"/>
              <w:right w:val="nil"/>
            </w:tcBorders>
            <w:shd w:val="clear" w:color="000000" w:fill="000099"/>
            <w:vAlign w:val="center"/>
            <w:hideMark/>
          </w:tcPr>
          <w:p w14:paraId="7D4FCC55"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as per CIES</w:t>
            </w:r>
          </w:p>
        </w:tc>
        <w:tc>
          <w:tcPr>
            <w:tcW w:w="905" w:type="pct"/>
            <w:tcBorders>
              <w:top w:val="nil"/>
              <w:left w:val="nil"/>
              <w:bottom w:val="nil"/>
              <w:right w:val="nil"/>
            </w:tcBorders>
            <w:shd w:val="clear" w:color="000000" w:fill="000099"/>
            <w:vAlign w:val="center"/>
            <w:hideMark/>
          </w:tcPr>
          <w:p w14:paraId="795ECBAA"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Chief Constable</w:t>
            </w:r>
          </w:p>
        </w:tc>
        <w:tc>
          <w:tcPr>
            <w:tcW w:w="748" w:type="pct"/>
            <w:tcBorders>
              <w:top w:val="nil"/>
              <w:left w:val="nil"/>
              <w:bottom w:val="nil"/>
              <w:right w:val="nil"/>
            </w:tcBorders>
            <w:shd w:val="clear" w:color="000000" w:fill="000099"/>
            <w:vAlign w:val="center"/>
            <w:hideMark/>
          </w:tcPr>
          <w:p w14:paraId="44B84373"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chargeable to CIES</w:t>
            </w:r>
          </w:p>
        </w:tc>
        <w:tc>
          <w:tcPr>
            <w:tcW w:w="605" w:type="pct"/>
            <w:tcBorders>
              <w:top w:val="nil"/>
              <w:left w:val="nil"/>
              <w:bottom w:val="nil"/>
              <w:right w:val="nil"/>
            </w:tcBorders>
            <w:shd w:val="clear" w:color="000000" w:fill="000099"/>
            <w:vAlign w:val="center"/>
            <w:hideMark/>
          </w:tcPr>
          <w:p w14:paraId="6C007502"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Adjustments</w:t>
            </w:r>
          </w:p>
        </w:tc>
        <w:tc>
          <w:tcPr>
            <w:tcW w:w="694" w:type="pct"/>
            <w:tcBorders>
              <w:top w:val="nil"/>
              <w:left w:val="nil"/>
              <w:bottom w:val="nil"/>
              <w:right w:val="nil"/>
            </w:tcBorders>
            <w:shd w:val="clear" w:color="000000" w:fill="000099"/>
            <w:vAlign w:val="center"/>
            <w:hideMark/>
          </w:tcPr>
          <w:p w14:paraId="6895AC95"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Net Expenditure as per CIES</w:t>
            </w:r>
          </w:p>
        </w:tc>
      </w:tr>
      <w:tr w:rsidR="00AE6646" w:rsidRPr="00DD39BC" w14:paraId="56EA8DEC" w14:textId="77777777" w:rsidTr="00071B92">
        <w:trPr>
          <w:trHeight w:val="290"/>
        </w:trPr>
        <w:tc>
          <w:tcPr>
            <w:tcW w:w="748" w:type="pct"/>
            <w:tcBorders>
              <w:top w:val="nil"/>
              <w:left w:val="nil"/>
              <w:bottom w:val="nil"/>
              <w:right w:val="nil"/>
            </w:tcBorders>
            <w:shd w:val="clear" w:color="000000" w:fill="000099"/>
            <w:vAlign w:val="bottom"/>
            <w:hideMark/>
          </w:tcPr>
          <w:p w14:paraId="26ADA124"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05" w:type="pct"/>
            <w:tcBorders>
              <w:top w:val="nil"/>
              <w:left w:val="nil"/>
              <w:bottom w:val="nil"/>
              <w:right w:val="nil"/>
            </w:tcBorders>
            <w:shd w:val="clear" w:color="000000" w:fill="000099"/>
            <w:vAlign w:val="bottom"/>
            <w:hideMark/>
          </w:tcPr>
          <w:p w14:paraId="6E0B9ACC"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94" w:type="pct"/>
            <w:tcBorders>
              <w:top w:val="nil"/>
              <w:left w:val="nil"/>
              <w:bottom w:val="nil"/>
              <w:right w:val="nil"/>
            </w:tcBorders>
            <w:shd w:val="clear" w:color="000000" w:fill="000099"/>
            <w:vAlign w:val="bottom"/>
            <w:hideMark/>
          </w:tcPr>
          <w:p w14:paraId="4E3E7134"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905" w:type="pct"/>
            <w:tcBorders>
              <w:top w:val="nil"/>
              <w:left w:val="nil"/>
              <w:bottom w:val="nil"/>
              <w:right w:val="nil"/>
            </w:tcBorders>
            <w:shd w:val="clear" w:color="000000" w:fill="000099"/>
            <w:vAlign w:val="bottom"/>
            <w:hideMark/>
          </w:tcPr>
          <w:p w14:paraId="4C89C3B6"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 </w:t>
            </w:r>
          </w:p>
        </w:tc>
        <w:tc>
          <w:tcPr>
            <w:tcW w:w="748" w:type="pct"/>
            <w:tcBorders>
              <w:top w:val="nil"/>
              <w:left w:val="nil"/>
              <w:bottom w:val="nil"/>
              <w:right w:val="nil"/>
            </w:tcBorders>
            <w:shd w:val="clear" w:color="000000" w:fill="000099"/>
            <w:vAlign w:val="bottom"/>
            <w:hideMark/>
          </w:tcPr>
          <w:p w14:paraId="5C260591"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05" w:type="pct"/>
            <w:tcBorders>
              <w:top w:val="nil"/>
              <w:left w:val="nil"/>
              <w:bottom w:val="nil"/>
              <w:right w:val="nil"/>
            </w:tcBorders>
            <w:shd w:val="clear" w:color="000000" w:fill="000099"/>
            <w:vAlign w:val="bottom"/>
            <w:hideMark/>
          </w:tcPr>
          <w:p w14:paraId="39B06D75"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c>
          <w:tcPr>
            <w:tcW w:w="694" w:type="pct"/>
            <w:tcBorders>
              <w:top w:val="nil"/>
              <w:left w:val="nil"/>
              <w:bottom w:val="nil"/>
              <w:right w:val="nil"/>
            </w:tcBorders>
            <w:shd w:val="clear" w:color="000000" w:fill="000099"/>
            <w:vAlign w:val="bottom"/>
            <w:hideMark/>
          </w:tcPr>
          <w:p w14:paraId="4063FCEB" w14:textId="77777777" w:rsidR="00AE6646" w:rsidRPr="00DD39BC" w:rsidRDefault="00AE6646" w:rsidP="00071B92">
            <w:pPr>
              <w:spacing w:line="240" w:lineRule="auto"/>
              <w:jc w:val="center"/>
              <w:rPr>
                <w:rFonts w:eastAsia="Times New Roman" w:cs="Calibri"/>
                <w:b/>
                <w:bCs/>
                <w:color w:val="FFFFFF"/>
                <w:sz w:val="18"/>
                <w:szCs w:val="18"/>
                <w:lang w:eastAsia="en-GB"/>
              </w:rPr>
            </w:pPr>
            <w:r w:rsidRPr="00DD39BC">
              <w:rPr>
                <w:rFonts w:eastAsia="Times New Roman" w:cs="Calibri"/>
                <w:b/>
                <w:bCs/>
                <w:color w:val="FFFFFF"/>
                <w:sz w:val="18"/>
                <w:szCs w:val="18"/>
                <w:lang w:eastAsia="en-GB"/>
              </w:rPr>
              <w:t>£000</w:t>
            </w:r>
          </w:p>
        </w:tc>
      </w:tr>
      <w:tr w:rsidR="00AE6646" w:rsidRPr="00DD39BC" w14:paraId="1C68175A" w14:textId="77777777" w:rsidTr="00071B92">
        <w:trPr>
          <w:trHeight w:val="300"/>
        </w:trPr>
        <w:tc>
          <w:tcPr>
            <w:tcW w:w="748" w:type="pct"/>
            <w:tcBorders>
              <w:top w:val="nil"/>
              <w:left w:val="nil"/>
              <w:bottom w:val="nil"/>
              <w:right w:val="nil"/>
            </w:tcBorders>
            <w:shd w:val="clear" w:color="000000" w:fill="FFFFFF"/>
            <w:vAlign w:val="center"/>
            <w:hideMark/>
          </w:tcPr>
          <w:p w14:paraId="7F538CAB" w14:textId="77777777" w:rsidR="00AE6646" w:rsidRPr="00DD39BC" w:rsidRDefault="00AE6646" w:rsidP="00071B92">
            <w:pPr>
              <w:spacing w:line="240" w:lineRule="auto"/>
              <w:jc w:val="right"/>
              <w:rPr>
                <w:rFonts w:eastAsia="Times New Roman" w:cs="Calibri"/>
                <w:color w:val="auto"/>
                <w:sz w:val="18"/>
                <w:szCs w:val="18"/>
                <w:lang w:eastAsia="en-GB"/>
              </w:rPr>
            </w:pPr>
            <w:r>
              <w:rPr>
                <w:rFonts w:eastAsia="Times New Roman" w:cs="Calibri"/>
                <w:color w:val="auto"/>
                <w:sz w:val="18"/>
                <w:szCs w:val="18"/>
                <w:lang w:eastAsia="en-GB"/>
              </w:rPr>
              <w:t>101,503</w:t>
            </w:r>
          </w:p>
        </w:tc>
        <w:tc>
          <w:tcPr>
            <w:tcW w:w="605" w:type="pct"/>
            <w:tcBorders>
              <w:top w:val="nil"/>
              <w:left w:val="nil"/>
              <w:bottom w:val="nil"/>
              <w:right w:val="nil"/>
            </w:tcBorders>
            <w:shd w:val="clear" w:color="000000" w:fill="FFFFFF"/>
            <w:vAlign w:val="center"/>
            <w:hideMark/>
          </w:tcPr>
          <w:p w14:paraId="43487894"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53,045</w:t>
            </w:r>
          </w:p>
        </w:tc>
        <w:tc>
          <w:tcPr>
            <w:tcW w:w="694" w:type="pct"/>
            <w:tcBorders>
              <w:top w:val="nil"/>
              <w:left w:val="nil"/>
              <w:bottom w:val="nil"/>
              <w:right w:val="nil"/>
            </w:tcBorders>
            <w:shd w:val="clear" w:color="000000" w:fill="FFFFFF"/>
            <w:vAlign w:val="center"/>
            <w:hideMark/>
          </w:tcPr>
          <w:p w14:paraId="4E46945D"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15</w:t>
            </w:r>
            <w:r>
              <w:rPr>
                <w:rFonts w:eastAsia="Times New Roman" w:cs="Calibri"/>
                <w:color w:val="auto"/>
                <w:sz w:val="18"/>
                <w:szCs w:val="18"/>
                <w:lang w:eastAsia="en-GB"/>
              </w:rPr>
              <w:t>4</w:t>
            </w:r>
            <w:r w:rsidRPr="00DD39BC">
              <w:rPr>
                <w:rFonts w:eastAsia="Times New Roman" w:cs="Calibri"/>
                <w:color w:val="auto"/>
                <w:sz w:val="18"/>
                <w:szCs w:val="18"/>
                <w:lang w:eastAsia="en-GB"/>
              </w:rPr>
              <w:t>,</w:t>
            </w:r>
            <w:r>
              <w:rPr>
                <w:rFonts w:eastAsia="Times New Roman" w:cs="Calibri"/>
                <w:color w:val="auto"/>
                <w:sz w:val="18"/>
                <w:szCs w:val="18"/>
                <w:lang w:eastAsia="en-GB"/>
              </w:rPr>
              <w:t>548</w:t>
            </w:r>
          </w:p>
        </w:tc>
        <w:tc>
          <w:tcPr>
            <w:tcW w:w="905" w:type="pct"/>
            <w:tcBorders>
              <w:top w:val="nil"/>
              <w:left w:val="nil"/>
              <w:bottom w:val="nil"/>
              <w:right w:val="nil"/>
            </w:tcBorders>
            <w:shd w:val="clear" w:color="000000" w:fill="FFFFFF"/>
            <w:vAlign w:val="center"/>
            <w:hideMark/>
          </w:tcPr>
          <w:p w14:paraId="04B6A262"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Policing Services</w:t>
            </w:r>
          </w:p>
        </w:tc>
        <w:tc>
          <w:tcPr>
            <w:tcW w:w="748" w:type="pct"/>
            <w:tcBorders>
              <w:top w:val="nil"/>
              <w:left w:val="nil"/>
              <w:bottom w:val="nil"/>
              <w:right w:val="nil"/>
            </w:tcBorders>
            <w:shd w:val="clear" w:color="000000" w:fill="CCECFF"/>
            <w:vAlign w:val="center"/>
            <w:hideMark/>
          </w:tcPr>
          <w:p w14:paraId="6D8040F9"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114,804</w:t>
            </w:r>
          </w:p>
        </w:tc>
        <w:tc>
          <w:tcPr>
            <w:tcW w:w="605" w:type="pct"/>
            <w:tcBorders>
              <w:top w:val="nil"/>
              <w:left w:val="nil"/>
              <w:bottom w:val="nil"/>
              <w:right w:val="nil"/>
            </w:tcBorders>
            <w:shd w:val="clear" w:color="000000" w:fill="CCECFF"/>
            <w:vAlign w:val="center"/>
            <w:hideMark/>
          </w:tcPr>
          <w:p w14:paraId="6C497336"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24,397</w:t>
            </w:r>
          </w:p>
        </w:tc>
        <w:tc>
          <w:tcPr>
            <w:tcW w:w="694" w:type="pct"/>
            <w:tcBorders>
              <w:top w:val="nil"/>
              <w:left w:val="nil"/>
              <w:bottom w:val="nil"/>
              <w:right w:val="nil"/>
            </w:tcBorders>
            <w:shd w:val="clear" w:color="000000" w:fill="CCECFF"/>
            <w:vAlign w:val="center"/>
            <w:hideMark/>
          </w:tcPr>
          <w:p w14:paraId="58D5C80A"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139,201</w:t>
            </w:r>
          </w:p>
        </w:tc>
      </w:tr>
      <w:tr w:rsidR="00AE6646" w:rsidRPr="00DD39BC" w14:paraId="5D45BA45" w14:textId="77777777" w:rsidTr="00071B92">
        <w:trPr>
          <w:trHeight w:val="290"/>
        </w:trPr>
        <w:tc>
          <w:tcPr>
            <w:tcW w:w="748" w:type="pct"/>
            <w:tcBorders>
              <w:top w:val="nil"/>
              <w:left w:val="nil"/>
              <w:bottom w:val="nil"/>
              <w:right w:val="nil"/>
            </w:tcBorders>
            <w:shd w:val="clear" w:color="000000" w:fill="FFFFFF"/>
            <w:vAlign w:val="center"/>
            <w:hideMark/>
          </w:tcPr>
          <w:p w14:paraId="6054AADD"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2B2BD1F4"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4B22462C"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05" w:type="pct"/>
            <w:tcBorders>
              <w:top w:val="nil"/>
              <w:left w:val="nil"/>
              <w:bottom w:val="nil"/>
              <w:right w:val="nil"/>
            </w:tcBorders>
            <w:shd w:val="clear" w:color="000000" w:fill="FFFFFF"/>
            <w:vAlign w:val="center"/>
            <w:hideMark/>
          </w:tcPr>
          <w:p w14:paraId="7CEAD93A"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OPFCC &amp; Commissioning</w:t>
            </w:r>
          </w:p>
        </w:tc>
        <w:tc>
          <w:tcPr>
            <w:tcW w:w="748" w:type="pct"/>
            <w:tcBorders>
              <w:top w:val="nil"/>
              <w:left w:val="nil"/>
              <w:bottom w:val="nil"/>
              <w:right w:val="nil"/>
            </w:tcBorders>
            <w:shd w:val="clear" w:color="000000" w:fill="CCECFF"/>
            <w:vAlign w:val="center"/>
            <w:hideMark/>
          </w:tcPr>
          <w:p w14:paraId="589C7EB4"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CCECFF"/>
            <w:vAlign w:val="center"/>
            <w:hideMark/>
          </w:tcPr>
          <w:p w14:paraId="06B5AA51"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0253A0A0"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AE6646" w:rsidRPr="00DD39BC" w14:paraId="2937D9EE" w14:textId="77777777" w:rsidTr="00071B92">
        <w:trPr>
          <w:trHeight w:val="290"/>
        </w:trPr>
        <w:tc>
          <w:tcPr>
            <w:tcW w:w="748" w:type="pct"/>
            <w:tcBorders>
              <w:top w:val="nil"/>
              <w:left w:val="nil"/>
              <w:bottom w:val="nil"/>
              <w:right w:val="nil"/>
            </w:tcBorders>
            <w:shd w:val="clear" w:color="000000" w:fill="FFFFFF"/>
            <w:vAlign w:val="center"/>
            <w:hideMark/>
          </w:tcPr>
          <w:p w14:paraId="5707BFFC"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5F5D0C00"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0FA23398"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905" w:type="pct"/>
            <w:tcBorders>
              <w:top w:val="nil"/>
              <w:left w:val="nil"/>
              <w:bottom w:val="nil"/>
              <w:right w:val="nil"/>
            </w:tcBorders>
            <w:shd w:val="clear" w:color="000000" w:fill="FFFFFF"/>
            <w:vAlign w:val="center"/>
            <w:hideMark/>
          </w:tcPr>
          <w:p w14:paraId="5CA20EA8"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Non-Distributed Costs</w:t>
            </w:r>
          </w:p>
        </w:tc>
        <w:tc>
          <w:tcPr>
            <w:tcW w:w="748" w:type="pct"/>
            <w:tcBorders>
              <w:top w:val="nil"/>
              <w:left w:val="nil"/>
              <w:bottom w:val="nil"/>
              <w:right w:val="nil"/>
            </w:tcBorders>
            <w:shd w:val="clear" w:color="000000" w:fill="CCECFF"/>
            <w:vAlign w:val="center"/>
            <w:hideMark/>
          </w:tcPr>
          <w:p w14:paraId="501924F6"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CCECFF"/>
            <w:vAlign w:val="center"/>
            <w:hideMark/>
          </w:tcPr>
          <w:p w14:paraId="6FABDAB7"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2EF28728"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r>
      <w:tr w:rsidR="00AE6646" w:rsidRPr="00DD39BC" w14:paraId="1156D0A6" w14:textId="77777777" w:rsidTr="00071B92">
        <w:trPr>
          <w:trHeight w:val="60"/>
        </w:trPr>
        <w:tc>
          <w:tcPr>
            <w:tcW w:w="748" w:type="pct"/>
            <w:tcBorders>
              <w:top w:val="nil"/>
              <w:left w:val="nil"/>
              <w:bottom w:val="single" w:sz="4" w:space="0" w:color="auto"/>
              <w:right w:val="nil"/>
            </w:tcBorders>
            <w:shd w:val="clear" w:color="000000" w:fill="FFFFFF"/>
            <w:vAlign w:val="center"/>
            <w:hideMark/>
          </w:tcPr>
          <w:p w14:paraId="5EB0557A"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05" w:type="pct"/>
            <w:tcBorders>
              <w:top w:val="nil"/>
              <w:left w:val="nil"/>
              <w:bottom w:val="single" w:sz="4" w:space="0" w:color="auto"/>
              <w:right w:val="nil"/>
            </w:tcBorders>
            <w:shd w:val="clear" w:color="000000" w:fill="FFFFFF"/>
            <w:vAlign w:val="center"/>
            <w:hideMark/>
          </w:tcPr>
          <w:p w14:paraId="2DCC173E"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single" w:sz="4" w:space="0" w:color="auto"/>
              <w:right w:val="nil"/>
            </w:tcBorders>
            <w:shd w:val="clear" w:color="000000" w:fill="FFFFFF"/>
            <w:vAlign w:val="center"/>
            <w:hideMark/>
          </w:tcPr>
          <w:p w14:paraId="09A46AE9"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03A627C4"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 </w:t>
            </w:r>
          </w:p>
        </w:tc>
        <w:tc>
          <w:tcPr>
            <w:tcW w:w="748" w:type="pct"/>
            <w:tcBorders>
              <w:top w:val="nil"/>
              <w:left w:val="nil"/>
              <w:bottom w:val="single" w:sz="4" w:space="0" w:color="auto"/>
              <w:right w:val="nil"/>
            </w:tcBorders>
            <w:shd w:val="clear" w:color="000000" w:fill="CCECFF"/>
            <w:vAlign w:val="center"/>
            <w:hideMark/>
          </w:tcPr>
          <w:p w14:paraId="185049BF"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05" w:type="pct"/>
            <w:tcBorders>
              <w:top w:val="nil"/>
              <w:left w:val="nil"/>
              <w:bottom w:val="single" w:sz="4" w:space="0" w:color="auto"/>
              <w:right w:val="nil"/>
            </w:tcBorders>
            <w:shd w:val="clear" w:color="000000" w:fill="CCECFF"/>
            <w:vAlign w:val="center"/>
            <w:hideMark/>
          </w:tcPr>
          <w:p w14:paraId="5B29D90F"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single" w:sz="4" w:space="0" w:color="auto"/>
              <w:right w:val="nil"/>
            </w:tcBorders>
            <w:shd w:val="clear" w:color="000000" w:fill="CCECFF"/>
            <w:vAlign w:val="center"/>
            <w:hideMark/>
          </w:tcPr>
          <w:p w14:paraId="6F7908E3"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AE6646" w:rsidRPr="00DD39BC" w14:paraId="63D1AFDF" w14:textId="77777777" w:rsidTr="00071B92">
        <w:trPr>
          <w:trHeight w:val="300"/>
        </w:trPr>
        <w:tc>
          <w:tcPr>
            <w:tcW w:w="748" w:type="pct"/>
            <w:tcBorders>
              <w:top w:val="nil"/>
              <w:left w:val="nil"/>
              <w:bottom w:val="single" w:sz="4" w:space="0" w:color="auto"/>
              <w:right w:val="nil"/>
            </w:tcBorders>
            <w:shd w:val="clear" w:color="000000" w:fill="FFFFFF"/>
            <w:vAlign w:val="center"/>
            <w:hideMark/>
          </w:tcPr>
          <w:p w14:paraId="4A8F1E3C"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10</w:t>
            </w:r>
            <w:r>
              <w:rPr>
                <w:rFonts w:eastAsia="Times New Roman" w:cs="Calibri"/>
                <w:b/>
                <w:bCs/>
                <w:color w:val="auto"/>
                <w:sz w:val="18"/>
                <w:szCs w:val="18"/>
                <w:lang w:eastAsia="en-GB"/>
              </w:rPr>
              <w:t>1</w:t>
            </w:r>
            <w:r w:rsidRPr="00DD39BC">
              <w:rPr>
                <w:rFonts w:eastAsia="Times New Roman" w:cs="Calibri"/>
                <w:b/>
                <w:bCs/>
                <w:color w:val="auto"/>
                <w:sz w:val="18"/>
                <w:szCs w:val="18"/>
                <w:lang w:eastAsia="en-GB"/>
              </w:rPr>
              <w:t>,5</w:t>
            </w:r>
            <w:r>
              <w:rPr>
                <w:rFonts w:eastAsia="Times New Roman" w:cs="Calibri"/>
                <w:b/>
                <w:bCs/>
                <w:color w:val="auto"/>
                <w:sz w:val="18"/>
                <w:szCs w:val="18"/>
                <w:lang w:eastAsia="en-GB"/>
              </w:rPr>
              <w:t>0</w:t>
            </w:r>
            <w:r w:rsidRPr="00DD39BC">
              <w:rPr>
                <w:rFonts w:eastAsia="Times New Roman" w:cs="Calibri"/>
                <w:b/>
                <w:bCs/>
                <w:color w:val="auto"/>
                <w:sz w:val="18"/>
                <w:szCs w:val="18"/>
                <w:lang w:eastAsia="en-GB"/>
              </w:rPr>
              <w:t>3</w:t>
            </w:r>
          </w:p>
        </w:tc>
        <w:tc>
          <w:tcPr>
            <w:tcW w:w="605" w:type="pct"/>
            <w:tcBorders>
              <w:top w:val="nil"/>
              <w:left w:val="nil"/>
              <w:bottom w:val="single" w:sz="4" w:space="0" w:color="auto"/>
              <w:right w:val="nil"/>
            </w:tcBorders>
            <w:shd w:val="clear" w:color="000000" w:fill="FFFFFF"/>
            <w:vAlign w:val="center"/>
            <w:hideMark/>
          </w:tcPr>
          <w:p w14:paraId="6F87CAE5"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694" w:type="pct"/>
            <w:tcBorders>
              <w:top w:val="nil"/>
              <w:left w:val="nil"/>
              <w:bottom w:val="single" w:sz="4" w:space="0" w:color="auto"/>
              <w:right w:val="nil"/>
            </w:tcBorders>
            <w:shd w:val="clear" w:color="000000" w:fill="FFFFFF"/>
            <w:vAlign w:val="center"/>
            <w:hideMark/>
          </w:tcPr>
          <w:p w14:paraId="477FB0FF"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15</w:t>
            </w:r>
            <w:r>
              <w:rPr>
                <w:rFonts w:eastAsia="Times New Roman" w:cs="Calibri"/>
                <w:b/>
                <w:bCs/>
                <w:color w:val="auto"/>
                <w:sz w:val="18"/>
                <w:szCs w:val="18"/>
                <w:lang w:eastAsia="en-GB"/>
              </w:rPr>
              <w:t>4</w:t>
            </w:r>
            <w:r w:rsidRPr="00DD39BC">
              <w:rPr>
                <w:rFonts w:eastAsia="Times New Roman" w:cs="Calibri"/>
                <w:b/>
                <w:bCs/>
                <w:color w:val="auto"/>
                <w:sz w:val="18"/>
                <w:szCs w:val="18"/>
                <w:lang w:eastAsia="en-GB"/>
              </w:rPr>
              <w:t>,</w:t>
            </w:r>
            <w:r>
              <w:rPr>
                <w:rFonts w:eastAsia="Times New Roman" w:cs="Calibri"/>
                <w:b/>
                <w:bCs/>
                <w:color w:val="auto"/>
                <w:sz w:val="18"/>
                <w:szCs w:val="18"/>
                <w:lang w:eastAsia="en-GB"/>
              </w:rPr>
              <w:t>548</w:t>
            </w:r>
          </w:p>
        </w:tc>
        <w:tc>
          <w:tcPr>
            <w:tcW w:w="905" w:type="pct"/>
            <w:tcBorders>
              <w:top w:val="nil"/>
              <w:left w:val="nil"/>
              <w:bottom w:val="nil"/>
              <w:right w:val="nil"/>
            </w:tcBorders>
            <w:shd w:val="clear" w:color="000000" w:fill="FFFFFF"/>
            <w:vAlign w:val="center"/>
            <w:hideMark/>
          </w:tcPr>
          <w:p w14:paraId="08B5FF95" w14:textId="77777777" w:rsidR="00AE6646" w:rsidRPr="00DD39BC" w:rsidRDefault="00AE6646" w:rsidP="00071B92">
            <w:pPr>
              <w:spacing w:line="240" w:lineRule="auto"/>
              <w:jc w:val="left"/>
              <w:rPr>
                <w:rFonts w:eastAsia="Times New Roman" w:cs="Calibri"/>
                <w:b/>
                <w:bCs/>
                <w:color w:val="000000"/>
                <w:sz w:val="18"/>
                <w:szCs w:val="18"/>
                <w:lang w:eastAsia="en-GB"/>
              </w:rPr>
            </w:pPr>
            <w:r w:rsidRPr="00DD39BC">
              <w:rPr>
                <w:rFonts w:eastAsia="Times New Roman" w:cs="Calibri"/>
                <w:b/>
                <w:bCs/>
                <w:color w:val="000000"/>
                <w:sz w:val="18"/>
                <w:szCs w:val="18"/>
                <w:lang w:eastAsia="en-GB"/>
              </w:rPr>
              <w:t>Cost Of Services</w:t>
            </w:r>
          </w:p>
        </w:tc>
        <w:tc>
          <w:tcPr>
            <w:tcW w:w="748" w:type="pct"/>
            <w:tcBorders>
              <w:top w:val="nil"/>
              <w:left w:val="nil"/>
              <w:bottom w:val="single" w:sz="4" w:space="0" w:color="auto"/>
              <w:right w:val="nil"/>
            </w:tcBorders>
            <w:shd w:val="clear" w:color="000000" w:fill="CCECFF"/>
            <w:vAlign w:val="center"/>
            <w:hideMark/>
          </w:tcPr>
          <w:p w14:paraId="491A9B8B"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114,804</w:t>
            </w:r>
          </w:p>
        </w:tc>
        <w:tc>
          <w:tcPr>
            <w:tcW w:w="605" w:type="pct"/>
            <w:tcBorders>
              <w:top w:val="nil"/>
              <w:left w:val="nil"/>
              <w:bottom w:val="single" w:sz="4" w:space="0" w:color="auto"/>
              <w:right w:val="nil"/>
            </w:tcBorders>
            <w:shd w:val="clear" w:color="000000" w:fill="CCECFF"/>
            <w:vAlign w:val="center"/>
            <w:hideMark/>
          </w:tcPr>
          <w:p w14:paraId="1CCE07FA"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c>
          <w:tcPr>
            <w:tcW w:w="694" w:type="pct"/>
            <w:tcBorders>
              <w:top w:val="nil"/>
              <w:left w:val="nil"/>
              <w:bottom w:val="single" w:sz="4" w:space="0" w:color="auto"/>
              <w:right w:val="nil"/>
            </w:tcBorders>
            <w:shd w:val="clear" w:color="000000" w:fill="CCECFF"/>
            <w:vAlign w:val="center"/>
            <w:hideMark/>
          </w:tcPr>
          <w:p w14:paraId="2714CB8D"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139,201</w:t>
            </w:r>
          </w:p>
        </w:tc>
      </w:tr>
      <w:tr w:rsidR="00AE6646" w:rsidRPr="00DD39BC" w14:paraId="208A76E4" w14:textId="77777777" w:rsidTr="00071B92">
        <w:trPr>
          <w:trHeight w:val="290"/>
        </w:trPr>
        <w:tc>
          <w:tcPr>
            <w:tcW w:w="748" w:type="pct"/>
            <w:tcBorders>
              <w:top w:val="nil"/>
              <w:left w:val="nil"/>
              <w:bottom w:val="nil"/>
              <w:right w:val="nil"/>
            </w:tcBorders>
            <w:shd w:val="clear" w:color="000000" w:fill="FFFFFF"/>
            <w:vAlign w:val="center"/>
            <w:hideMark/>
          </w:tcPr>
          <w:p w14:paraId="7E54DB12"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w:t>
            </w:r>
            <w:r>
              <w:rPr>
                <w:rFonts w:eastAsia="Times New Roman" w:cs="Calibri"/>
                <w:color w:val="000000"/>
                <w:sz w:val="18"/>
                <w:szCs w:val="18"/>
                <w:lang w:eastAsia="en-GB"/>
              </w:rPr>
              <w:t>3,075</w:t>
            </w:r>
            <w:r w:rsidRPr="00DD39BC">
              <w:rPr>
                <w:rFonts w:eastAsia="Times New Roman" w:cs="Calibri"/>
                <w:color w:val="000000"/>
                <w:sz w:val="18"/>
                <w:szCs w:val="18"/>
                <w:lang w:eastAsia="en-GB"/>
              </w:rPr>
              <w:t>)</w:t>
            </w:r>
          </w:p>
        </w:tc>
        <w:tc>
          <w:tcPr>
            <w:tcW w:w="605" w:type="pct"/>
            <w:tcBorders>
              <w:top w:val="nil"/>
              <w:left w:val="nil"/>
              <w:bottom w:val="nil"/>
              <w:right w:val="nil"/>
            </w:tcBorders>
            <w:shd w:val="clear" w:color="000000" w:fill="FFFFFF"/>
            <w:vAlign w:val="center"/>
            <w:hideMark/>
          </w:tcPr>
          <w:p w14:paraId="1865324F"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7D47C268"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(14</w:t>
            </w:r>
            <w:r>
              <w:rPr>
                <w:rFonts w:eastAsia="Times New Roman" w:cs="Calibri"/>
                <w:color w:val="000000"/>
                <w:sz w:val="18"/>
                <w:szCs w:val="18"/>
                <w:lang w:eastAsia="en-GB"/>
              </w:rPr>
              <w:t>3</w:t>
            </w:r>
            <w:r w:rsidRPr="00DD39BC">
              <w:rPr>
                <w:rFonts w:eastAsia="Times New Roman" w:cs="Calibri"/>
                <w:color w:val="000000"/>
                <w:sz w:val="18"/>
                <w:szCs w:val="18"/>
                <w:lang w:eastAsia="en-GB"/>
              </w:rPr>
              <w:t>,</w:t>
            </w:r>
            <w:r>
              <w:rPr>
                <w:rFonts w:eastAsia="Times New Roman" w:cs="Calibri"/>
                <w:color w:val="000000"/>
                <w:sz w:val="18"/>
                <w:szCs w:val="18"/>
                <w:lang w:eastAsia="en-GB"/>
              </w:rPr>
              <w:t>075</w:t>
            </w:r>
            <w:r w:rsidRPr="00DD39BC">
              <w:rPr>
                <w:rFonts w:eastAsia="Times New Roman" w:cs="Calibri"/>
                <w:color w:val="000000"/>
                <w:sz w:val="18"/>
                <w:szCs w:val="18"/>
                <w:lang w:eastAsia="en-GB"/>
              </w:rPr>
              <w:t>)</w:t>
            </w:r>
          </w:p>
        </w:tc>
        <w:tc>
          <w:tcPr>
            <w:tcW w:w="905" w:type="pct"/>
            <w:tcBorders>
              <w:top w:val="nil"/>
              <w:left w:val="nil"/>
              <w:bottom w:val="nil"/>
              <w:right w:val="nil"/>
            </w:tcBorders>
            <w:shd w:val="clear" w:color="000000" w:fill="FFFFFF"/>
            <w:vAlign w:val="center"/>
            <w:hideMark/>
          </w:tcPr>
          <w:p w14:paraId="44FA1B73"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Intra-Organisational Adjustment</w:t>
            </w:r>
          </w:p>
        </w:tc>
        <w:tc>
          <w:tcPr>
            <w:tcW w:w="748" w:type="pct"/>
            <w:tcBorders>
              <w:top w:val="nil"/>
              <w:left w:val="nil"/>
              <w:bottom w:val="nil"/>
              <w:right w:val="nil"/>
            </w:tcBorders>
            <w:shd w:val="clear" w:color="000000" w:fill="CCECFF"/>
            <w:vAlign w:val="center"/>
            <w:hideMark/>
          </w:tcPr>
          <w:p w14:paraId="49FBD46E"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c>
          <w:tcPr>
            <w:tcW w:w="605" w:type="pct"/>
            <w:tcBorders>
              <w:top w:val="nil"/>
              <w:left w:val="nil"/>
              <w:bottom w:val="nil"/>
              <w:right w:val="nil"/>
            </w:tcBorders>
            <w:shd w:val="clear" w:color="000000" w:fill="CCECFF"/>
            <w:vAlign w:val="center"/>
            <w:hideMark/>
          </w:tcPr>
          <w:p w14:paraId="5D116F01"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00DC5A8D"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000000"/>
                <w:sz w:val="18"/>
                <w:szCs w:val="18"/>
                <w:lang w:eastAsia="en-GB"/>
              </w:rPr>
              <w:t>(160,922)</w:t>
            </w:r>
          </w:p>
        </w:tc>
      </w:tr>
      <w:tr w:rsidR="00AE6646" w:rsidRPr="00DD39BC" w14:paraId="24A43490" w14:textId="77777777" w:rsidTr="00071B92">
        <w:trPr>
          <w:trHeight w:val="290"/>
        </w:trPr>
        <w:tc>
          <w:tcPr>
            <w:tcW w:w="748" w:type="pct"/>
            <w:tcBorders>
              <w:top w:val="nil"/>
              <w:left w:val="nil"/>
              <w:bottom w:val="nil"/>
              <w:right w:val="nil"/>
            </w:tcBorders>
            <w:shd w:val="clear" w:color="000000" w:fill="FFFFFF"/>
            <w:vAlign w:val="center"/>
            <w:hideMark/>
          </w:tcPr>
          <w:p w14:paraId="7AFFCDFC"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41,57</w:t>
            </w:r>
            <w:r>
              <w:rPr>
                <w:rFonts w:eastAsia="Times New Roman" w:cs="Calibri"/>
                <w:color w:val="auto"/>
                <w:sz w:val="18"/>
                <w:szCs w:val="18"/>
                <w:lang w:eastAsia="en-GB"/>
              </w:rPr>
              <w:t>2</w:t>
            </w:r>
          </w:p>
        </w:tc>
        <w:tc>
          <w:tcPr>
            <w:tcW w:w="605" w:type="pct"/>
            <w:tcBorders>
              <w:top w:val="nil"/>
              <w:left w:val="nil"/>
              <w:bottom w:val="nil"/>
              <w:right w:val="nil"/>
            </w:tcBorders>
            <w:shd w:val="clear" w:color="000000" w:fill="FFFFFF"/>
            <w:vAlign w:val="center"/>
            <w:hideMark/>
          </w:tcPr>
          <w:p w14:paraId="428E3AFD"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FFFFFF"/>
            <w:vAlign w:val="center"/>
            <w:hideMark/>
          </w:tcPr>
          <w:p w14:paraId="6579D67F"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41,57</w:t>
            </w:r>
            <w:r>
              <w:rPr>
                <w:rFonts w:eastAsia="Times New Roman" w:cs="Calibri"/>
                <w:color w:val="auto"/>
                <w:sz w:val="18"/>
                <w:szCs w:val="18"/>
                <w:lang w:eastAsia="en-GB"/>
              </w:rPr>
              <w:t>2</w:t>
            </w:r>
          </w:p>
        </w:tc>
        <w:tc>
          <w:tcPr>
            <w:tcW w:w="905" w:type="pct"/>
            <w:tcBorders>
              <w:top w:val="nil"/>
              <w:left w:val="nil"/>
              <w:bottom w:val="nil"/>
              <w:right w:val="nil"/>
            </w:tcBorders>
            <w:shd w:val="clear" w:color="000000" w:fill="FFFFFF"/>
            <w:vAlign w:val="center"/>
            <w:hideMark/>
          </w:tcPr>
          <w:p w14:paraId="0E26B722" w14:textId="77777777" w:rsidR="00AE6646" w:rsidRPr="00DD39BC" w:rsidRDefault="00AE6646" w:rsidP="00071B92">
            <w:pPr>
              <w:spacing w:line="240" w:lineRule="auto"/>
              <w:jc w:val="left"/>
              <w:rPr>
                <w:rFonts w:eastAsia="Times New Roman" w:cs="Calibri"/>
                <w:color w:val="000000"/>
                <w:sz w:val="18"/>
                <w:szCs w:val="18"/>
                <w:lang w:eastAsia="en-GB"/>
              </w:rPr>
            </w:pPr>
            <w:r w:rsidRPr="00DD39BC">
              <w:rPr>
                <w:rFonts w:eastAsia="Times New Roman" w:cs="Calibri"/>
                <w:color w:val="000000"/>
                <w:sz w:val="18"/>
                <w:szCs w:val="18"/>
                <w:lang w:eastAsia="en-GB"/>
              </w:rPr>
              <w:t>Other Income and Expenditure</w:t>
            </w:r>
          </w:p>
        </w:tc>
        <w:tc>
          <w:tcPr>
            <w:tcW w:w="748" w:type="pct"/>
            <w:tcBorders>
              <w:top w:val="nil"/>
              <w:left w:val="nil"/>
              <w:bottom w:val="nil"/>
              <w:right w:val="nil"/>
            </w:tcBorders>
            <w:shd w:val="clear" w:color="000000" w:fill="CCECFF"/>
            <w:vAlign w:val="center"/>
            <w:hideMark/>
          </w:tcPr>
          <w:p w14:paraId="7E4C4387"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c>
          <w:tcPr>
            <w:tcW w:w="605" w:type="pct"/>
            <w:tcBorders>
              <w:top w:val="nil"/>
              <w:left w:val="nil"/>
              <w:bottom w:val="nil"/>
              <w:right w:val="nil"/>
            </w:tcBorders>
            <w:shd w:val="clear" w:color="000000" w:fill="CCECFF"/>
            <w:vAlign w:val="center"/>
            <w:hideMark/>
          </w:tcPr>
          <w:p w14:paraId="4EC78A61"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94" w:type="pct"/>
            <w:tcBorders>
              <w:top w:val="nil"/>
              <w:left w:val="nil"/>
              <w:bottom w:val="nil"/>
              <w:right w:val="nil"/>
            </w:tcBorders>
            <w:shd w:val="clear" w:color="000000" w:fill="CCECFF"/>
            <w:vAlign w:val="center"/>
            <w:hideMark/>
          </w:tcPr>
          <w:p w14:paraId="58147A49"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46,118</w:t>
            </w:r>
          </w:p>
        </w:tc>
      </w:tr>
      <w:tr w:rsidR="00AE6646" w:rsidRPr="00DD39BC" w14:paraId="2E602B0F" w14:textId="77777777" w:rsidTr="00071B92">
        <w:trPr>
          <w:trHeight w:val="290"/>
        </w:trPr>
        <w:tc>
          <w:tcPr>
            <w:tcW w:w="748" w:type="pct"/>
            <w:tcBorders>
              <w:top w:val="single" w:sz="4" w:space="0" w:color="auto"/>
              <w:left w:val="nil"/>
              <w:bottom w:val="single" w:sz="4" w:space="0" w:color="auto"/>
              <w:right w:val="nil"/>
            </w:tcBorders>
            <w:shd w:val="clear" w:color="000000" w:fill="FFFFFF"/>
            <w:vAlign w:val="center"/>
            <w:hideMark/>
          </w:tcPr>
          <w:p w14:paraId="4A813D52"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single" w:sz="4" w:space="0" w:color="auto"/>
              <w:left w:val="nil"/>
              <w:bottom w:val="single" w:sz="4" w:space="0" w:color="auto"/>
              <w:right w:val="nil"/>
            </w:tcBorders>
            <w:shd w:val="clear" w:color="000000" w:fill="FFFFFF"/>
            <w:vAlign w:val="center"/>
            <w:hideMark/>
          </w:tcPr>
          <w:p w14:paraId="5B1A57CB"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694" w:type="pct"/>
            <w:tcBorders>
              <w:top w:val="single" w:sz="4" w:space="0" w:color="auto"/>
              <w:left w:val="nil"/>
              <w:bottom w:val="single" w:sz="4" w:space="0" w:color="auto"/>
              <w:right w:val="nil"/>
            </w:tcBorders>
            <w:shd w:val="clear" w:color="000000" w:fill="FFFFFF"/>
            <w:vAlign w:val="center"/>
            <w:hideMark/>
          </w:tcPr>
          <w:p w14:paraId="1CA6DAE5"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53,045</w:t>
            </w:r>
          </w:p>
        </w:tc>
        <w:tc>
          <w:tcPr>
            <w:tcW w:w="905" w:type="pct"/>
            <w:tcBorders>
              <w:top w:val="nil"/>
              <w:left w:val="nil"/>
              <w:bottom w:val="nil"/>
              <w:right w:val="nil"/>
            </w:tcBorders>
            <w:shd w:val="clear" w:color="000000" w:fill="FFFFFF"/>
            <w:vAlign w:val="center"/>
            <w:hideMark/>
          </w:tcPr>
          <w:p w14:paraId="482835FE" w14:textId="77777777" w:rsidR="00AE6646" w:rsidRPr="00DD39BC" w:rsidRDefault="00AE6646" w:rsidP="00071B92">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 xml:space="preserve">Surplus or </w:t>
            </w:r>
            <w:r>
              <w:rPr>
                <w:rFonts w:eastAsia="Times New Roman" w:cs="Calibri"/>
                <w:b/>
                <w:bCs/>
                <w:color w:val="auto"/>
                <w:sz w:val="18"/>
                <w:szCs w:val="18"/>
                <w:lang w:eastAsia="en-GB"/>
              </w:rPr>
              <w:t>(</w:t>
            </w:r>
            <w:r w:rsidRPr="00DD39BC">
              <w:rPr>
                <w:rFonts w:eastAsia="Times New Roman" w:cs="Calibri"/>
                <w:b/>
                <w:bCs/>
                <w:color w:val="auto"/>
                <w:sz w:val="18"/>
                <w:szCs w:val="18"/>
                <w:lang w:eastAsia="en-GB"/>
              </w:rPr>
              <w:t>Deficit</w:t>
            </w:r>
            <w:r>
              <w:rPr>
                <w:rFonts w:eastAsia="Times New Roman" w:cs="Calibri"/>
                <w:b/>
                <w:bCs/>
                <w:color w:val="auto"/>
                <w:sz w:val="18"/>
                <w:szCs w:val="18"/>
                <w:lang w:eastAsia="en-GB"/>
              </w:rPr>
              <w:t>)</w:t>
            </w:r>
            <w:r w:rsidRPr="00DD39BC">
              <w:rPr>
                <w:rFonts w:eastAsia="Times New Roman" w:cs="Calibri"/>
                <w:b/>
                <w:bCs/>
                <w:color w:val="auto"/>
                <w:sz w:val="18"/>
                <w:szCs w:val="18"/>
                <w:lang w:eastAsia="en-GB"/>
              </w:rPr>
              <w:t xml:space="preserve"> on the Provision of Services</w:t>
            </w:r>
          </w:p>
        </w:tc>
        <w:tc>
          <w:tcPr>
            <w:tcW w:w="748" w:type="pct"/>
            <w:tcBorders>
              <w:top w:val="single" w:sz="4" w:space="0" w:color="auto"/>
              <w:left w:val="nil"/>
              <w:bottom w:val="single" w:sz="4" w:space="0" w:color="auto"/>
              <w:right w:val="nil"/>
            </w:tcBorders>
            <w:shd w:val="clear" w:color="000000" w:fill="CCECFF"/>
            <w:vAlign w:val="center"/>
            <w:hideMark/>
          </w:tcPr>
          <w:p w14:paraId="49AC30F5"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single" w:sz="4" w:space="0" w:color="auto"/>
              <w:left w:val="nil"/>
              <w:bottom w:val="single" w:sz="4" w:space="0" w:color="auto"/>
              <w:right w:val="nil"/>
            </w:tcBorders>
            <w:shd w:val="clear" w:color="000000" w:fill="CCECFF"/>
            <w:vAlign w:val="center"/>
            <w:hideMark/>
          </w:tcPr>
          <w:p w14:paraId="6DDEFF1E"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c>
          <w:tcPr>
            <w:tcW w:w="694" w:type="pct"/>
            <w:tcBorders>
              <w:top w:val="single" w:sz="4" w:space="0" w:color="auto"/>
              <w:left w:val="nil"/>
              <w:bottom w:val="single" w:sz="4" w:space="0" w:color="auto"/>
              <w:right w:val="nil"/>
            </w:tcBorders>
            <w:shd w:val="clear" w:color="000000" w:fill="CCECFF"/>
            <w:vAlign w:val="center"/>
            <w:hideMark/>
          </w:tcPr>
          <w:p w14:paraId="1EEE131E"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24,397</w:t>
            </w:r>
          </w:p>
        </w:tc>
      </w:tr>
      <w:tr w:rsidR="00AE6646" w:rsidRPr="00DD39BC" w14:paraId="15E79217" w14:textId="77777777" w:rsidTr="00071B92">
        <w:trPr>
          <w:trHeight w:val="290"/>
        </w:trPr>
        <w:tc>
          <w:tcPr>
            <w:tcW w:w="748" w:type="pct"/>
            <w:tcBorders>
              <w:top w:val="nil"/>
              <w:left w:val="nil"/>
              <w:bottom w:val="nil"/>
              <w:right w:val="nil"/>
            </w:tcBorders>
            <w:shd w:val="clear" w:color="000000" w:fill="FFFFFF"/>
            <w:vAlign w:val="center"/>
            <w:hideMark/>
          </w:tcPr>
          <w:p w14:paraId="3A60AB07"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298DF772"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465AAA54"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1F453128"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Opening Combined General Fund Balance</w:t>
            </w:r>
          </w:p>
        </w:tc>
        <w:tc>
          <w:tcPr>
            <w:tcW w:w="748" w:type="pct"/>
            <w:tcBorders>
              <w:top w:val="nil"/>
              <w:left w:val="nil"/>
              <w:bottom w:val="nil"/>
              <w:right w:val="nil"/>
            </w:tcBorders>
            <w:shd w:val="clear" w:color="000000" w:fill="CCECFF"/>
            <w:vAlign w:val="center"/>
            <w:hideMark/>
          </w:tcPr>
          <w:p w14:paraId="3C7BA0CD"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6DD4A712"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121A4C23"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AE6646" w:rsidRPr="00DD39BC" w14:paraId="34935101" w14:textId="77777777" w:rsidTr="00071B92">
        <w:trPr>
          <w:trHeight w:val="290"/>
        </w:trPr>
        <w:tc>
          <w:tcPr>
            <w:tcW w:w="748" w:type="pct"/>
            <w:tcBorders>
              <w:top w:val="nil"/>
              <w:left w:val="nil"/>
              <w:bottom w:val="nil"/>
              <w:right w:val="nil"/>
            </w:tcBorders>
            <w:shd w:val="clear" w:color="000000" w:fill="FFFFFF"/>
            <w:vAlign w:val="center"/>
            <w:hideMark/>
          </w:tcPr>
          <w:p w14:paraId="6FDC38BF"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6E79E0A9"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54AC952D"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nil"/>
              <w:right w:val="nil"/>
            </w:tcBorders>
            <w:shd w:val="clear" w:color="000000" w:fill="FFFFFF"/>
            <w:vAlign w:val="center"/>
            <w:hideMark/>
          </w:tcPr>
          <w:p w14:paraId="7BE3BAD5"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Surplus or Deficit on the General Fund</w:t>
            </w:r>
          </w:p>
        </w:tc>
        <w:tc>
          <w:tcPr>
            <w:tcW w:w="748" w:type="pct"/>
            <w:tcBorders>
              <w:top w:val="nil"/>
              <w:left w:val="nil"/>
              <w:bottom w:val="nil"/>
              <w:right w:val="nil"/>
            </w:tcBorders>
            <w:shd w:val="clear" w:color="000000" w:fill="CCECFF"/>
            <w:vAlign w:val="center"/>
            <w:hideMark/>
          </w:tcPr>
          <w:p w14:paraId="6A837543"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50367D28"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556C3DFF"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AE6646" w:rsidRPr="00DD39BC" w14:paraId="5A7CC50E" w14:textId="77777777" w:rsidTr="00071B92">
        <w:trPr>
          <w:trHeight w:val="290"/>
        </w:trPr>
        <w:tc>
          <w:tcPr>
            <w:tcW w:w="748" w:type="pct"/>
            <w:tcBorders>
              <w:top w:val="nil"/>
              <w:left w:val="nil"/>
              <w:bottom w:val="single" w:sz="4" w:space="0" w:color="auto"/>
              <w:right w:val="nil"/>
            </w:tcBorders>
            <w:shd w:val="clear" w:color="000000" w:fill="FFFFFF"/>
            <w:vAlign w:val="center"/>
            <w:hideMark/>
          </w:tcPr>
          <w:p w14:paraId="12976663"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553FA155"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051D0AA8"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single" w:sz="4" w:space="0" w:color="auto"/>
              <w:right w:val="nil"/>
            </w:tcBorders>
            <w:shd w:val="clear" w:color="000000" w:fill="FFFFFF"/>
            <w:vAlign w:val="center"/>
            <w:hideMark/>
          </w:tcPr>
          <w:p w14:paraId="462E7B2A"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Transfers to/from other Reserves</w:t>
            </w:r>
          </w:p>
        </w:tc>
        <w:tc>
          <w:tcPr>
            <w:tcW w:w="748" w:type="pct"/>
            <w:tcBorders>
              <w:top w:val="nil"/>
              <w:left w:val="nil"/>
              <w:bottom w:val="single" w:sz="4" w:space="0" w:color="auto"/>
              <w:right w:val="nil"/>
            </w:tcBorders>
            <w:shd w:val="clear" w:color="000000" w:fill="CCECFF"/>
            <w:vAlign w:val="center"/>
            <w:hideMark/>
          </w:tcPr>
          <w:p w14:paraId="0037D394" w14:textId="77777777" w:rsidR="00AE6646" w:rsidRPr="00DD39BC" w:rsidRDefault="00AE6646" w:rsidP="00071B92">
            <w:pPr>
              <w:spacing w:line="240" w:lineRule="auto"/>
              <w:jc w:val="right"/>
              <w:rPr>
                <w:rFonts w:eastAsia="Times New Roman" w:cs="Calibri"/>
                <w:color w:val="auto"/>
                <w:sz w:val="18"/>
                <w:szCs w:val="18"/>
                <w:lang w:eastAsia="en-GB"/>
              </w:rPr>
            </w:pPr>
            <w:r w:rsidRPr="00DD39BC">
              <w:rPr>
                <w:rFonts w:eastAsia="Times New Roman" w:cs="Calibri"/>
                <w:color w:val="auto"/>
                <w:sz w:val="18"/>
                <w:szCs w:val="18"/>
                <w:lang w:eastAsia="en-GB"/>
              </w:rPr>
              <w:t>-</w:t>
            </w:r>
          </w:p>
        </w:tc>
        <w:tc>
          <w:tcPr>
            <w:tcW w:w="605" w:type="pct"/>
            <w:tcBorders>
              <w:top w:val="nil"/>
              <w:left w:val="nil"/>
              <w:bottom w:val="nil"/>
              <w:right w:val="nil"/>
            </w:tcBorders>
            <w:shd w:val="clear" w:color="000000" w:fill="FFFFFF"/>
            <w:vAlign w:val="center"/>
            <w:hideMark/>
          </w:tcPr>
          <w:p w14:paraId="78BC75A8"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70FAA444"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r w:rsidR="00AE6646" w:rsidRPr="00DD39BC" w14:paraId="2517D2DA" w14:textId="77777777" w:rsidTr="00071B92">
        <w:trPr>
          <w:trHeight w:val="290"/>
        </w:trPr>
        <w:tc>
          <w:tcPr>
            <w:tcW w:w="748" w:type="pct"/>
            <w:tcBorders>
              <w:top w:val="nil"/>
              <w:left w:val="nil"/>
              <w:bottom w:val="single" w:sz="4" w:space="0" w:color="auto"/>
              <w:right w:val="nil"/>
            </w:tcBorders>
            <w:shd w:val="clear" w:color="000000" w:fill="FFFFFF"/>
            <w:vAlign w:val="center"/>
            <w:hideMark/>
          </w:tcPr>
          <w:p w14:paraId="7FA089C4"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nil"/>
              <w:left w:val="nil"/>
              <w:bottom w:val="nil"/>
              <w:right w:val="nil"/>
            </w:tcBorders>
            <w:shd w:val="clear" w:color="000000" w:fill="FFFFFF"/>
            <w:vAlign w:val="center"/>
            <w:hideMark/>
          </w:tcPr>
          <w:p w14:paraId="4CD222AE"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34895E6E"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905" w:type="pct"/>
            <w:tcBorders>
              <w:top w:val="nil"/>
              <w:left w:val="nil"/>
              <w:bottom w:val="single" w:sz="4" w:space="0" w:color="auto"/>
              <w:right w:val="nil"/>
            </w:tcBorders>
            <w:shd w:val="clear" w:color="000000" w:fill="FFFFFF"/>
            <w:vAlign w:val="center"/>
            <w:hideMark/>
          </w:tcPr>
          <w:p w14:paraId="14F8670C" w14:textId="77777777" w:rsidR="00AE6646" w:rsidRPr="00DD39BC" w:rsidRDefault="00AE6646" w:rsidP="00071B92">
            <w:pPr>
              <w:spacing w:line="240" w:lineRule="auto"/>
              <w:jc w:val="left"/>
              <w:rPr>
                <w:rFonts w:eastAsia="Times New Roman" w:cs="Calibri"/>
                <w:b/>
                <w:bCs/>
                <w:color w:val="auto"/>
                <w:sz w:val="18"/>
                <w:szCs w:val="18"/>
                <w:lang w:eastAsia="en-GB"/>
              </w:rPr>
            </w:pPr>
            <w:r w:rsidRPr="00DD39BC">
              <w:rPr>
                <w:rFonts w:eastAsia="Times New Roman" w:cs="Calibri"/>
                <w:b/>
                <w:bCs/>
                <w:color w:val="auto"/>
                <w:sz w:val="18"/>
                <w:szCs w:val="18"/>
                <w:lang w:eastAsia="en-GB"/>
              </w:rPr>
              <w:t>Closing Combined General Fund</w:t>
            </w:r>
          </w:p>
        </w:tc>
        <w:tc>
          <w:tcPr>
            <w:tcW w:w="748" w:type="pct"/>
            <w:tcBorders>
              <w:top w:val="nil"/>
              <w:left w:val="nil"/>
              <w:bottom w:val="single" w:sz="4" w:space="0" w:color="auto"/>
              <w:right w:val="nil"/>
            </w:tcBorders>
            <w:shd w:val="clear" w:color="000000" w:fill="CCECFF"/>
            <w:vAlign w:val="center"/>
            <w:hideMark/>
          </w:tcPr>
          <w:p w14:paraId="1895FCF8" w14:textId="77777777" w:rsidR="00AE6646" w:rsidRPr="00DD39BC" w:rsidRDefault="00AE6646" w:rsidP="00071B92">
            <w:pPr>
              <w:spacing w:line="240" w:lineRule="auto"/>
              <w:jc w:val="right"/>
              <w:rPr>
                <w:rFonts w:eastAsia="Times New Roman" w:cs="Calibri"/>
                <w:b/>
                <w:bCs/>
                <w:color w:val="auto"/>
                <w:sz w:val="18"/>
                <w:szCs w:val="18"/>
                <w:lang w:eastAsia="en-GB"/>
              </w:rPr>
            </w:pPr>
            <w:r w:rsidRPr="00DD39BC">
              <w:rPr>
                <w:rFonts w:eastAsia="Times New Roman" w:cs="Calibri"/>
                <w:b/>
                <w:bCs/>
                <w:color w:val="auto"/>
                <w:sz w:val="18"/>
                <w:szCs w:val="18"/>
                <w:lang w:eastAsia="en-GB"/>
              </w:rPr>
              <w:t>-</w:t>
            </w:r>
          </w:p>
        </w:tc>
        <w:tc>
          <w:tcPr>
            <w:tcW w:w="605" w:type="pct"/>
            <w:tcBorders>
              <w:top w:val="nil"/>
              <w:left w:val="nil"/>
              <w:bottom w:val="nil"/>
              <w:right w:val="nil"/>
            </w:tcBorders>
            <w:shd w:val="clear" w:color="000000" w:fill="FFFFFF"/>
            <w:vAlign w:val="center"/>
            <w:hideMark/>
          </w:tcPr>
          <w:p w14:paraId="4D16861E"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c>
          <w:tcPr>
            <w:tcW w:w="694" w:type="pct"/>
            <w:tcBorders>
              <w:top w:val="nil"/>
              <w:left w:val="nil"/>
              <w:bottom w:val="nil"/>
              <w:right w:val="nil"/>
            </w:tcBorders>
            <w:shd w:val="clear" w:color="000000" w:fill="FFFFFF"/>
            <w:vAlign w:val="center"/>
            <w:hideMark/>
          </w:tcPr>
          <w:p w14:paraId="7424066F" w14:textId="77777777" w:rsidR="00AE6646" w:rsidRPr="00DD39BC" w:rsidRDefault="00AE6646" w:rsidP="00071B92">
            <w:pPr>
              <w:spacing w:line="240" w:lineRule="auto"/>
              <w:jc w:val="left"/>
              <w:rPr>
                <w:rFonts w:eastAsia="Times New Roman" w:cs="Calibri"/>
                <w:color w:val="auto"/>
                <w:sz w:val="18"/>
                <w:szCs w:val="18"/>
                <w:lang w:eastAsia="en-GB"/>
              </w:rPr>
            </w:pPr>
            <w:r w:rsidRPr="00DD39BC">
              <w:rPr>
                <w:rFonts w:eastAsia="Times New Roman" w:cs="Calibri"/>
                <w:color w:val="auto"/>
                <w:sz w:val="18"/>
                <w:szCs w:val="18"/>
                <w:lang w:eastAsia="en-GB"/>
              </w:rPr>
              <w:t> </w:t>
            </w:r>
          </w:p>
        </w:tc>
      </w:tr>
    </w:tbl>
    <w:p w14:paraId="671B2428" w14:textId="77777777" w:rsidR="009F223E" w:rsidRDefault="009F223E" w:rsidP="00EB49F7">
      <w:pPr>
        <w:pStyle w:val="NoteHeader"/>
      </w:pPr>
    </w:p>
    <w:p w14:paraId="194DEE83" w14:textId="77777777" w:rsidR="009F223E" w:rsidRDefault="009F223E">
      <w:pPr>
        <w:spacing w:line="240" w:lineRule="auto"/>
        <w:jc w:val="left"/>
        <w:rPr>
          <w:rFonts w:asciiTheme="minorHAnsi" w:eastAsia="Times New Roman" w:hAnsiTheme="minorHAnsi" w:cs="Times New Roman"/>
          <w:b/>
          <w:bCs/>
          <w:color w:val="25316C"/>
          <w:sz w:val="24"/>
          <w:u w:val="single"/>
        </w:rPr>
      </w:pPr>
      <w:r>
        <w:br w:type="page"/>
      </w:r>
    </w:p>
    <w:p w14:paraId="24EC7D02" w14:textId="1746FC68" w:rsidR="002522D4" w:rsidRPr="0082082B" w:rsidRDefault="002522D4" w:rsidP="00EB49F7">
      <w:pPr>
        <w:pStyle w:val="NoteHeader"/>
      </w:pPr>
      <w:bookmarkStart w:id="81" w:name="_Toc191457315"/>
      <w:r w:rsidRPr="0082082B">
        <w:lastRenderedPageBreak/>
        <w:t>Note 1 - Critical Judgements in Applying Accounting Policies</w:t>
      </w:r>
      <w:bookmarkEnd w:id="73"/>
      <w:bookmarkEnd w:id="74"/>
      <w:bookmarkEnd w:id="75"/>
      <w:bookmarkEnd w:id="81"/>
      <w:r w:rsidRPr="0082082B">
        <w:t xml:space="preserve"> </w:t>
      </w:r>
    </w:p>
    <w:p w14:paraId="1F846E3A" w14:textId="77777777" w:rsidR="002522D4" w:rsidRPr="0082082B" w:rsidRDefault="002522D4" w:rsidP="006A5AA6"/>
    <w:p w14:paraId="368558E6" w14:textId="77777777" w:rsidR="002522D4" w:rsidRPr="0082082B" w:rsidRDefault="002522D4" w:rsidP="006A5AA6">
      <w:r w:rsidRPr="0082082B">
        <w:t xml:space="preserve">In applying </w:t>
      </w:r>
      <w:r w:rsidR="0082082B" w:rsidRPr="0082082B">
        <w:t>its</w:t>
      </w:r>
      <w:r w:rsidRPr="0082082B">
        <w:t xml:space="preserve"> accoun</w:t>
      </w:r>
      <w:r w:rsidR="0082082B" w:rsidRPr="0082082B">
        <w:t>ting policies</w:t>
      </w:r>
      <w:r w:rsidRPr="0082082B">
        <w:t xml:space="preserve">, the </w:t>
      </w:r>
      <w:r w:rsidR="00AE1D65" w:rsidRPr="0082082B">
        <w:t>O</w:t>
      </w:r>
      <w:r w:rsidR="00C75713" w:rsidRPr="0082082B">
        <w:t>CC</w:t>
      </w:r>
      <w:r w:rsidRPr="0082082B">
        <w:t xml:space="preserve"> has had to make certain judgements about complex transactions or those involving uncertainty about future events.  The critical judgements made in the Statement of Accounts are:</w:t>
      </w:r>
    </w:p>
    <w:p w14:paraId="34B04161" w14:textId="5D78CE37" w:rsidR="002522D4" w:rsidRPr="0082082B" w:rsidRDefault="0082082B" w:rsidP="00AE32D7">
      <w:pPr>
        <w:pStyle w:val="RedBullet"/>
      </w:pPr>
      <w:r w:rsidRPr="0082082B">
        <w:t>Influences on Going C</w:t>
      </w:r>
      <w:r w:rsidR="002522D4" w:rsidRPr="0082082B">
        <w:t>oncern status, such as future levels of funding for central government departments</w:t>
      </w:r>
      <w:r w:rsidR="00155219">
        <w:t>.</w:t>
      </w:r>
    </w:p>
    <w:p w14:paraId="68C8E733" w14:textId="7E8BE9D8" w:rsidR="002522D4" w:rsidRPr="0082082B" w:rsidRDefault="002522D4" w:rsidP="00AE32D7">
      <w:pPr>
        <w:pStyle w:val="RedBullet"/>
      </w:pPr>
      <w:r w:rsidRPr="0082082B">
        <w:t>Possible impairment of investments</w:t>
      </w:r>
      <w:r w:rsidR="00155219">
        <w:t>.</w:t>
      </w:r>
    </w:p>
    <w:p w14:paraId="7E5A7BDF" w14:textId="589709D0" w:rsidR="002522D4" w:rsidRPr="0082082B" w:rsidRDefault="002522D4" w:rsidP="00AE32D7">
      <w:pPr>
        <w:pStyle w:val="RedBullet"/>
      </w:pPr>
      <w:r w:rsidRPr="0082082B">
        <w:t xml:space="preserve">Whether other entities with which the </w:t>
      </w:r>
      <w:r w:rsidR="00AE1D65" w:rsidRPr="0082082B">
        <w:t>O</w:t>
      </w:r>
      <w:r w:rsidR="00C75713" w:rsidRPr="0082082B">
        <w:t>CC</w:t>
      </w:r>
      <w:r w:rsidRPr="0082082B">
        <w:t xml:space="preserve"> has a relationship are subsidiaries, associates or jointly controlled entities</w:t>
      </w:r>
      <w:r w:rsidR="00155219">
        <w:t>.</w:t>
      </w:r>
    </w:p>
    <w:p w14:paraId="704F0CE0" w14:textId="356064A1" w:rsidR="002522D4" w:rsidRPr="0082082B" w:rsidRDefault="002522D4" w:rsidP="00AE32D7">
      <w:pPr>
        <w:pStyle w:val="RedBullet"/>
      </w:pPr>
      <w:r w:rsidRPr="0082082B">
        <w:t xml:space="preserve">The potential outcome of legal claims by or against the </w:t>
      </w:r>
      <w:r w:rsidR="00AE1D65" w:rsidRPr="0082082B">
        <w:t>O</w:t>
      </w:r>
      <w:r w:rsidR="00C75713" w:rsidRPr="0082082B">
        <w:t>CC</w:t>
      </w:r>
      <w:r w:rsidR="00155219">
        <w:t>.</w:t>
      </w:r>
    </w:p>
    <w:p w14:paraId="23ADD8C0" w14:textId="4E0135D3" w:rsidR="002522D4" w:rsidRPr="0082082B" w:rsidRDefault="002522D4" w:rsidP="00AE32D7">
      <w:pPr>
        <w:pStyle w:val="RedBullet"/>
      </w:pPr>
      <w:r w:rsidRPr="0082082B">
        <w:t>The condition of the local and national housing/industrial building market</w:t>
      </w:r>
      <w:r w:rsidR="00155219">
        <w:t>.</w:t>
      </w:r>
    </w:p>
    <w:p w14:paraId="5F60FC77" w14:textId="1F7AC87B" w:rsidR="002522D4" w:rsidRPr="0082082B" w:rsidRDefault="002522D4" w:rsidP="00AE32D7">
      <w:pPr>
        <w:pStyle w:val="RedBullet"/>
      </w:pPr>
      <w:r w:rsidRPr="0082082B">
        <w:t>The economic standing of significant debtors and creditors</w:t>
      </w:r>
      <w:r w:rsidR="00155219">
        <w:t>.</w:t>
      </w:r>
    </w:p>
    <w:p w14:paraId="0491D104" w14:textId="3B9A7FC7" w:rsidR="0082082B" w:rsidRPr="004D5A1D" w:rsidRDefault="002522D4" w:rsidP="0082082B">
      <w:pPr>
        <w:rPr>
          <w:szCs w:val="20"/>
        </w:rPr>
      </w:pPr>
      <w:r w:rsidRPr="0082082B">
        <w:rPr>
          <w:sz w:val="22"/>
        </w:rPr>
        <w:t xml:space="preserve"> </w:t>
      </w:r>
    </w:p>
    <w:p w14:paraId="22D4A066" w14:textId="6F723016" w:rsidR="0082082B" w:rsidRPr="004D5A1D" w:rsidRDefault="0082082B" w:rsidP="0082082B">
      <w:pPr>
        <w:rPr>
          <w:szCs w:val="20"/>
        </w:rPr>
      </w:pPr>
      <w:r w:rsidRPr="004D5A1D">
        <w:rPr>
          <w:szCs w:val="20"/>
        </w:rPr>
        <w:t xml:space="preserve">Based on our assessment of the financial and liquidity position of the </w:t>
      </w:r>
      <w:r w:rsidR="000B79EC">
        <w:rPr>
          <w:szCs w:val="20"/>
        </w:rPr>
        <w:t>O</w:t>
      </w:r>
      <w:r w:rsidRPr="004D5A1D">
        <w:rPr>
          <w:szCs w:val="20"/>
        </w:rPr>
        <w:t>PFCC/</w:t>
      </w:r>
      <w:r w:rsidR="000B79EC">
        <w:rPr>
          <w:szCs w:val="20"/>
        </w:rPr>
        <w:t>O</w:t>
      </w:r>
      <w:r w:rsidRPr="004D5A1D">
        <w:rPr>
          <w:szCs w:val="20"/>
        </w:rPr>
        <w:t>CC, there are no material uncertainties or concerns on</w:t>
      </w:r>
      <w:r w:rsidR="008C3689">
        <w:rPr>
          <w:szCs w:val="20"/>
        </w:rPr>
        <w:t xml:space="preserve"> the basis of preparing the 202</w:t>
      </w:r>
      <w:r w:rsidR="006E06AC">
        <w:rPr>
          <w:szCs w:val="20"/>
        </w:rPr>
        <w:t>3</w:t>
      </w:r>
      <w:r w:rsidR="008C3689">
        <w:rPr>
          <w:szCs w:val="20"/>
        </w:rPr>
        <w:t>/2</w:t>
      </w:r>
      <w:r w:rsidR="006E06AC">
        <w:rPr>
          <w:szCs w:val="20"/>
        </w:rPr>
        <w:t>4</w:t>
      </w:r>
      <w:r w:rsidRPr="004D5A1D">
        <w:rPr>
          <w:szCs w:val="20"/>
        </w:rPr>
        <w:t xml:space="preserve"> financial statements as a going concern.</w:t>
      </w:r>
      <w:r w:rsidR="00773FB6" w:rsidRPr="00773FB6">
        <w:rPr>
          <w:szCs w:val="20"/>
        </w:rPr>
        <w:t xml:space="preserve"> </w:t>
      </w:r>
      <w:r w:rsidR="00773FB6">
        <w:rPr>
          <w:szCs w:val="20"/>
        </w:rPr>
        <w:t xml:space="preserve"> A full assessment of</w:t>
      </w:r>
      <w:r w:rsidR="00773FB6" w:rsidRPr="0082082B">
        <w:rPr>
          <w:szCs w:val="20"/>
        </w:rPr>
        <w:t xml:space="preserve"> Going Concern </w:t>
      </w:r>
      <w:r w:rsidR="00773FB6">
        <w:rPr>
          <w:szCs w:val="20"/>
        </w:rPr>
        <w:t>is provided in the Accounting Policies section</w:t>
      </w:r>
      <w:r w:rsidR="00354E03">
        <w:rPr>
          <w:szCs w:val="20"/>
        </w:rPr>
        <w:t>.</w:t>
      </w:r>
    </w:p>
    <w:p w14:paraId="51F2DA7A" w14:textId="77777777" w:rsidR="005433C7" w:rsidRPr="00A14CAC" w:rsidRDefault="005433C7" w:rsidP="002522D4">
      <w:pPr>
        <w:rPr>
          <w:sz w:val="22"/>
        </w:rPr>
      </w:pPr>
    </w:p>
    <w:p w14:paraId="6CB46AB6" w14:textId="77777777" w:rsidR="002522D4" w:rsidRPr="00A14CAC" w:rsidRDefault="002522D4" w:rsidP="00EB49F7">
      <w:pPr>
        <w:pStyle w:val="NoteHeader"/>
      </w:pPr>
      <w:bookmarkStart w:id="82" w:name="_Toc517077276"/>
      <w:bookmarkStart w:id="83" w:name="_Toc9272502"/>
      <w:bookmarkStart w:id="84" w:name="_Toc9592048"/>
      <w:bookmarkStart w:id="85" w:name="_Toc191457316"/>
      <w:r w:rsidRPr="00A14CAC">
        <w:t>Note 2 - Assumptions Made about the Future and Other Major Sources of Estimation Uncertainty</w:t>
      </w:r>
      <w:bookmarkEnd w:id="82"/>
      <w:bookmarkEnd w:id="83"/>
      <w:bookmarkEnd w:id="84"/>
      <w:bookmarkEnd w:id="85"/>
      <w:r w:rsidRPr="00A14CAC">
        <w:t xml:space="preserve"> </w:t>
      </w:r>
    </w:p>
    <w:p w14:paraId="606EB3A3" w14:textId="77777777" w:rsidR="002522D4" w:rsidRPr="00A14CAC" w:rsidRDefault="002522D4" w:rsidP="006A5AA6"/>
    <w:p w14:paraId="11EE673C" w14:textId="77777777" w:rsidR="002522D4" w:rsidRPr="00A14CAC" w:rsidRDefault="002522D4" w:rsidP="00155219">
      <w:r w:rsidRPr="00A14CAC">
        <w:t xml:space="preserve">The Statement of Accounts contains estimated figures that are based on assumptions made by the </w:t>
      </w:r>
      <w:r w:rsidR="00A91450" w:rsidRPr="00A14CAC">
        <w:t>O</w:t>
      </w:r>
      <w:r w:rsidR="00C75713" w:rsidRPr="00A14CAC">
        <w:t>CC</w:t>
      </w:r>
      <w:r w:rsidRPr="00A14CAC">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01FB154F" w14:textId="77777777" w:rsidR="002522D4" w:rsidRPr="00A14CAC" w:rsidRDefault="002522D4" w:rsidP="006A5AA6"/>
    <w:p w14:paraId="186D2722" w14:textId="1B292A13" w:rsidR="002522D4" w:rsidRPr="003C2227" w:rsidRDefault="002522D4" w:rsidP="006A5AA6">
      <w:r w:rsidRPr="00A14CAC">
        <w:t xml:space="preserve">The items in the </w:t>
      </w:r>
      <w:r w:rsidR="00A91450" w:rsidRPr="00A14CAC">
        <w:t>O</w:t>
      </w:r>
      <w:r w:rsidR="00C75713" w:rsidRPr="00A14CAC">
        <w:t>CC</w:t>
      </w:r>
      <w:r w:rsidR="00A14CAC" w:rsidRPr="00A14CAC">
        <w:t>’</w:t>
      </w:r>
      <w:r w:rsidR="008C3689">
        <w:t xml:space="preserve">s Balance Sheet </w:t>
      </w:r>
      <w:r w:rsidR="000B5590">
        <w:t xml:space="preserve">as </w:t>
      </w:r>
      <w:r w:rsidR="008C3689">
        <w:t>at 31</w:t>
      </w:r>
      <w:r w:rsidR="00A25C40" w:rsidRPr="00A25C40">
        <w:rPr>
          <w:vertAlign w:val="superscript"/>
        </w:rPr>
        <w:t>st</w:t>
      </w:r>
      <w:r w:rsidR="00A25C40">
        <w:t xml:space="preserve"> </w:t>
      </w:r>
      <w:r w:rsidR="008C3689">
        <w:t>March 202</w:t>
      </w:r>
      <w:r w:rsidR="006E06AC">
        <w:t>4</w:t>
      </w:r>
      <w:r w:rsidRPr="00A14CAC">
        <w:t xml:space="preserve"> for which there is a significant risk of material adjustment in the forthcoming financial year </w:t>
      </w:r>
      <w:r w:rsidRPr="003C2227">
        <w:t>are as follows:</w:t>
      </w:r>
    </w:p>
    <w:p w14:paraId="2E82F602" w14:textId="77777777" w:rsidR="002522D4" w:rsidRPr="003C2227" w:rsidRDefault="002522D4" w:rsidP="006A5AA6"/>
    <w:tbl>
      <w:tblPr>
        <w:tblW w:w="9212" w:type="dxa"/>
        <w:tblInd w:w="98" w:type="dxa"/>
        <w:tblLook w:val="0000" w:firstRow="0" w:lastRow="0" w:firstColumn="0" w:lastColumn="0" w:noHBand="0" w:noVBand="0"/>
      </w:tblPr>
      <w:tblGrid>
        <w:gridCol w:w="1450"/>
        <w:gridCol w:w="3969"/>
        <w:gridCol w:w="3793"/>
      </w:tblGrid>
      <w:tr w:rsidR="002522D4" w:rsidRPr="00C60BA1" w14:paraId="1AACEAD7" w14:textId="77777777" w:rsidTr="00C60BA1">
        <w:trPr>
          <w:trHeight w:val="510"/>
        </w:trPr>
        <w:tc>
          <w:tcPr>
            <w:tcW w:w="1450" w:type="dxa"/>
            <w:tcBorders>
              <w:top w:val="single" w:sz="8" w:space="0" w:color="000000"/>
              <w:left w:val="single" w:sz="8" w:space="0" w:color="000000"/>
              <w:bottom w:val="single" w:sz="8" w:space="0" w:color="000000"/>
              <w:right w:val="single" w:sz="8" w:space="0" w:color="000000"/>
            </w:tcBorders>
            <w:shd w:val="clear" w:color="auto" w:fill="auto"/>
          </w:tcPr>
          <w:p w14:paraId="71246D1C" w14:textId="77777777" w:rsidR="002522D4" w:rsidRPr="00C60BA1" w:rsidRDefault="002522D4" w:rsidP="006A5AA6">
            <w:pPr>
              <w:rPr>
                <w:b/>
                <w:bCs/>
              </w:rPr>
            </w:pPr>
            <w:r w:rsidRPr="00C60BA1">
              <w:rPr>
                <w:b/>
                <w:bCs/>
              </w:rPr>
              <w:t>Item</w:t>
            </w:r>
          </w:p>
        </w:tc>
        <w:tc>
          <w:tcPr>
            <w:tcW w:w="3969" w:type="dxa"/>
            <w:tcBorders>
              <w:top w:val="single" w:sz="8" w:space="0" w:color="000000"/>
              <w:left w:val="nil"/>
              <w:bottom w:val="single" w:sz="8" w:space="0" w:color="000000"/>
              <w:right w:val="single" w:sz="8" w:space="0" w:color="000000"/>
            </w:tcBorders>
            <w:shd w:val="clear" w:color="auto" w:fill="auto"/>
          </w:tcPr>
          <w:p w14:paraId="1D7AC8D4" w14:textId="77777777" w:rsidR="002522D4" w:rsidRPr="00C60BA1" w:rsidRDefault="002522D4" w:rsidP="006A5AA6">
            <w:pPr>
              <w:rPr>
                <w:b/>
                <w:bCs/>
              </w:rPr>
            </w:pPr>
            <w:r w:rsidRPr="00C60BA1">
              <w:rPr>
                <w:b/>
                <w:bCs/>
              </w:rPr>
              <w:t>Uncertainties</w:t>
            </w:r>
          </w:p>
        </w:tc>
        <w:tc>
          <w:tcPr>
            <w:tcW w:w="3793" w:type="dxa"/>
            <w:tcBorders>
              <w:top w:val="single" w:sz="8" w:space="0" w:color="000000"/>
              <w:left w:val="nil"/>
              <w:bottom w:val="single" w:sz="8" w:space="0" w:color="000000"/>
              <w:right w:val="single" w:sz="8" w:space="0" w:color="000000"/>
            </w:tcBorders>
            <w:shd w:val="clear" w:color="auto" w:fill="auto"/>
          </w:tcPr>
          <w:p w14:paraId="0A773806" w14:textId="77777777" w:rsidR="002522D4" w:rsidRPr="00C60BA1" w:rsidRDefault="002522D4" w:rsidP="00C60BA1">
            <w:pPr>
              <w:rPr>
                <w:b/>
                <w:bCs/>
              </w:rPr>
            </w:pPr>
            <w:r w:rsidRPr="00C60BA1">
              <w:rPr>
                <w:b/>
                <w:bCs/>
              </w:rPr>
              <w:t>Effect if Actual Results Differ from Assumptions</w:t>
            </w:r>
          </w:p>
        </w:tc>
      </w:tr>
      <w:tr w:rsidR="002522D4" w:rsidRPr="003C2227" w14:paraId="6A996204" w14:textId="77777777" w:rsidTr="00C60BA1">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726"/>
        </w:trPr>
        <w:tc>
          <w:tcPr>
            <w:tcW w:w="1450" w:type="dxa"/>
            <w:vMerge w:val="restart"/>
            <w:shd w:val="clear" w:color="auto" w:fill="auto"/>
          </w:tcPr>
          <w:p w14:paraId="76B9F778" w14:textId="77777777" w:rsidR="002522D4" w:rsidRPr="003C2227" w:rsidRDefault="002522D4" w:rsidP="006A5AA6">
            <w:pPr>
              <w:rPr>
                <w:rFonts w:asciiTheme="minorHAnsi" w:hAnsiTheme="minorHAnsi"/>
                <w:szCs w:val="18"/>
              </w:rPr>
            </w:pPr>
            <w:r w:rsidRPr="003C2227">
              <w:rPr>
                <w:rFonts w:asciiTheme="minorHAnsi" w:hAnsiTheme="minorHAnsi"/>
                <w:szCs w:val="18"/>
              </w:rPr>
              <w:t>Pensions Liability</w:t>
            </w:r>
          </w:p>
        </w:tc>
        <w:tc>
          <w:tcPr>
            <w:tcW w:w="3969" w:type="dxa"/>
            <w:vMerge w:val="restart"/>
            <w:shd w:val="clear" w:color="auto" w:fill="auto"/>
          </w:tcPr>
          <w:p w14:paraId="5757ADBB" w14:textId="77777777" w:rsidR="002522D4" w:rsidRPr="003C2227" w:rsidRDefault="002522D4" w:rsidP="006A5AA6">
            <w:pPr>
              <w:rPr>
                <w:rFonts w:asciiTheme="minorHAnsi" w:hAnsiTheme="minorHAnsi"/>
                <w:szCs w:val="18"/>
              </w:rPr>
            </w:pPr>
            <w:r w:rsidRPr="003C2227">
              <w:rPr>
                <w:rFonts w:asciiTheme="minorHAnsi" w:hAnsiTheme="minorHAnsi"/>
                <w:szCs w:val="18"/>
              </w:rP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p>
        </w:tc>
        <w:tc>
          <w:tcPr>
            <w:tcW w:w="3793" w:type="dxa"/>
            <w:vMerge w:val="restart"/>
            <w:shd w:val="clear" w:color="auto" w:fill="auto"/>
          </w:tcPr>
          <w:p w14:paraId="59B0B194" w14:textId="61D3995F" w:rsidR="002522D4" w:rsidRPr="003C2227" w:rsidRDefault="002522D4" w:rsidP="003C1215">
            <w:pPr>
              <w:rPr>
                <w:rFonts w:asciiTheme="minorHAnsi" w:hAnsiTheme="minorHAnsi"/>
                <w:szCs w:val="18"/>
              </w:rPr>
            </w:pPr>
            <w:r w:rsidRPr="003C2227">
              <w:rPr>
                <w:rFonts w:asciiTheme="minorHAnsi" w:hAnsiTheme="minorHAnsi"/>
                <w:szCs w:val="18"/>
              </w:rPr>
              <w:t>The assumptions inter</w:t>
            </w:r>
            <w:r w:rsidR="003C1215">
              <w:rPr>
                <w:rFonts w:asciiTheme="minorHAnsi" w:hAnsiTheme="minorHAnsi"/>
                <w:szCs w:val="18"/>
              </w:rPr>
              <w:t>act in complex ways.  During 202</w:t>
            </w:r>
            <w:r w:rsidR="006E06AC">
              <w:rPr>
                <w:rFonts w:asciiTheme="minorHAnsi" w:hAnsiTheme="minorHAnsi"/>
                <w:szCs w:val="18"/>
              </w:rPr>
              <w:t>3</w:t>
            </w:r>
            <w:r w:rsidRPr="003C2227">
              <w:rPr>
                <w:rFonts w:asciiTheme="minorHAnsi" w:hAnsiTheme="minorHAnsi"/>
                <w:szCs w:val="18"/>
              </w:rPr>
              <w:t>/</w:t>
            </w:r>
            <w:r w:rsidR="003C1215" w:rsidRPr="00D92C2D">
              <w:rPr>
                <w:rFonts w:asciiTheme="minorHAnsi" w:hAnsiTheme="minorHAnsi"/>
                <w:szCs w:val="18"/>
              </w:rPr>
              <w:t>2</w:t>
            </w:r>
            <w:r w:rsidR="006E06AC" w:rsidRPr="00D92C2D">
              <w:rPr>
                <w:rFonts w:asciiTheme="minorHAnsi" w:hAnsiTheme="minorHAnsi"/>
                <w:szCs w:val="18"/>
              </w:rPr>
              <w:t>4</w:t>
            </w:r>
            <w:r w:rsidRPr="00D92C2D">
              <w:rPr>
                <w:rFonts w:asciiTheme="minorHAnsi" w:hAnsiTheme="minorHAnsi"/>
                <w:szCs w:val="18"/>
              </w:rPr>
              <w:t xml:space="preserve">, the Authority’s actuaries advised that the </w:t>
            </w:r>
            <w:r w:rsidR="004D766A" w:rsidRPr="00D92C2D">
              <w:rPr>
                <w:rFonts w:asciiTheme="minorHAnsi" w:hAnsiTheme="minorHAnsi"/>
                <w:szCs w:val="18"/>
              </w:rPr>
              <w:t xml:space="preserve">OCC’s </w:t>
            </w:r>
            <w:r w:rsidRPr="00D92C2D">
              <w:rPr>
                <w:rFonts w:asciiTheme="minorHAnsi" w:hAnsiTheme="minorHAnsi"/>
                <w:szCs w:val="18"/>
              </w:rPr>
              <w:t xml:space="preserve">net pension’s liability had </w:t>
            </w:r>
            <w:r w:rsidR="00332C42" w:rsidRPr="00D92C2D">
              <w:rPr>
                <w:rFonts w:asciiTheme="minorHAnsi" w:hAnsiTheme="minorHAnsi"/>
                <w:szCs w:val="18"/>
              </w:rPr>
              <w:t>de</w:t>
            </w:r>
            <w:r w:rsidRPr="00D92C2D">
              <w:rPr>
                <w:rFonts w:asciiTheme="minorHAnsi" w:hAnsiTheme="minorHAnsi"/>
                <w:szCs w:val="18"/>
              </w:rPr>
              <w:t>creased by £</w:t>
            </w:r>
            <w:r w:rsidR="006E06AC" w:rsidRPr="00D92C2D">
              <w:rPr>
                <w:rFonts w:asciiTheme="minorHAnsi" w:hAnsiTheme="minorHAnsi"/>
                <w:szCs w:val="18"/>
              </w:rPr>
              <w:t>36.679</w:t>
            </w:r>
            <w:r w:rsidR="002607F4" w:rsidRPr="00D92C2D">
              <w:rPr>
                <w:rFonts w:asciiTheme="minorHAnsi" w:hAnsiTheme="minorHAnsi"/>
                <w:szCs w:val="18"/>
              </w:rPr>
              <w:t>m</w:t>
            </w:r>
            <w:r w:rsidRPr="00D92C2D">
              <w:rPr>
                <w:rFonts w:asciiTheme="minorHAnsi" w:hAnsiTheme="minorHAnsi"/>
                <w:szCs w:val="18"/>
              </w:rPr>
              <w:t xml:space="preserve"> as a result of estimates being</w:t>
            </w:r>
            <w:r w:rsidR="00A93328" w:rsidRPr="00D92C2D">
              <w:rPr>
                <w:rFonts w:asciiTheme="minorHAnsi" w:hAnsiTheme="minorHAnsi"/>
                <w:szCs w:val="18"/>
              </w:rPr>
              <w:t xml:space="preserve"> </w:t>
            </w:r>
            <w:r w:rsidR="006E06AC" w:rsidRPr="00D92C2D">
              <w:rPr>
                <w:rFonts w:asciiTheme="minorHAnsi" w:hAnsiTheme="minorHAnsi"/>
                <w:szCs w:val="18"/>
              </w:rPr>
              <w:t>updated</w:t>
            </w:r>
            <w:r w:rsidRPr="00D92C2D">
              <w:rPr>
                <w:rFonts w:asciiTheme="minorHAnsi" w:hAnsiTheme="minorHAnsi"/>
                <w:szCs w:val="18"/>
              </w:rPr>
              <w:t xml:space="preserve">. If laws and regulations surrounding the management of the Police Pension </w:t>
            </w:r>
            <w:r w:rsidR="00155219">
              <w:rPr>
                <w:rFonts w:asciiTheme="minorHAnsi" w:hAnsiTheme="minorHAnsi"/>
                <w:szCs w:val="18"/>
              </w:rPr>
              <w:t>S</w:t>
            </w:r>
            <w:r w:rsidRPr="00D92C2D">
              <w:rPr>
                <w:rFonts w:asciiTheme="minorHAnsi" w:hAnsiTheme="minorHAnsi"/>
                <w:szCs w:val="18"/>
              </w:rPr>
              <w:t xml:space="preserve">cheme were to change, the maximum additional liability the </w:t>
            </w:r>
            <w:r w:rsidR="004D766A" w:rsidRPr="00D92C2D">
              <w:rPr>
                <w:rFonts w:asciiTheme="minorHAnsi" w:hAnsiTheme="minorHAnsi"/>
                <w:szCs w:val="18"/>
              </w:rPr>
              <w:t xml:space="preserve">OCC </w:t>
            </w:r>
            <w:r w:rsidRPr="00D92C2D">
              <w:rPr>
                <w:rFonts w:asciiTheme="minorHAnsi" w:hAnsiTheme="minorHAnsi"/>
                <w:szCs w:val="18"/>
              </w:rPr>
              <w:t>could face would be £</w:t>
            </w:r>
            <w:r w:rsidR="00A93328" w:rsidRPr="00D92C2D">
              <w:rPr>
                <w:rFonts w:asciiTheme="minorHAnsi" w:hAnsiTheme="minorHAnsi"/>
                <w:szCs w:val="18"/>
              </w:rPr>
              <w:t>1,0</w:t>
            </w:r>
            <w:r w:rsidR="006E06AC" w:rsidRPr="00D92C2D">
              <w:rPr>
                <w:rFonts w:asciiTheme="minorHAnsi" w:hAnsiTheme="minorHAnsi"/>
                <w:szCs w:val="18"/>
              </w:rPr>
              <w:t>55</w:t>
            </w:r>
            <w:r w:rsidR="00A93328" w:rsidRPr="00D92C2D">
              <w:rPr>
                <w:rFonts w:asciiTheme="minorHAnsi" w:hAnsiTheme="minorHAnsi"/>
                <w:szCs w:val="18"/>
              </w:rPr>
              <w:t>.</w:t>
            </w:r>
            <w:r w:rsidR="006E06AC" w:rsidRPr="00D92C2D">
              <w:rPr>
                <w:rFonts w:asciiTheme="minorHAnsi" w:hAnsiTheme="minorHAnsi"/>
                <w:szCs w:val="18"/>
              </w:rPr>
              <w:t>02</w:t>
            </w:r>
            <w:r w:rsidR="002607F4" w:rsidRPr="00D92C2D">
              <w:rPr>
                <w:rFonts w:asciiTheme="minorHAnsi" w:hAnsiTheme="minorHAnsi"/>
                <w:szCs w:val="18"/>
              </w:rPr>
              <w:t>m</w:t>
            </w:r>
            <w:r w:rsidRPr="00D92C2D">
              <w:rPr>
                <w:rFonts w:asciiTheme="minorHAnsi" w:hAnsiTheme="minorHAnsi"/>
                <w:szCs w:val="18"/>
              </w:rPr>
              <w:t>, being the total pension liability</w:t>
            </w:r>
            <w:r w:rsidR="006E06AC" w:rsidRPr="00D92C2D">
              <w:rPr>
                <w:rFonts w:asciiTheme="minorHAnsi" w:hAnsiTheme="minorHAnsi"/>
                <w:szCs w:val="18"/>
              </w:rPr>
              <w:t xml:space="preserve"> recorded on the balance sheet</w:t>
            </w:r>
            <w:r w:rsidRPr="00D92C2D">
              <w:rPr>
                <w:rFonts w:asciiTheme="minorHAnsi" w:hAnsiTheme="minorHAnsi"/>
                <w:szCs w:val="18"/>
              </w:rPr>
              <w:t>.</w:t>
            </w:r>
          </w:p>
        </w:tc>
      </w:tr>
      <w:tr w:rsidR="002522D4" w:rsidRPr="003C2227" w14:paraId="63E3555D" w14:textId="77777777" w:rsidTr="00C60BA1">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339"/>
        </w:trPr>
        <w:tc>
          <w:tcPr>
            <w:tcW w:w="1450" w:type="dxa"/>
            <w:vMerge/>
            <w:vAlign w:val="center"/>
          </w:tcPr>
          <w:p w14:paraId="195218D5" w14:textId="77777777" w:rsidR="002522D4" w:rsidRPr="003C2227" w:rsidRDefault="002522D4" w:rsidP="00B97059">
            <w:pPr>
              <w:rPr>
                <w:rFonts w:asciiTheme="minorHAnsi" w:hAnsiTheme="minorHAnsi"/>
                <w:sz w:val="18"/>
                <w:szCs w:val="18"/>
              </w:rPr>
            </w:pPr>
          </w:p>
        </w:tc>
        <w:tc>
          <w:tcPr>
            <w:tcW w:w="3969" w:type="dxa"/>
            <w:vMerge/>
            <w:vAlign w:val="center"/>
          </w:tcPr>
          <w:p w14:paraId="7D8F7400" w14:textId="77777777" w:rsidR="002522D4" w:rsidRPr="003C2227" w:rsidRDefault="002522D4" w:rsidP="00B97059">
            <w:pPr>
              <w:rPr>
                <w:rFonts w:asciiTheme="minorHAnsi" w:hAnsiTheme="minorHAnsi"/>
                <w:sz w:val="18"/>
                <w:szCs w:val="18"/>
              </w:rPr>
            </w:pPr>
          </w:p>
        </w:tc>
        <w:tc>
          <w:tcPr>
            <w:tcW w:w="3793" w:type="dxa"/>
            <w:vMerge/>
            <w:vAlign w:val="center"/>
          </w:tcPr>
          <w:p w14:paraId="03620EED" w14:textId="77777777" w:rsidR="002522D4" w:rsidRPr="003C2227" w:rsidRDefault="002522D4" w:rsidP="00B97059">
            <w:pPr>
              <w:rPr>
                <w:rFonts w:asciiTheme="minorHAnsi" w:hAnsiTheme="minorHAnsi" w:cs="Arial"/>
                <w:sz w:val="18"/>
                <w:szCs w:val="18"/>
              </w:rPr>
            </w:pPr>
          </w:p>
        </w:tc>
      </w:tr>
    </w:tbl>
    <w:p w14:paraId="234EC4A0" w14:textId="77777777" w:rsidR="002522D4" w:rsidRPr="003C2227" w:rsidRDefault="002522D4" w:rsidP="006A5AA6">
      <w:r w:rsidRPr="003C2227">
        <w:t xml:space="preserve"> </w:t>
      </w:r>
    </w:p>
    <w:p w14:paraId="1FDA00EC" w14:textId="7B2BD2D9" w:rsidR="005433C7" w:rsidRDefault="005433C7" w:rsidP="006A5AA6"/>
    <w:p w14:paraId="5B44CBA9" w14:textId="77777777" w:rsidR="003C1215" w:rsidRDefault="003C1215" w:rsidP="006A5AA6"/>
    <w:p w14:paraId="2426C1FE" w14:textId="6E00DA0E" w:rsidR="00F013C6" w:rsidRDefault="00F013C6" w:rsidP="006A5AA6"/>
    <w:p w14:paraId="31BA3DA7" w14:textId="77777777" w:rsidR="00F013C6" w:rsidRPr="003C2227" w:rsidRDefault="00F013C6" w:rsidP="006A5AA6"/>
    <w:p w14:paraId="762470ED" w14:textId="77777777" w:rsidR="00354E03" w:rsidRDefault="00354E03">
      <w:pPr>
        <w:spacing w:line="240" w:lineRule="auto"/>
        <w:jc w:val="left"/>
        <w:rPr>
          <w:rFonts w:asciiTheme="minorHAnsi" w:eastAsia="Times New Roman" w:hAnsiTheme="minorHAnsi" w:cs="Times New Roman"/>
          <w:b/>
          <w:bCs/>
          <w:color w:val="25316C"/>
          <w:sz w:val="24"/>
          <w:u w:val="single"/>
        </w:rPr>
      </w:pPr>
      <w:bookmarkStart w:id="86" w:name="_Toc517077277"/>
      <w:bookmarkStart w:id="87" w:name="_Toc9272503"/>
      <w:bookmarkStart w:id="88" w:name="_Toc9592049"/>
      <w:r>
        <w:br w:type="page"/>
      </w:r>
    </w:p>
    <w:p w14:paraId="09622C90" w14:textId="4C94739F" w:rsidR="002522D4" w:rsidRPr="00A14CAC" w:rsidRDefault="00E350DD" w:rsidP="00EB49F7">
      <w:pPr>
        <w:pStyle w:val="NoteHeader"/>
      </w:pPr>
      <w:bookmarkStart w:id="89" w:name="_Toc191457317"/>
      <w:r>
        <w:lastRenderedPageBreak/>
        <w:t>Note 3 - Events a</w:t>
      </w:r>
      <w:r w:rsidR="002522D4" w:rsidRPr="00A14CAC">
        <w:t>fter the Balance Sheet Date</w:t>
      </w:r>
      <w:bookmarkEnd w:id="86"/>
      <w:bookmarkEnd w:id="87"/>
      <w:bookmarkEnd w:id="88"/>
      <w:bookmarkEnd w:id="89"/>
      <w:r w:rsidR="002522D4" w:rsidRPr="00A14CAC">
        <w:t xml:space="preserve"> </w:t>
      </w:r>
    </w:p>
    <w:p w14:paraId="16544717" w14:textId="77777777" w:rsidR="00F91C2F" w:rsidRPr="00A14CAC" w:rsidRDefault="00F91C2F" w:rsidP="006A5AA6"/>
    <w:p w14:paraId="0C22F606" w14:textId="77777777" w:rsidR="00384D8C" w:rsidRDefault="00384D8C" w:rsidP="00384D8C">
      <w:bookmarkStart w:id="90" w:name="_Toc517077278"/>
      <w:bookmarkStart w:id="91" w:name="_Toc9272504"/>
      <w:r w:rsidRPr="00D65A28">
        <w:t>The statement of accounts was authorised for issue by the Chief Finance Officer in</w:t>
      </w:r>
      <w:r>
        <w:t xml:space="preserve"> May </w:t>
      </w:r>
      <w:r w:rsidRPr="00D65A28">
        <w:t>202</w:t>
      </w:r>
      <w:r>
        <w:t>4</w:t>
      </w:r>
      <w:r w:rsidRPr="00D65A28">
        <w:t xml:space="preserve"> and </w:t>
      </w:r>
      <w:r>
        <w:t>one</w:t>
      </w:r>
      <w:r w:rsidRPr="00D65A28">
        <w:t xml:space="preserve"> post</w:t>
      </w:r>
      <w:r>
        <w:t>-</w:t>
      </w:r>
      <w:r w:rsidRPr="00D65A28">
        <w:t>balance sheet event had been reported at this date</w:t>
      </w:r>
      <w:r>
        <w:t>.</w:t>
      </w:r>
    </w:p>
    <w:p w14:paraId="3444E8D2" w14:textId="77777777" w:rsidR="00384D8C" w:rsidRPr="00F410FA" w:rsidRDefault="00384D8C" w:rsidP="00384D8C">
      <w:pPr>
        <w:rPr>
          <w:sz w:val="14"/>
          <w:szCs w:val="14"/>
        </w:rPr>
      </w:pPr>
    </w:p>
    <w:p w14:paraId="52A4934F" w14:textId="77777777" w:rsidR="00384D8C" w:rsidRDefault="00384D8C" w:rsidP="00384D8C">
      <w:r>
        <w:t>On the 2</w:t>
      </w:r>
      <w:r w:rsidRPr="001751AD">
        <w:rPr>
          <w:vertAlign w:val="superscript"/>
        </w:rPr>
        <w:t>nd</w:t>
      </w:r>
      <w:r>
        <w:t xml:space="preserve"> May 2024, the elections for </w:t>
      </w:r>
      <w:r w:rsidRPr="001751AD">
        <w:t>Police, Fire and Crime Commissioner (PFCC)</w:t>
      </w:r>
      <w:r>
        <w:t xml:space="preserve"> for Northamptonshire took place, with </w:t>
      </w:r>
      <w:r w:rsidRPr="008E072A">
        <w:t>Danielle Stone</w:t>
      </w:r>
      <w:r>
        <w:t xml:space="preserve"> elected as PFCC.  The transition between Commissioners has taken place in May 2024.</w:t>
      </w:r>
    </w:p>
    <w:p w14:paraId="344AF0D9" w14:textId="59512A70" w:rsidR="005433C7" w:rsidRPr="00653D20" w:rsidRDefault="005433C7">
      <w:pPr>
        <w:spacing w:line="240" w:lineRule="auto"/>
        <w:jc w:val="left"/>
        <w:rPr>
          <w:rFonts w:asciiTheme="minorHAnsi" w:eastAsia="Times New Roman" w:hAnsiTheme="minorHAnsi" w:cs="Times New Roman"/>
          <w:b/>
          <w:bCs/>
          <w:color w:val="000099"/>
          <w:sz w:val="24"/>
          <w:highlight w:val="yellow"/>
          <w:u w:val="single"/>
          <w:lang w:val="pt-BR"/>
        </w:rPr>
      </w:pPr>
    </w:p>
    <w:p w14:paraId="3A068EE6" w14:textId="77777777" w:rsidR="002522D4" w:rsidRPr="009B1776" w:rsidRDefault="002522D4" w:rsidP="00EB49F7">
      <w:pPr>
        <w:pStyle w:val="NoteHeader"/>
        <w:rPr>
          <w:rFonts w:ascii="Verdana" w:hAnsi="Verdana"/>
          <w:sz w:val="20"/>
        </w:rPr>
      </w:pPr>
      <w:bookmarkStart w:id="92" w:name="_Toc9592050"/>
      <w:bookmarkStart w:id="93" w:name="_Toc191457318"/>
      <w:r w:rsidRPr="009B1776">
        <w:rPr>
          <w:lang w:val="pt-BR"/>
        </w:rPr>
        <w:t>Note 4 - Officers’ Remuneration</w:t>
      </w:r>
      <w:bookmarkEnd w:id="90"/>
      <w:bookmarkEnd w:id="91"/>
      <w:bookmarkEnd w:id="92"/>
      <w:bookmarkEnd w:id="93"/>
    </w:p>
    <w:p w14:paraId="28A4CDC5" w14:textId="77777777" w:rsidR="002522D4" w:rsidRPr="009B1776" w:rsidRDefault="002522D4" w:rsidP="006A5AA6"/>
    <w:p w14:paraId="5576CB97" w14:textId="77777777" w:rsidR="002522D4" w:rsidRPr="009B1776" w:rsidRDefault="002522D4" w:rsidP="00EB49F7">
      <w:pPr>
        <w:pStyle w:val="VAHeadingLevel2"/>
        <w:rPr>
          <w:rFonts w:eastAsia="Calibri"/>
        </w:rPr>
      </w:pPr>
      <w:r w:rsidRPr="009B1776">
        <w:rPr>
          <w:rFonts w:eastAsia="Calibri"/>
        </w:rPr>
        <w:t>Employee Remuneration</w:t>
      </w:r>
    </w:p>
    <w:p w14:paraId="496D5591" w14:textId="7E7745FB" w:rsidR="002522D4" w:rsidRPr="009B1776" w:rsidRDefault="002522D4" w:rsidP="006A5AA6">
      <w:r w:rsidRPr="009B1776">
        <w:t>In accordance with the Code of Practice, the number of employees whose remuneration was paid in year, excluding pension contributions, exceeded £50,000 or more in the year, were as follows:</w:t>
      </w:r>
    </w:p>
    <w:p w14:paraId="0278833B" w14:textId="41974F03" w:rsidR="00A14CAC" w:rsidRDefault="00152532" w:rsidP="002522D4">
      <w:r w:rsidRPr="00152532">
        <w:rPr>
          <w:noProof/>
        </w:rPr>
        <w:drawing>
          <wp:inline distT="0" distB="0" distL="0" distR="0" wp14:anchorId="087D1593" wp14:editId="0E6486E2">
            <wp:extent cx="4895850" cy="4733925"/>
            <wp:effectExtent l="0" t="0" r="0" b="9525"/>
            <wp:docPr id="1692379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4733925"/>
                    </a:xfrm>
                    <a:prstGeom prst="rect">
                      <a:avLst/>
                    </a:prstGeom>
                    <a:noFill/>
                    <a:ln>
                      <a:noFill/>
                    </a:ln>
                  </pic:spPr>
                </pic:pic>
              </a:graphicData>
            </a:graphic>
          </wp:inline>
        </w:drawing>
      </w:r>
    </w:p>
    <w:p w14:paraId="4AFCF782" w14:textId="77777777" w:rsidR="002522D4" w:rsidRPr="009B1776" w:rsidRDefault="002522D4" w:rsidP="00AE32D7">
      <w:pPr>
        <w:spacing w:line="240" w:lineRule="auto"/>
        <w:jc w:val="left"/>
        <w:rPr>
          <w:rFonts w:eastAsia="Calibri" w:cs="Times New Roman"/>
          <w:bCs/>
          <w:color w:val="800000"/>
          <w:sz w:val="24"/>
        </w:rPr>
      </w:pPr>
    </w:p>
    <w:p w14:paraId="65B01349" w14:textId="77777777" w:rsidR="009B1776" w:rsidRPr="009B1776" w:rsidRDefault="002522D4" w:rsidP="00161E23">
      <w:pPr>
        <w:sectPr w:rsidR="009B1776" w:rsidRPr="009B1776" w:rsidSect="00161E23">
          <w:type w:val="continuous"/>
          <w:pgSz w:w="11900" w:h="16840"/>
          <w:pgMar w:top="1418" w:right="985" w:bottom="1418" w:left="1276" w:header="708" w:footer="397" w:gutter="0"/>
          <w:cols w:space="708"/>
          <w:docGrid w:linePitch="360"/>
        </w:sectPr>
      </w:pPr>
      <w:r w:rsidRPr="009B1776">
        <w:t>The disclosure above includes senior officers and requires the outlining of total taxable pay, including personal Additional Voluntary Contributions, whereas the Senior Officers table overleaf outlines the entire remunerations by post.</w:t>
      </w:r>
      <w:r w:rsidR="00B97059" w:rsidRPr="009B1776">
        <w:t xml:space="preserve"> </w:t>
      </w:r>
      <w:r w:rsidRPr="009B1776">
        <w:t xml:space="preserve"> Therefore, the two tables are not completely comparable which will result in differing bandings if the two are compared.</w:t>
      </w:r>
    </w:p>
    <w:p w14:paraId="2EE0C84A" w14:textId="77777777" w:rsidR="009B1776" w:rsidRDefault="009B1776" w:rsidP="00161E23"/>
    <w:p w14:paraId="0034A127" w14:textId="5BA47A23" w:rsidR="0057725B" w:rsidRDefault="009B1776" w:rsidP="00B554C1">
      <w:pPr>
        <w:spacing w:line="240" w:lineRule="auto"/>
        <w:jc w:val="left"/>
      </w:pPr>
      <w:r>
        <w:br w:type="page"/>
      </w:r>
    </w:p>
    <w:p w14:paraId="7AC346A0" w14:textId="6E63D091" w:rsidR="00AD7882" w:rsidRDefault="002522D4" w:rsidP="00161E23">
      <w:r w:rsidRPr="00460A5D">
        <w:lastRenderedPageBreak/>
        <w:t>Senior Officers of the organisation requiring disclosure by post or name were:</w:t>
      </w:r>
    </w:p>
    <w:tbl>
      <w:tblPr>
        <w:tblW w:w="10109" w:type="dxa"/>
        <w:tblLook w:val="04A0" w:firstRow="1" w:lastRow="0" w:firstColumn="1" w:lastColumn="0" w:noHBand="0" w:noVBand="1"/>
      </w:tblPr>
      <w:tblGrid>
        <w:gridCol w:w="2552"/>
        <w:gridCol w:w="989"/>
        <w:gridCol w:w="995"/>
        <w:gridCol w:w="851"/>
        <w:gridCol w:w="973"/>
        <w:gridCol w:w="728"/>
        <w:gridCol w:w="1134"/>
        <w:gridCol w:w="1063"/>
        <w:gridCol w:w="824"/>
      </w:tblGrid>
      <w:tr w:rsidR="000A75C9" w:rsidRPr="00460A5D" w14:paraId="64A8DF13" w14:textId="77777777" w:rsidTr="001B7116">
        <w:trPr>
          <w:trHeight w:val="423"/>
        </w:trPr>
        <w:tc>
          <w:tcPr>
            <w:tcW w:w="2552" w:type="dxa"/>
            <w:tcBorders>
              <w:top w:val="nil"/>
              <w:left w:val="nil"/>
              <w:bottom w:val="nil"/>
              <w:right w:val="nil"/>
            </w:tcBorders>
            <w:shd w:val="clear" w:color="000000" w:fill="000099"/>
            <w:vAlign w:val="bottom"/>
            <w:hideMark/>
          </w:tcPr>
          <w:p w14:paraId="42E7EB61" w14:textId="73328A14" w:rsidR="00460A5D" w:rsidRPr="00460A5D" w:rsidRDefault="00460A5D" w:rsidP="00460A5D">
            <w:pPr>
              <w:spacing w:line="240" w:lineRule="auto"/>
              <w:jc w:val="lef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2023/24</w:t>
            </w:r>
            <w:r w:rsidRPr="00460A5D">
              <w:rPr>
                <w:rFonts w:asciiTheme="minorHAnsi" w:eastAsia="Times New Roman" w:hAnsiTheme="minorHAnsi" w:cstheme="minorHAnsi"/>
                <w:b/>
                <w:bCs/>
                <w:color w:val="FFFFFF"/>
                <w:sz w:val="16"/>
                <w:szCs w:val="16"/>
                <w:lang w:eastAsia="en-GB"/>
              </w:rPr>
              <w:br/>
              <w:t>Post Holder Information</w:t>
            </w:r>
          </w:p>
        </w:tc>
        <w:tc>
          <w:tcPr>
            <w:tcW w:w="989" w:type="dxa"/>
            <w:tcBorders>
              <w:top w:val="nil"/>
              <w:left w:val="nil"/>
              <w:bottom w:val="nil"/>
              <w:right w:val="nil"/>
            </w:tcBorders>
            <w:shd w:val="clear" w:color="000000" w:fill="000099"/>
            <w:vAlign w:val="bottom"/>
            <w:hideMark/>
          </w:tcPr>
          <w:p w14:paraId="563DC692" w14:textId="77777777" w:rsidR="00460A5D" w:rsidRPr="00460A5D" w:rsidRDefault="00460A5D" w:rsidP="00460A5D">
            <w:pPr>
              <w:spacing w:line="240" w:lineRule="auto"/>
              <w:jc w:val="center"/>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Start Date</w:t>
            </w:r>
          </w:p>
        </w:tc>
        <w:tc>
          <w:tcPr>
            <w:tcW w:w="995" w:type="dxa"/>
            <w:tcBorders>
              <w:top w:val="nil"/>
              <w:left w:val="nil"/>
              <w:bottom w:val="nil"/>
              <w:right w:val="nil"/>
            </w:tcBorders>
            <w:shd w:val="clear" w:color="000000" w:fill="000099"/>
            <w:vAlign w:val="bottom"/>
            <w:hideMark/>
          </w:tcPr>
          <w:p w14:paraId="1AF7C32E" w14:textId="657610C6" w:rsidR="00460A5D" w:rsidRPr="00460A5D" w:rsidRDefault="00460A5D" w:rsidP="00460A5D">
            <w:pPr>
              <w:spacing w:line="240" w:lineRule="auto"/>
              <w:jc w:val="center"/>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Leaving </w:t>
            </w:r>
            <w:r w:rsidR="00807072">
              <w:rPr>
                <w:rFonts w:asciiTheme="minorHAnsi" w:eastAsia="Times New Roman" w:hAnsiTheme="minorHAnsi" w:cstheme="minorHAnsi"/>
                <w:b/>
                <w:bCs/>
                <w:color w:val="FFFFFF"/>
                <w:sz w:val="16"/>
                <w:szCs w:val="16"/>
                <w:lang w:eastAsia="en-GB"/>
              </w:rPr>
              <w:t>D</w:t>
            </w:r>
            <w:r w:rsidRPr="00460A5D">
              <w:rPr>
                <w:rFonts w:asciiTheme="minorHAnsi" w:eastAsia="Times New Roman" w:hAnsiTheme="minorHAnsi" w:cstheme="minorHAnsi"/>
                <w:b/>
                <w:bCs/>
                <w:color w:val="FFFFFF"/>
                <w:sz w:val="16"/>
                <w:szCs w:val="16"/>
                <w:lang w:eastAsia="en-GB"/>
              </w:rPr>
              <w:t>ate</w:t>
            </w:r>
          </w:p>
        </w:tc>
        <w:tc>
          <w:tcPr>
            <w:tcW w:w="851" w:type="dxa"/>
            <w:tcBorders>
              <w:top w:val="nil"/>
              <w:left w:val="nil"/>
              <w:bottom w:val="nil"/>
              <w:right w:val="nil"/>
            </w:tcBorders>
            <w:shd w:val="clear" w:color="000000" w:fill="000099"/>
            <w:vAlign w:val="bottom"/>
            <w:hideMark/>
          </w:tcPr>
          <w:p w14:paraId="2E078405"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Salary </w:t>
            </w:r>
          </w:p>
        </w:tc>
        <w:tc>
          <w:tcPr>
            <w:tcW w:w="973" w:type="dxa"/>
            <w:tcBorders>
              <w:top w:val="nil"/>
              <w:left w:val="nil"/>
              <w:bottom w:val="nil"/>
              <w:right w:val="nil"/>
            </w:tcBorders>
            <w:shd w:val="clear" w:color="000000" w:fill="000099"/>
            <w:vAlign w:val="bottom"/>
            <w:hideMark/>
          </w:tcPr>
          <w:p w14:paraId="71607227"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Expense Allowances (1) </w:t>
            </w:r>
          </w:p>
        </w:tc>
        <w:tc>
          <w:tcPr>
            <w:tcW w:w="728" w:type="dxa"/>
            <w:tcBorders>
              <w:top w:val="nil"/>
              <w:left w:val="nil"/>
              <w:bottom w:val="nil"/>
              <w:right w:val="nil"/>
            </w:tcBorders>
            <w:shd w:val="clear" w:color="000000" w:fill="000099"/>
            <w:vAlign w:val="bottom"/>
            <w:hideMark/>
          </w:tcPr>
          <w:p w14:paraId="1C08472B"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Other (2) </w:t>
            </w:r>
          </w:p>
        </w:tc>
        <w:tc>
          <w:tcPr>
            <w:tcW w:w="1134" w:type="dxa"/>
            <w:tcBorders>
              <w:top w:val="nil"/>
              <w:left w:val="nil"/>
              <w:bottom w:val="nil"/>
              <w:right w:val="nil"/>
            </w:tcBorders>
            <w:shd w:val="clear" w:color="000000" w:fill="000099"/>
            <w:vAlign w:val="bottom"/>
            <w:hideMark/>
          </w:tcPr>
          <w:p w14:paraId="049EFFFC"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Total Excluding Pension</w:t>
            </w:r>
          </w:p>
        </w:tc>
        <w:tc>
          <w:tcPr>
            <w:tcW w:w="1063" w:type="dxa"/>
            <w:tcBorders>
              <w:top w:val="nil"/>
              <w:left w:val="nil"/>
              <w:bottom w:val="nil"/>
              <w:right w:val="nil"/>
            </w:tcBorders>
            <w:shd w:val="clear" w:color="000000" w:fill="000099"/>
            <w:vAlign w:val="bottom"/>
            <w:hideMark/>
          </w:tcPr>
          <w:p w14:paraId="62CF2556"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Employers Contribution </w:t>
            </w:r>
          </w:p>
        </w:tc>
        <w:tc>
          <w:tcPr>
            <w:tcW w:w="824" w:type="dxa"/>
            <w:tcBorders>
              <w:top w:val="nil"/>
              <w:left w:val="nil"/>
              <w:bottom w:val="nil"/>
              <w:right w:val="nil"/>
            </w:tcBorders>
            <w:shd w:val="clear" w:color="000000" w:fill="000099"/>
            <w:vAlign w:val="bottom"/>
            <w:hideMark/>
          </w:tcPr>
          <w:p w14:paraId="3FD83653"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Total Including Pension</w:t>
            </w:r>
          </w:p>
        </w:tc>
      </w:tr>
      <w:tr w:rsidR="000A75C9" w:rsidRPr="00460A5D" w14:paraId="753FD76F" w14:textId="77777777" w:rsidTr="001B7116">
        <w:trPr>
          <w:trHeight w:val="74"/>
        </w:trPr>
        <w:tc>
          <w:tcPr>
            <w:tcW w:w="2552" w:type="dxa"/>
            <w:tcBorders>
              <w:top w:val="nil"/>
              <w:left w:val="nil"/>
              <w:bottom w:val="nil"/>
              <w:right w:val="nil"/>
            </w:tcBorders>
            <w:shd w:val="clear" w:color="000000" w:fill="000099"/>
            <w:vAlign w:val="bottom"/>
            <w:hideMark/>
          </w:tcPr>
          <w:p w14:paraId="3D82BC56" w14:textId="74E80A3D" w:rsidR="00460A5D" w:rsidRPr="00460A5D" w:rsidRDefault="00460A5D" w:rsidP="00460A5D">
            <w:pPr>
              <w:spacing w:line="240" w:lineRule="auto"/>
              <w:jc w:val="left"/>
              <w:rPr>
                <w:rFonts w:asciiTheme="minorHAnsi" w:eastAsia="Times New Roman" w:hAnsiTheme="minorHAnsi" w:cstheme="minorHAnsi"/>
                <w:b/>
                <w:bCs/>
                <w:color w:val="FFFFFF"/>
                <w:sz w:val="16"/>
                <w:szCs w:val="16"/>
                <w:lang w:eastAsia="en-GB"/>
              </w:rPr>
            </w:pPr>
          </w:p>
        </w:tc>
        <w:tc>
          <w:tcPr>
            <w:tcW w:w="989" w:type="dxa"/>
            <w:tcBorders>
              <w:top w:val="nil"/>
              <w:left w:val="nil"/>
              <w:bottom w:val="nil"/>
              <w:right w:val="nil"/>
            </w:tcBorders>
            <w:shd w:val="clear" w:color="000000" w:fill="000099"/>
            <w:vAlign w:val="bottom"/>
            <w:hideMark/>
          </w:tcPr>
          <w:p w14:paraId="5B800050" w14:textId="77777777" w:rsidR="00460A5D" w:rsidRPr="00460A5D" w:rsidRDefault="00460A5D" w:rsidP="00460A5D">
            <w:pPr>
              <w:spacing w:line="240" w:lineRule="auto"/>
              <w:jc w:val="center"/>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w:t>
            </w:r>
          </w:p>
        </w:tc>
        <w:tc>
          <w:tcPr>
            <w:tcW w:w="995" w:type="dxa"/>
            <w:tcBorders>
              <w:top w:val="nil"/>
              <w:left w:val="nil"/>
              <w:bottom w:val="nil"/>
              <w:right w:val="nil"/>
            </w:tcBorders>
            <w:shd w:val="clear" w:color="000000" w:fill="000099"/>
            <w:vAlign w:val="bottom"/>
            <w:hideMark/>
          </w:tcPr>
          <w:p w14:paraId="5898EB6E" w14:textId="77777777" w:rsidR="00460A5D" w:rsidRPr="00460A5D" w:rsidRDefault="00460A5D" w:rsidP="00460A5D">
            <w:pPr>
              <w:spacing w:line="240" w:lineRule="auto"/>
              <w:jc w:val="center"/>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w:t>
            </w:r>
          </w:p>
        </w:tc>
        <w:tc>
          <w:tcPr>
            <w:tcW w:w="851" w:type="dxa"/>
            <w:tcBorders>
              <w:top w:val="nil"/>
              <w:left w:val="nil"/>
              <w:bottom w:val="nil"/>
              <w:right w:val="nil"/>
            </w:tcBorders>
            <w:shd w:val="clear" w:color="000000" w:fill="000099"/>
            <w:vAlign w:val="bottom"/>
            <w:hideMark/>
          </w:tcPr>
          <w:p w14:paraId="7D8CCA27"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 </w:t>
            </w:r>
          </w:p>
        </w:tc>
        <w:tc>
          <w:tcPr>
            <w:tcW w:w="973" w:type="dxa"/>
            <w:tcBorders>
              <w:top w:val="nil"/>
              <w:left w:val="nil"/>
              <w:bottom w:val="nil"/>
              <w:right w:val="nil"/>
            </w:tcBorders>
            <w:shd w:val="clear" w:color="000000" w:fill="000099"/>
            <w:vAlign w:val="bottom"/>
            <w:hideMark/>
          </w:tcPr>
          <w:p w14:paraId="1D34294A"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 </w:t>
            </w:r>
          </w:p>
        </w:tc>
        <w:tc>
          <w:tcPr>
            <w:tcW w:w="728" w:type="dxa"/>
            <w:tcBorders>
              <w:top w:val="nil"/>
              <w:left w:val="nil"/>
              <w:bottom w:val="nil"/>
              <w:right w:val="nil"/>
            </w:tcBorders>
            <w:shd w:val="clear" w:color="000000" w:fill="000099"/>
            <w:vAlign w:val="bottom"/>
            <w:hideMark/>
          </w:tcPr>
          <w:p w14:paraId="7520BDBE"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 </w:t>
            </w:r>
          </w:p>
        </w:tc>
        <w:tc>
          <w:tcPr>
            <w:tcW w:w="1134" w:type="dxa"/>
            <w:tcBorders>
              <w:top w:val="nil"/>
              <w:left w:val="nil"/>
              <w:bottom w:val="nil"/>
              <w:right w:val="nil"/>
            </w:tcBorders>
            <w:shd w:val="clear" w:color="000000" w:fill="000099"/>
            <w:vAlign w:val="bottom"/>
            <w:hideMark/>
          </w:tcPr>
          <w:p w14:paraId="041C1544"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w:t>
            </w:r>
          </w:p>
        </w:tc>
        <w:tc>
          <w:tcPr>
            <w:tcW w:w="1063" w:type="dxa"/>
            <w:tcBorders>
              <w:top w:val="nil"/>
              <w:left w:val="nil"/>
              <w:bottom w:val="nil"/>
              <w:right w:val="nil"/>
            </w:tcBorders>
            <w:shd w:val="clear" w:color="000000" w:fill="000099"/>
            <w:vAlign w:val="bottom"/>
            <w:hideMark/>
          </w:tcPr>
          <w:p w14:paraId="44689344"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 xml:space="preserve"> £ </w:t>
            </w:r>
          </w:p>
        </w:tc>
        <w:tc>
          <w:tcPr>
            <w:tcW w:w="824" w:type="dxa"/>
            <w:tcBorders>
              <w:top w:val="nil"/>
              <w:left w:val="nil"/>
              <w:bottom w:val="nil"/>
              <w:right w:val="nil"/>
            </w:tcBorders>
            <w:shd w:val="clear" w:color="000000" w:fill="000099"/>
            <w:vAlign w:val="bottom"/>
            <w:hideMark/>
          </w:tcPr>
          <w:p w14:paraId="7AE66F11" w14:textId="77777777" w:rsidR="00460A5D" w:rsidRPr="00460A5D" w:rsidRDefault="00460A5D" w:rsidP="001B7116">
            <w:pPr>
              <w:spacing w:line="240" w:lineRule="auto"/>
              <w:jc w:val="right"/>
              <w:rPr>
                <w:rFonts w:asciiTheme="minorHAnsi" w:eastAsia="Times New Roman" w:hAnsiTheme="minorHAnsi" w:cstheme="minorHAnsi"/>
                <w:b/>
                <w:bCs/>
                <w:color w:val="FFFFFF"/>
                <w:sz w:val="16"/>
                <w:szCs w:val="16"/>
                <w:lang w:eastAsia="en-GB"/>
              </w:rPr>
            </w:pPr>
            <w:r w:rsidRPr="00460A5D">
              <w:rPr>
                <w:rFonts w:asciiTheme="minorHAnsi" w:eastAsia="Times New Roman" w:hAnsiTheme="minorHAnsi" w:cstheme="minorHAnsi"/>
                <w:b/>
                <w:bCs/>
                <w:color w:val="FFFFFF"/>
                <w:sz w:val="16"/>
                <w:szCs w:val="16"/>
                <w:lang w:eastAsia="en-GB"/>
              </w:rPr>
              <w:t>£</w:t>
            </w:r>
          </w:p>
        </w:tc>
      </w:tr>
      <w:tr w:rsidR="000A75C9" w:rsidRPr="00460A5D" w14:paraId="1BAE82FC" w14:textId="77777777" w:rsidTr="001B7116">
        <w:trPr>
          <w:trHeight w:val="354"/>
        </w:trPr>
        <w:tc>
          <w:tcPr>
            <w:tcW w:w="2552" w:type="dxa"/>
            <w:tcBorders>
              <w:top w:val="nil"/>
              <w:left w:val="nil"/>
              <w:bottom w:val="nil"/>
              <w:right w:val="nil"/>
            </w:tcBorders>
            <w:shd w:val="clear" w:color="000000" w:fill="FFFFFF"/>
            <w:noWrap/>
            <w:vAlign w:val="bottom"/>
            <w:hideMark/>
          </w:tcPr>
          <w:p w14:paraId="2D38ABB2"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Nick Adderley - Chief Constable</w:t>
            </w:r>
          </w:p>
        </w:tc>
        <w:tc>
          <w:tcPr>
            <w:tcW w:w="989" w:type="dxa"/>
            <w:tcBorders>
              <w:top w:val="nil"/>
              <w:left w:val="nil"/>
              <w:bottom w:val="nil"/>
              <w:right w:val="nil"/>
            </w:tcBorders>
            <w:shd w:val="clear" w:color="000000" w:fill="FFFFFF"/>
            <w:noWrap/>
            <w:vAlign w:val="bottom"/>
            <w:hideMark/>
          </w:tcPr>
          <w:p w14:paraId="721F9491" w14:textId="3F8D1B4F"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01/04/23</w:t>
            </w:r>
          </w:p>
        </w:tc>
        <w:tc>
          <w:tcPr>
            <w:tcW w:w="995" w:type="dxa"/>
            <w:tcBorders>
              <w:top w:val="nil"/>
              <w:left w:val="nil"/>
              <w:bottom w:val="nil"/>
              <w:right w:val="nil"/>
            </w:tcBorders>
            <w:shd w:val="clear" w:color="000000" w:fill="FFFFFF"/>
            <w:noWrap/>
            <w:vAlign w:val="bottom"/>
            <w:hideMark/>
          </w:tcPr>
          <w:p w14:paraId="409374C3"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73F340DE"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170,821 </w:t>
            </w:r>
          </w:p>
        </w:tc>
        <w:tc>
          <w:tcPr>
            <w:tcW w:w="973" w:type="dxa"/>
            <w:tcBorders>
              <w:top w:val="nil"/>
              <w:left w:val="nil"/>
              <w:bottom w:val="nil"/>
              <w:right w:val="nil"/>
            </w:tcBorders>
            <w:shd w:val="clear" w:color="000000" w:fill="C5D9F1"/>
            <w:noWrap/>
            <w:vAlign w:val="bottom"/>
            <w:hideMark/>
          </w:tcPr>
          <w:p w14:paraId="560C714B"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366332C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1134" w:type="dxa"/>
            <w:tcBorders>
              <w:top w:val="nil"/>
              <w:left w:val="nil"/>
              <w:bottom w:val="nil"/>
              <w:right w:val="nil"/>
            </w:tcBorders>
            <w:shd w:val="clear" w:color="000000" w:fill="C5D9F1"/>
            <w:noWrap/>
            <w:vAlign w:val="bottom"/>
            <w:hideMark/>
          </w:tcPr>
          <w:p w14:paraId="169F9852"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170,821 </w:t>
            </w:r>
          </w:p>
        </w:tc>
        <w:tc>
          <w:tcPr>
            <w:tcW w:w="1063" w:type="dxa"/>
            <w:tcBorders>
              <w:top w:val="nil"/>
              <w:left w:val="nil"/>
              <w:bottom w:val="nil"/>
              <w:right w:val="nil"/>
            </w:tcBorders>
            <w:shd w:val="clear" w:color="000000" w:fill="C5D9F1"/>
            <w:noWrap/>
            <w:vAlign w:val="bottom"/>
            <w:hideMark/>
          </w:tcPr>
          <w:p w14:paraId="03A332B9"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824" w:type="dxa"/>
            <w:tcBorders>
              <w:top w:val="nil"/>
              <w:left w:val="nil"/>
              <w:bottom w:val="nil"/>
              <w:right w:val="nil"/>
            </w:tcBorders>
            <w:shd w:val="clear" w:color="000000" w:fill="C5D9F1"/>
            <w:noWrap/>
            <w:vAlign w:val="bottom"/>
            <w:hideMark/>
          </w:tcPr>
          <w:p w14:paraId="26DD87C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170,821 </w:t>
            </w:r>
          </w:p>
        </w:tc>
      </w:tr>
      <w:tr w:rsidR="000A75C9" w:rsidRPr="00460A5D" w14:paraId="3C645E4E" w14:textId="77777777" w:rsidTr="001B7116">
        <w:trPr>
          <w:trHeight w:val="529"/>
        </w:trPr>
        <w:tc>
          <w:tcPr>
            <w:tcW w:w="2552" w:type="dxa"/>
            <w:tcBorders>
              <w:top w:val="nil"/>
              <w:left w:val="nil"/>
              <w:bottom w:val="nil"/>
              <w:right w:val="nil"/>
            </w:tcBorders>
            <w:shd w:val="clear" w:color="000000" w:fill="FFFFFF"/>
            <w:noWrap/>
            <w:vAlign w:val="bottom"/>
            <w:hideMark/>
          </w:tcPr>
          <w:p w14:paraId="10E3BF0A" w14:textId="49A44F90"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xml:space="preserve">Ivan Balhatchet - </w:t>
            </w:r>
            <w:r w:rsidR="00F11CE9">
              <w:rPr>
                <w:rFonts w:asciiTheme="minorHAnsi" w:eastAsia="Times New Roman" w:hAnsiTheme="minorHAnsi" w:cstheme="minorHAnsi"/>
                <w:color w:val="auto"/>
                <w:sz w:val="16"/>
                <w:szCs w:val="16"/>
                <w:lang w:eastAsia="en-GB"/>
              </w:rPr>
              <w:t>Acting</w:t>
            </w:r>
            <w:r w:rsidR="00F11CE9" w:rsidRPr="00460A5D">
              <w:rPr>
                <w:rFonts w:asciiTheme="minorHAnsi" w:eastAsia="Times New Roman" w:hAnsiTheme="minorHAnsi" w:cstheme="minorHAnsi"/>
                <w:color w:val="auto"/>
                <w:sz w:val="16"/>
                <w:szCs w:val="16"/>
                <w:lang w:eastAsia="en-GB"/>
              </w:rPr>
              <w:t xml:space="preserve"> </w:t>
            </w:r>
            <w:r w:rsidRPr="00460A5D">
              <w:rPr>
                <w:rFonts w:asciiTheme="minorHAnsi" w:eastAsia="Times New Roman" w:hAnsiTheme="minorHAnsi" w:cstheme="minorHAnsi"/>
                <w:color w:val="auto"/>
                <w:sz w:val="16"/>
                <w:szCs w:val="16"/>
                <w:lang w:eastAsia="en-GB"/>
              </w:rPr>
              <w:t xml:space="preserve">Chief Constable </w:t>
            </w:r>
            <w:r w:rsidR="000A75C9">
              <w:rPr>
                <w:rFonts w:asciiTheme="minorHAnsi" w:eastAsia="Times New Roman" w:hAnsiTheme="minorHAnsi" w:cstheme="minorHAnsi"/>
                <w:color w:val="auto"/>
                <w:sz w:val="16"/>
                <w:szCs w:val="16"/>
                <w:lang w:eastAsia="en-GB"/>
              </w:rPr>
              <w:t>(3)</w:t>
            </w:r>
          </w:p>
        </w:tc>
        <w:tc>
          <w:tcPr>
            <w:tcW w:w="989" w:type="dxa"/>
            <w:tcBorders>
              <w:top w:val="nil"/>
              <w:left w:val="nil"/>
              <w:bottom w:val="nil"/>
              <w:right w:val="nil"/>
            </w:tcBorders>
            <w:shd w:val="clear" w:color="000000" w:fill="FFFFFF"/>
            <w:noWrap/>
            <w:vAlign w:val="bottom"/>
            <w:hideMark/>
          </w:tcPr>
          <w:p w14:paraId="0C248CAC" w14:textId="235D70EE"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16/10/23</w:t>
            </w:r>
          </w:p>
        </w:tc>
        <w:tc>
          <w:tcPr>
            <w:tcW w:w="995" w:type="dxa"/>
            <w:tcBorders>
              <w:top w:val="nil"/>
              <w:left w:val="nil"/>
              <w:bottom w:val="nil"/>
              <w:right w:val="nil"/>
            </w:tcBorders>
            <w:shd w:val="clear" w:color="000000" w:fill="FFFFFF"/>
            <w:noWrap/>
            <w:vAlign w:val="bottom"/>
            <w:hideMark/>
          </w:tcPr>
          <w:p w14:paraId="71355223"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259CF6A3"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80,411 </w:t>
            </w:r>
          </w:p>
        </w:tc>
        <w:tc>
          <w:tcPr>
            <w:tcW w:w="973" w:type="dxa"/>
            <w:tcBorders>
              <w:top w:val="nil"/>
              <w:left w:val="nil"/>
              <w:bottom w:val="nil"/>
              <w:right w:val="nil"/>
            </w:tcBorders>
            <w:shd w:val="clear" w:color="000000" w:fill="C5D9F1"/>
            <w:noWrap/>
            <w:vAlign w:val="bottom"/>
            <w:hideMark/>
          </w:tcPr>
          <w:p w14:paraId="11AE90AD"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70F0FEEF"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2,514 </w:t>
            </w:r>
          </w:p>
        </w:tc>
        <w:tc>
          <w:tcPr>
            <w:tcW w:w="1134" w:type="dxa"/>
            <w:tcBorders>
              <w:top w:val="nil"/>
              <w:left w:val="nil"/>
              <w:bottom w:val="nil"/>
              <w:right w:val="nil"/>
            </w:tcBorders>
            <w:shd w:val="clear" w:color="000000" w:fill="C5D9F1"/>
            <w:noWrap/>
            <w:vAlign w:val="bottom"/>
            <w:hideMark/>
          </w:tcPr>
          <w:p w14:paraId="6870F89A"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82,925 </w:t>
            </w:r>
          </w:p>
        </w:tc>
        <w:tc>
          <w:tcPr>
            <w:tcW w:w="1063" w:type="dxa"/>
            <w:tcBorders>
              <w:top w:val="nil"/>
              <w:left w:val="nil"/>
              <w:bottom w:val="nil"/>
              <w:right w:val="nil"/>
            </w:tcBorders>
            <w:shd w:val="clear" w:color="000000" w:fill="C5D9F1"/>
            <w:noWrap/>
            <w:vAlign w:val="bottom"/>
            <w:hideMark/>
          </w:tcPr>
          <w:p w14:paraId="50FE2DCC"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24,927 </w:t>
            </w:r>
          </w:p>
        </w:tc>
        <w:tc>
          <w:tcPr>
            <w:tcW w:w="824" w:type="dxa"/>
            <w:tcBorders>
              <w:top w:val="nil"/>
              <w:left w:val="nil"/>
              <w:bottom w:val="nil"/>
              <w:right w:val="nil"/>
            </w:tcBorders>
            <w:shd w:val="clear" w:color="000000" w:fill="C5D9F1"/>
            <w:noWrap/>
            <w:vAlign w:val="bottom"/>
            <w:hideMark/>
          </w:tcPr>
          <w:p w14:paraId="422FBCA2"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107,852 </w:t>
            </w:r>
          </w:p>
        </w:tc>
      </w:tr>
      <w:tr w:rsidR="000A75C9" w:rsidRPr="00460A5D" w14:paraId="703D6E95" w14:textId="77777777" w:rsidTr="000A75C9">
        <w:trPr>
          <w:trHeight w:val="267"/>
        </w:trPr>
        <w:tc>
          <w:tcPr>
            <w:tcW w:w="2552" w:type="dxa"/>
            <w:tcBorders>
              <w:top w:val="nil"/>
              <w:left w:val="nil"/>
              <w:bottom w:val="nil"/>
              <w:right w:val="nil"/>
            </w:tcBorders>
            <w:shd w:val="clear" w:color="000000" w:fill="FFFFFF"/>
            <w:noWrap/>
            <w:vAlign w:val="bottom"/>
            <w:hideMark/>
          </w:tcPr>
          <w:p w14:paraId="7182ACCD"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Deputy Chief Constable</w:t>
            </w:r>
          </w:p>
        </w:tc>
        <w:tc>
          <w:tcPr>
            <w:tcW w:w="989" w:type="dxa"/>
            <w:tcBorders>
              <w:top w:val="nil"/>
              <w:left w:val="nil"/>
              <w:bottom w:val="nil"/>
              <w:right w:val="nil"/>
            </w:tcBorders>
            <w:shd w:val="clear" w:color="000000" w:fill="FFFFFF"/>
            <w:noWrap/>
            <w:vAlign w:val="bottom"/>
            <w:hideMark/>
          </w:tcPr>
          <w:p w14:paraId="3D2C25D7" w14:textId="52C21C06"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19/12/22</w:t>
            </w:r>
          </w:p>
        </w:tc>
        <w:tc>
          <w:tcPr>
            <w:tcW w:w="995" w:type="dxa"/>
            <w:tcBorders>
              <w:top w:val="nil"/>
              <w:left w:val="nil"/>
              <w:bottom w:val="nil"/>
              <w:right w:val="nil"/>
            </w:tcBorders>
            <w:shd w:val="clear" w:color="000000" w:fill="FFFFFF"/>
            <w:noWrap/>
            <w:vAlign w:val="bottom"/>
            <w:hideMark/>
          </w:tcPr>
          <w:p w14:paraId="61B47C33" w14:textId="7BB9E98B"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15/10/23</w:t>
            </w:r>
          </w:p>
        </w:tc>
        <w:tc>
          <w:tcPr>
            <w:tcW w:w="851" w:type="dxa"/>
            <w:tcBorders>
              <w:top w:val="nil"/>
              <w:left w:val="nil"/>
              <w:bottom w:val="nil"/>
              <w:right w:val="nil"/>
            </w:tcBorders>
            <w:shd w:val="clear" w:color="000000" w:fill="C5D9F1"/>
            <w:noWrap/>
            <w:vAlign w:val="bottom"/>
            <w:hideMark/>
          </w:tcPr>
          <w:p w14:paraId="640D9B39"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62,022 </w:t>
            </w:r>
          </w:p>
        </w:tc>
        <w:tc>
          <w:tcPr>
            <w:tcW w:w="973" w:type="dxa"/>
            <w:tcBorders>
              <w:top w:val="nil"/>
              <w:left w:val="nil"/>
              <w:bottom w:val="nil"/>
              <w:right w:val="nil"/>
            </w:tcBorders>
            <w:shd w:val="clear" w:color="000000" w:fill="C5D9F1"/>
            <w:noWrap/>
            <w:vAlign w:val="bottom"/>
            <w:hideMark/>
          </w:tcPr>
          <w:p w14:paraId="7908CCB8"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61A2A813"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3,946 </w:t>
            </w:r>
          </w:p>
        </w:tc>
        <w:tc>
          <w:tcPr>
            <w:tcW w:w="1134" w:type="dxa"/>
            <w:tcBorders>
              <w:top w:val="nil"/>
              <w:left w:val="nil"/>
              <w:bottom w:val="nil"/>
              <w:right w:val="nil"/>
            </w:tcBorders>
            <w:shd w:val="clear" w:color="000000" w:fill="C5D9F1"/>
            <w:noWrap/>
            <w:vAlign w:val="bottom"/>
            <w:hideMark/>
          </w:tcPr>
          <w:p w14:paraId="3816DD3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65,968 </w:t>
            </w:r>
          </w:p>
        </w:tc>
        <w:tc>
          <w:tcPr>
            <w:tcW w:w="1063" w:type="dxa"/>
            <w:tcBorders>
              <w:top w:val="nil"/>
              <w:left w:val="nil"/>
              <w:bottom w:val="nil"/>
              <w:right w:val="nil"/>
            </w:tcBorders>
            <w:shd w:val="clear" w:color="000000" w:fill="C5D9F1"/>
            <w:noWrap/>
            <w:vAlign w:val="bottom"/>
            <w:hideMark/>
          </w:tcPr>
          <w:p w14:paraId="6031213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14,812 </w:t>
            </w:r>
          </w:p>
        </w:tc>
        <w:tc>
          <w:tcPr>
            <w:tcW w:w="824" w:type="dxa"/>
            <w:tcBorders>
              <w:top w:val="nil"/>
              <w:left w:val="nil"/>
              <w:bottom w:val="nil"/>
              <w:right w:val="nil"/>
            </w:tcBorders>
            <w:shd w:val="clear" w:color="000000" w:fill="C5D9F1"/>
            <w:noWrap/>
            <w:vAlign w:val="bottom"/>
            <w:hideMark/>
          </w:tcPr>
          <w:p w14:paraId="57D3B7C2"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80,780 </w:t>
            </w:r>
          </w:p>
        </w:tc>
      </w:tr>
      <w:tr w:rsidR="000A75C9" w:rsidRPr="00460A5D" w14:paraId="1A244445" w14:textId="77777777" w:rsidTr="000A75C9">
        <w:trPr>
          <w:trHeight w:val="267"/>
        </w:trPr>
        <w:tc>
          <w:tcPr>
            <w:tcW w:w="2552" w:type="dxa"/>
            <w:tcBorders>
              <w:top w:val="nil"/>
              <w:left w:val="nil"/>
              <w:bottom w:val="nil"/>
              <w:right w:val="nil"/>
            </w:tcBorders>
            <w:shd w:val="clear" w:color="000000" w:fill="FFFFFF"/>
            <w:noWrap/>
            <w:vAlign w:val="bottom"/>
            <w:hideMark/>
          </w:tcPr>
          <w:p w14:paraId="7FC8338D"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Temporary Assistant Chief Constable</w:t>
            </w:r>
          </w:p>
        </w:tc>
        <w:tc>
          <w:tcPr>
            <w:tcW w:w="989" w:type="dxa"/>
            <w:tcBorders>
              <w:top w:val="nil"/>
              <w:left w:val="nil"/>
              <w:bottom w:val="nil"/>
              <w:right w:val="nil"/>
            </w:tcBorders>
            <w:shd w:val="clear" w:color="000000" w:fill="FFFFFF"/>
            <w:noWrap/>
            <w:vAlign w:val="bottom"/>
            <w:hideMark/>
          </w:tcPr>
          <w:p w14:paraId="3E6E97F1" w14:textId="264171C2"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31/03/20</w:t>
            </w:r>
          </w:p>
        </w:tc>
        <w:tc>
          <w:tcPr>
            <w:tcW w:w="995" w:type="dxa"/>
            <w:tcBorders>
              <w:top w:val="nil"/>
              <w:left w:val="nil"/>
              <w:bottom w:val="nil"/>
              <w:right w:val="nil"/>
            </w:tcBorders>
            <w:shd w:val="clear" w:color="000000" w:fill="FFFFFF"/>
            <w:noWrap/>
            <w:vAlign w:val="bottom"/>
            <w:hideMark/>
          </w:tcPr>
          <w:p w14:paraId="33C7CBCC"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12E22362"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118,262 </w:t>
            </w:r>
          </w:p>
        </w:tc>
        <w:tc>
          <w:tcPr>
            <w:tcW w:w="973" w:type="dxa"/>
            <w:tcBorders>
              <w:top w:val="nil"/>
              <w:left w:val="nil"/>
              <w:bottom w:val="nil"/>
              <w:right w:val="nil"/>
            </w:tcBorders>
            <w:shd w:val="clear" w:color="000000" w:fill="C5D9F1"/>
            <w:noWrap/>
            <w:vAlign w:val="bottom"/>
            <w:hideMark/>
          </w:tcPr>
          <w:p w14:paraId="08742B0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446 </w:t>
            </w:r>
          </w:p>
        </w:tc>
        <w:tc>
          <w:tcPr>
            <w:tcW w:w="728" w:type="dxa"/>
            <w:tcBorders>
              <w:top w:val="nil"/>
              <w:left w:val="nil"/>
              <w:bottom w:val="nil"/>
              <w:right w:val="nil"/>
            </w:tcBorders>
            <w:shd w:val="clear" w:color="000000" w:fill="C5D9F1"/>
            <w:noWrap/>
            <w:vAlign w:val="bottom"/>
            <w:hideMark/>
          </w:tcPr>
          <w:p w14:paraId="6BA2E5B5"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6,521 </w:t>
            </w:r>
          </w:p>
        </w:tc>
        <w:tc>
          <w:tcPr>
            <w:tcW w:w="1134" w:type="dxa"/>
            <w:tcBorders>
              <w:top w:val="nil"/>
              <w:left w:val="nil"/>
              <w:bottom w:val="nil"/>
              <w:right w:val="nil"/>
            </w:tcBorders>
            <w:shd w:val="clear" w:color="000000" w:fill="C5D9F1"/>
            <w:noWrap/>
            <w:vAlign w:val="bottom"/>
            <w:hideMark/>
          </w:tcPr>
          <w:p w14:paraId="635345DD"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125,229 </w:t>
            </w:r>
          </w:p>
        </w:tc>
        <w:tc>
          <w:tcPr>
            <w:tcW w:w="1063" w:type="dxa"/>
            <w:tcBorders>
              <w:top w:val="nil"/>
              <w:left w:val="nil"/>
              <w:bottom w:val="nil"/>
              <w:right w:val="nil"/>
            </w:tcBorders>
            <w:shd w:val="clear" w:color="000000" w:fill="C5D9F1"/>
            <w:noWrap/>
            <w:vAlign w:val="bottom"/>
            <w:hideMark/>
          </w:tcPr>
          <w:p w14:paraId="0CAC2BE5"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34,214 </w:t>
            </w:r>
          </w:p>
        </w:tc>
        <w:tc>
          <w:tcPr>
            <w:tcW w:w="824" w:type="dxa"/>
            <w:tcBorders>
              <w:top w:val="nil"/>
              <w:left w:val="nil"/>
              <w:bottom w:val="nil"/>
              <w:right w:val="nil"/>
            </w:tcBorders>
            <w:shd w:val="clear" w:color="000000" w:fill="C5D9F1"/>
            <w:noWrap/>
            <w:vAlign w:val="bottom"/>
            <w:hideMark/>
          </w:tcPr>
          <w:p w14:paraId="441CA64A"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159,443 </w:t>
            </w:r>
          </w:p>
        </w:tc>
      </w:tr>
      <w:tr w:rsidR="000A75C9" w:rsidRPr="00460A5D" w14:paraId="1F1ABB28" w14:textId="77777777" w:rsidTr="000A75C9">
        <w:trPr>
          <w:trHeight w:val="267"/>
        </w:trPr>
        <w:tc>
          <w:tcPr>
            <w:tcW w:w="2552" w:type="dxa"/>
            <w:tcBorders>
              <w:top w:val="nil"/>
              <w:left w:val="nil"/>
              <w:bottom w:val="nil"/>
              <w:right w:val="nil"/>
            </w:tcBorders>
            <w:shd w:val="clear" w:color="000000" w:fill="FFFFFF"/>
            <w:noWrap/>
            <w:vAlign w:val="bottom"/>
            <w:hideMark/>
          </w:tcPr>
          <w:p w14:paraId="7C5BC74E"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Assistant Chief Officer</w:t>
            </w:r>
          </w:p>
        </w:tc>
        <w:tc>
          <w:tcPr>
            <w:tcW w:w="989" w:type="dxa"/>
            <w:tcBorders>
              <w:top w:val="nil"/>
              <w:left w:val="nil"/>
              <w:bottom w:val="nil"/>
              <w:right w:val="nil"/>
            </w:tcBorders>
            <w:shd w:val="clear" w:color="000000" w:fill="FFFFFF"/>
            <w:noWrap/>
            <w:vAlign w:val="bottom"/>
            <w:hideMark/>
          </w:tcPr>
          <w:p w14:paraId="67F9FD09" w14:textId="37B5E77C"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01/12/20</w:t>
            </w:r>
          </w:p>
        </w:tc>
        <w:tc>
          <w:tcPr>
            <w:tcW w:w="995" w:type="dxa"/>
            <w:tcBorders>
              <w:top w:val="nil"/>
              <w:left w:val="nil"/>
              <w:bottom w:val="nil"/>
              <w:right w:val="nil"/>
            </w:tcBorders>
            <w:shd w:val="clear" w:color="000000" w:fill="FFFFFF"/>
            <w:noWrap/>
            <w:vAlign w:val="bottom"/>
            <w:hideMark/>
          </w:tcPr>
          <w:p w14:paraId="7C6D2C4A"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034913EA"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124,089 </w:t>
            </w:r>
          </w:p>
        </w:tc>
        <w:tc>
          <w:tcPr>
            <w:tcW w:w="973" w:type="dxa"/>
            <w:tcBorders>
              <w:top w:val="nil"/>
              <w:left w:val="nil"/>
              <w:bottom w:val="nil"/>
              <w:right w:val="nil"/>
            </w:tcBorders>
            <w:shd w:val="clear" w:color="000000" w:fill="C5D9F1"/>
            <w:noWrap/>
            <w:vAlign w:val="bottom"/>
            <w:hideMark/>
          </w:tcPr>
          <w:p w14:paraId="258DA365"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45C213B0"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7,010 </w:t>
            </w:r>
          </w:p>
        </w:tc>
        <w:tc>
          <w:tcPr>
            <w:tcW w:w="1134" w:type="dxa"/>
            <w:tcBorders>
              <w:top w:val="nil"/>
              <w:left w:val="nil"/>
              <w:bottom w:val="nil"/>
              <w:right w:val="nil"/>
            </w:tcBorders>
            <w:shd w:val="clear" w:color="000000" w:fill="C5D9F1"/>
            <w:noWrap/>
            <w:vAlign w:val="bottom"/>
            <w:hideMark/>
          </w:tcPr>
          <w:p w14:paraId="417A280B"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131,099 </w:t>
            </w:r>
          </w:p>
        </w:tc>
        <w:tc>
          <w:tcPr>
            <w:tcW w:w="1063" w:type="dxa"/>
            <w:tcBorders>
              <w:top w:val="nil"/>
              <w:left w:val="nil"/>
              <w:bottom w:val="nil"/>
              <w:right w:val="nil"/>
            </w:tcBorders>
            <w:shd w:val="clear" w:color="000000" w:fill="C5D9F1"/>
            <w:noWrap/>
            <w:vAlign w:val="bottom"/>
            <w:hideMark/>
          </w:tcPr>
          <w:p w14:paraId="065F176D"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24,570 </w:t>
            </w:r>
          </w:p>
        </w:tc>
        <w:tc>
          <w:tcPr>
            <w:tcW w:w="824" w:type="dxa"/>
            <w:tcBorders>
              <w:top w:val="nil"/>
              <w:left w:val="nil"/>
              <w:bottom w:val="nil"/>
              <w:right w:val="nil"/>
            </w:tcBorders>
            <w:shd w:val="clear" w:color="000000" w:fill="C5D9F1"/>
            <w:noWrap/>
            <w:vAlign w:val="bottom"/>
            <w:hideMark/>
          </w:tcPr>
          <w:p w14:paraId="09125385"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155,669 </w:t>
            </w:r>
          </w:p>
        </w:tc>
      </w:tr>
      <w:tr w:rsidR="000A75C9" w:rsidRPr="00460A5D" w14:paraId="023F0FFC" w14:textId="77777777" w:rsidTr="000A75C9">
        <w:trPr>
          <w:trHeight w:val="267"/>
        </w:trPr>
        <w:tc>
          <w:tcPr>
            <w:tcW w:w="2552" w:type="dxa"/>
            <w:tcBorders>
              <w:top w:val="nil"/>
              <w:left w:val="nil"/>
              <w:bottom w:val="nil"/>
              <w:right w:val="nil"/>
            </w:tcBorders>
            <w:shd w:val="clear" w:color="000000" w:fill="FFFFFF"/>
            <w:noWrap/>
            <w:vAlign w:val="bottom"/>
            <w:hideMark/>
          </w:tcPr>
          <w:p w14:paraId="5F8ABCF4"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Chief Superintendent</w:t>
            </w:r>
          </w:p>
        </w:tc>
        <w:tc>
          <w:tcPr>
            <w:tcW w:w="989" w:type="dxa"/>
            <w:tcBorders>
              <w:top w:val="nil"/>
              <w:left w:val="nil"/>
              <w:bottom w:val="nil"/>
              <w:right w:val="nil"/>
            </w:tcBorders>
            <w:shd w:val="clear" w:color="000000" w:fill="FFFFFF"/>
            <w:noWrap/>
            <w:vAlign w:val="bottom"/>
            <w:hideMark/>
          </w:tcPr>
          <w:p w14:paraId="687FCB28" w14:textId="587E48E0"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30/03/23</w:t>
            </w:r>
          </w:p>
        </w:tc>
        <w:tc>
          <w:tcPr>
            <w:tcW w:w="995" w:type="dxa"/>
            <w:tcBorders>
              <w:top w:val="nil"/>
              <w:left w:val="nil"/>
              <w:bottom w:val="nil"/>
              <w:right w:val="nil"/>
            </w:tcBorders>
            <w:shd w:val="clear" w:color="000000" w:fill="FFFFFF"/>
            <w:noWrap/>
            <w:vAlign w:val="bottom"/>
            <w:hideMark/>
          </w:tcPr>
          <w:p w14:paraId="09A1BAAA"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1C82CC4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95,325 </w:t>
            </w:r>
          </w:p>
        </w:tc>
        <w:tc>
          <w:tcPr>
            <w:tcW w:w="973" w:type="dxa"/>
            <w:tcBorders>
              <w:top w:val="nil"/>
              <w:left w:val="nil"/>
              <w:bottom w:val="nil"/>
              <w:right w:val="nil"/>
            </w:tcBorders>
            <w:shd w:val="clear" w:color="000000" w:fill="C5D9F1"/>
            <w:noWrap/>
            <w:vAlign w:val="bottom"/>
            <w:hideMark/>
          </w:tcPr>
          <w:p w14:paraId="60E35BF7"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39 </w:t>
            </w:r>
          </w:p>
        </w:tc>
        <w:tc>
          <w:tcPr>
            <w:tcW w:w="728" w:type="dxa"/>
            <w:tcBorders>
              <w:top w:val="nil"/>
              <w:left w:val="nil"/>
              <w:bottom w:val="nil"/>
              <w:right w:val="nil"/>
            </w:tcBorders>
            <w:shd w:val="clear" w:color="000000" w:fill="C5D9F1"/>
            <w:noWrap/>
            <w:vAlign w:val="bottom"/>
            <w:hideMark/>
          </w:tcPr>
          <w:p w14:paraId="0D4BF7F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4,299 </w:t>
            </w:r>
          </w:p>
        </w:tc>
        <w:tc>
          <w:tcPr>
            <w:tcW w:w="1134" w:type="dxa"/>
            <w:tcBorders>
              <w:top w:val="nil"/>
              <w:left w:val="nil"/>
              <w:bottom w:val="nil"/>
              <w:right w:val="nil"/>
            </w:tcBorders>
            <w:shd w:val="clear" w:color="000000" w:fill="C5D9F1"/>
            <w:noWrap/>
            <w:vAlign w:val="bottom"/>
            <w:hideMark/>
          </w:tcPr>
          <w:p w14:paraId="36745B0E"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99,663 </w:t>
            </w:r>
          </w:p>
        </w:tc>
        <w:tc>
          <w:tcPr>
            <w:tcW w:w="1063" w:type="dxa"/>
            <w:tcBorders>
              <w:top w:val="nil"/>
              <w:left w:val="nil"/>
              <w:bottom w:val="nil"/>
              <w:right w:val="nil"/>
            </w:tcBorders>
            <w:shd w:val="clear" w:color="000000" w:fill="C5D9F1"/>
            <w:noWrap/>
            <w:vAlign w:val="bottom"/>
            <w:hideMark/>
          </w:tcPr>
          <w:p w14:paraId="28D5F4E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29,426 </w:t>
            </w:r>
          </w:p>
        </w:tc>
        <w:tc>
          <w:tcPr>
            <w:tcW w:w="824" w:type="dxa"/>
            <w:tcBorders>
              <w:top w:val="nil"/>
              <w:left w:val="nil"/>
              <w:bottom w:val="nil"/>
              <w:right w:val="nil"/>
            </w:tcBorders>
            <w:shd w:val="clear" w:color="000000" w:fill="C5D9F1"/>
            <w:noWrap/>
            <w:vAlign w:val="bottom"/>
            <w:hideMark/>
          </w:tcPr>
          <w:p w14:paraId="3320894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129,089 </w:t>
            </w:r>
          </w:p>
        </w:tc>
      </w:tr>
      <w:tr w:rsidR="000A75C9" w:rsidRPr="00460A5D" w14:paraId="2E4F7CAE" w14:textId="77777777" w:rsidTr="000A75C9">
        <w:trPr>
          <w:trHeight w:val="267"/>
        </w:trPr>
        <w:tc>
          <w:tcPr>
            <w:tcW w:w="2552" w:type="dxa"/>
            <w:tcBorders>
              <w:top w:val="nil"/>
              <w:left w:val="nil"/>
              <w:bottom w:val="nil"/>
              <w:right w:val="nil"/>
            </w:tcBorders>
            <w:shd w:val="clear" w:color="000000" w:fill="FFFFFF"/>
            <w:noWrap/>
            <w:vAlign w:val="bottom"/>
            <w:hideMark/>
          </w:tcPr>
          <w:p w14:paraId="4854E9F3"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Chief Superintendent</w:t>
            </w:r>
          </w:p>
        </w:tc>
        <w:tc>
          <w:tcPr>
            <w:tcW w:w="989" w:type="dxa"/>
            <w:tcBorders>
              <w:top w:val="nil"/>
              <w:left w:val="nil"/>
              <w:bottom w:val="nil"/>
              <w:right w:val="nil"/>
            </w:tcBorders>
            <w:shd w:val="clear" w:color="000000" w:fill="FFFFFF"/>
            <w:noWrap/>
            <w:vAlign w:val="bottom"/>
            <w:hideMark/>
          </w:tcPr>
          <w:p w14:paraId="7C9FD9FB" w14:textId="5052D1EC"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01/10/18</w:t>
            </w:r>
          </w:p>
        </w:tc>
        <w:tc>
          <w:tcPr>
            <w:tcW w:w="995" w:type="dxa"/>
            <w:tcBorders>
              <w:top w:val="nil"/>
              <w:left w:val="nil"/>
              <w:bottom w:val="nil"/>
              <w:right w:val="nil"/>
            </w:tcBorders>
            <w:shd w:val="clear" w:color="000000" w:fill="FFFFFF"/>
            <w:noWrap/>
            <w:vAlign w:val="bottom"/>
            <w:hideMark/>
          </w:tcPr>
          <w:p w14:paraId="1B7A66B3"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41C2A5E3"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99,302 </w:t>
            </w:r>
          </w:p>
        </w:tc>
        <w:tc>
          <w:tcPr>
            <w:tcW w:w="973" w:type="dxa"/>
            <w:tcBorders>
              <w:top w:val="nil"/>
              <w:left w:val="nil"/>
              <w:bottom w:val="nil"/>
              <w:right w:val="nil"/>
            </w:tcBorders>
            <w:shd w:val="clear" w:color="000000" w:fill="C5D9F1"/>
            <w:noWrap/>
            <w:vAlign w:val="bottom"/>
            <w:hideMark/>
          </w:tcPr>
          <w:p w14:paraId="6362CC88"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406 </w:t>
            </w:r>
          </w:p>
        </w:tc>
        <w:tc>
          <w:tcPr>
            <w:tcW w:w="728" w:type="dxa"/>
            <w:tcBorders>
              <w:top w:val="nil"/>
              <w:left w:val="nil"/>
              <w:bottom w:val="nil"/>
              <w:right w:val="nil"/>
            </w:tcBorders>
            <w:shd w:val="clear" w:color="000000" w:fill="C5D9F1"/>
            <w:noWrap/>
            <w:vAlign w:val="bottom"/>
            <w:hideMark/>
          </w:tcPr>
          <w:p w14:paraId="604D59CB"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5,274 </w:t>
            </w:r>
          </w:p>
        </w:tc>
        <w:tc>
          <w:tcPr>
            <w:tcW w:w="1134" w:type="dxa"/>
            <w:tcBorders>
              <w:top w:val="nil"/>
              <w:left w:val="nil"/>
              <w:bottom w:val="nil"/>
              <w:right w:val="nil"/>
            </w:tcBorders>
            <w:shd w:val="clear" w:color="000000" w:fill="C5D9F1"/>
            <w:noWrap/>
            <w:vAlign w:val="bottom"/>
            <w:hideMark/>
          </w:tcPr>
          <w:p w14:paraId="127A992A"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104,982 </w:t>
            </w:r>
          </w:p>
        </w:tc>
        <w:tc>
          <w:tcPr>
            <w:tcW w:w="1063" w:type="dxa"/>
            <w:tcBorders>
              <w:top w:val="nil"/>
              <w:left w:val="nil"/>
              <w:bottom w:val="nil"/>
              <w:right w:val="nil"/>
            </w:tcBorders>
            <w:shd w:val="clear" w:color="000000" w:fill="C5D9F1"/>
            <w:noWrap/>
            <w:vAlign w:val="bottom"/>
            <w:hideMark/>
          </w:tcPr>
          <w:p w14:paraId="0452A0A0"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30,766 </w:t>
            </w:r>
          </w:p>
        </w:tc>
        <w:tc>
          <w:tcPr>
            <w:tcW w:w="824" w:type="dxa"/>
            <w:tcBorders>
              <w:top w:val="nil"/>
              <w:left w:val="nil"/>
              <w:bottom w:val="nil"/>
              <w:right w:val="nil"/>
            </w:tcBorders>
            <w:shd w:val="clear" w:color="000000" w:fill="C5D9F1"/>
            <w:noWrap/>
            <w:vAlign w:val="bottom"/>
            <w:hideMark/>
          </w:tcPr>
          <w:p w14:paraId="70E8CEB9"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135,748 </w:t>
            </w:r>
          </w:p>
        </w:tc>
      </w:tr>
      <w:tr w:rsidR="000A75C9" w:rsidRPr="00460A5D" w14:paraId="78158035" w14:textId="77777777" w:rsidTr="000A75C9">
        <w:trPr>
          <w:trHeight w:val="267"/>
        </w:trPr>
        <w:tc>
          <w:tcPr>
            <w:tcW w:w="2552" w:type="dxa"/>
            <w:tcBorders>
              <w:top w:val="nil"/>
              <w:left w:val="nil"/>
              <w:bottom w:val="nil"/>
              <w:right w:val="nil"/>
            </w:tcBorders>
            <w:shd w:val="clear" w:color="000000" w:fill="FFFFFF"/>
            <w:noWrap/>
            <w:vAlign w:val="bottom"/>
            <w:hideMark/>
          </w:tcPr>
          <w:p w14:paraId="3A6EE139"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Chief Superintendent</w:t>
            </w:r>
          </w:p>
        </w:tc>
        <w:tc>
          <w:tcPr>
            <w:tcW w:w="989" w:type="dxa"/>
            <w:tcBorders>
              <w:top w:val="nil"/>
              <w:left w:val="nil"/>
              <w:bottom w:val="nil"/>
              <w:right w:val="nil"/>
            </w:tcBorders>
            <w:shd w:val="clear" w:color="000000" w:fill="FFFFFF"/>
            <w:noWrap/>
            <w:vAlign w:val="bottom"/>
            <w:hideMark/>
          </w:tcPr>
          <w:p w14:paraId="4AC32285" w14:textId="4AECCD00"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17/09/21</w:t>
            </w:r>
          </w:p>
        </w:tc>
        <w:tc>
          <w:tcPr>
            <w:tcW w:w="995" w:type="dxa"/>
            <w:tcBorders>
              <w:top w:val="nil"/>
              <w:left w:val="nil"/>
              <w:bottom w:val="nil"/>
              <w:right w:val="nil"/>
            </w:tcBorders>
            <w:shd w:val="clear" w:color="000000" w:fill="FFFFFF"/>
            <w:noWrap/>
            <w:vAlign w:val="bottom"/>
            <w:hideMark/>
          </w:tcPr>
          <w:p w14:paraId="3B1027DA"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75D5A05F"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98,348 </w:t>
            </w:r>
          </w:p>
        </w:tc>
        <w:tc>
          <w:tcPr>
            <w:tcW w:w="973" w:type="dxa"/>
            <w:tcBorders>
              <w:top w:val="nil"/>
              <w:left w:val="nil"/>
              <w:bottom w:val="nil"/>
              <w:right w:val="nil"/>
            </w:tcBorders>
            <w:shd w:val="clear" w:color="000000" w:fill="C5D9F1"/>
            <w:noWrap/>
            <w:vAlign w:val="bottom"/>
            <w:hideMark/>
          </w:tcPr>
          <w:p w14:paraId="1F7655F9"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341 </w:t>
            </w:r>
          </w:p>
        </w:tc>
        <w:tc>
          <w:tcPr>
            <w:tcW w:w="728" w:type="dxa"/>
            <w:tcBorders>
              <w:top w:val="nil"/>
              <w:left w:val="nil"/>
              <w:bottom w:val="nil"/>
              <w:right w:val="nil"/>
            </w:tcBorders>
            <w:shd w:val="clear" w:color="000000" w:fill="C5D9F1"/>
            <w:noWrap/>
            <w:vAlign w:val="bottom"/>
            <w:hideMark/>
          </w:tcPr>
          <w:p w14:paraId="19CCF5DF"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2,639 </w:t>
            </w:r>
          </w:p>
        </w:tc>
        <w:tc>
          <w:tcPr>
            <w:tcW w:w="1134" w:type="dxa"/>
            <w:tcBorders>
              <w:top w:val="nil"/>
              <w:left w:val="nil"/>
              <w:bottom w:val="nil"/>
              <w:right w:val="nil"/>
            </w:tcBorders>
            <w:shd w:val="clear" w:color="000000" w:fill="C5D9F1"/>
            <w:noWrap/>
            <w:vAlign w:val="bottom"/>
            <w:hideMark/>
          </w:tcPr>
          <w:p w14:paraId="6701194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101,328 </w:t>
            </w:r>
          </w:p>
        </w:tc>
        <w:tc>
          <w:tcPr>
            <w:tcW w:w="1063" w:type="dxa"/>
            <w:tcBorders>
              <w:top w:val="nil"/>
              <w:left w:val="nil"/>
              <w:bottom w:val="nil"/>
              <w:right w:val="nil"/>
            </w:tcBorders>
            <w:shd w:val="clear" w:color="000000" w:fill="C5D9F1"/>
            <w:noWrap/>
            <w:vAlign w:val="bottom"/>
            <w:hideMark/>
          </w:tcPr>
          <w:p w14:paraId="30333AD1"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30,460 </w:t>
            </w:r>
          </w:p>
        </w:tc>
        <w:tc>
          <w:tcPr>
            <w:tcW w:w="824" w:type="dxa"/>
            <w:tcBorders>
              <w:top w:val="nil"/>
              <w:left w:val="nil"/>
              <w:bottom w:val="nil"/>
              <w:right w:val="nil"/>
            </w:tcBorders>
            <w:shd w:val="clear" w:color="000000" w:fill="C5D9F1"/>
            <w:noWrap/>
            <w:vAlign w:val="bottom"/>
            <w:hideMark/>
          </w:tcPr>
          <w:p w14:paraId="38643A18"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131,788 </w:t>
            </w:r>
          </w:p>
        </w:tc>
      </w:tr>
      <w:tr w:rsidR="000A75C9" w:rsidRPr="00460A5D" w14:paraId="619FE90E" w14:textId="77777777" w:rsidTr="000A75C9">
        <w:trPr>
          <w:trHeight w:val="267"/>
        </w:trPr>
        <w:tc>
          <w:tcPr>
            <w:tcW w:w="2552" w:type="dxa"/>
            <w:tcBorders>
              <w:top w:val="nil"/>
              <w:left w:val="nil"/>
              <w:bottom w:val="nil"/>
              <w:right w:val="nil"/>
            </w:tcBorders>
            <w:shd w:val="clear" w:color="000000" w:fill="FFFFFF"/>
            <w:noWrap/>
            <w:vAlign w:val="bottom"/>
            <w:hideMark/>
          </w:tcPr>
          <w:p w14:paraId="6BE47B1F"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Chief People Officer</w:t>
            </w:r>
          </w:p>
        </w:tc>
        <w:tc>
          <w:tcPr>
            <w:tcW w:w="989" w:type="dxa"/>
            <w:tcBorders>
              <w:top w:val="nil"/>
              <w:left w:val="nil"/>
              <w:bottom w:val="nil"/>
              <w:right w:val="nil"/>
            </w:tcBorders>
            <w:shd w:val="clear" w:color="000000" w:fill="FFFFFF"/>
            <w:noWrap/>
            <w:vAlign w:val="bottom"/>
            <w:hideMark/>
          </w:tcPr>
          <w:p w14:paraId="3754367E" w14:textId="7981602C"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03/04/23</w:t>
            </w:r>
          </w:p>
        </w:tc>
        <w:tc>
          <w:tcPr>
            <w:tcW w:w="995" w:type="dxa"/>
            <w:tcBorders>
              <w:top w:val="nil"/>
              <w:left w:val="nil"/>
              <w:bottom w:val="nil"/>
              <w:right w:val="nil"/>
            </w:tcBorders>
            <w:shd w:val="clear" w:color="000000" w:fill="FFFFFF"/>
            <w:noWrap/>
            <w:vAlign w:val="bottom"/>
            <w:hideMark/>
          </w:tcPr>
          <w:p w14:paraId="34BB5EB5"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132D24EA"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80,178 </w:t>
            </w:r>
          </w:p>
        </w:tc>
        <w:tc>
          <w:tcPr>
            <w:tcW w:w="973" w:type="dxa"/>
            <w:tcBorders>
              <w:top w:val="nil"/>
              <w:left w:val="nil"/>
              <w:bottom w:val="nil"/>
              <w:right w:val="nil"/>
            </w:tcBorders>
            <w:shd w:val="clear" w:color="000000" w:fill="C5D9F1"/>
            <w:noWrap/>
            <w:vAlign w:val="bottom"/>
            <w:hideMark/>
          </w:tcPr>
          <w:p w14:paraId="45EDF2B5"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5484F17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1134" w:type="dxa"/>
            <w:tcBorders>
              <w:top w:val="nil"/>
              <w:left w:val="nil"/>
              <w:bottom w:val="nil"/>
              <w:right w:val="nil"/>
            </w:tcBorders>
            <w:shd w:val="clear" w:color="000000" w:fill="C5D9F1"/>
            <w:noWrap/>
            <w:vAlign w:val="bottom"/>
            <w:hideMark/>
          </w:tcPr>
          <w:p w14:paraId="0B2FD7F8"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80,178 </w:t>
            </w:r>
          </w:p>
        </w:tc>
        <w:tc>
          <w:tcPr>
            <w:tcW w:w="1063" w:type="dxa"/>
            <w:tcBorders>
              <w:top w:val="nil"/>
              <w:left w:val="nil"/>
              <w:bottom w:val="nil"/>
              <w:right w:val="nil"/>
            </w:tcBorders>
            <w:shd w:val="clear" w:color="000000" w:fill="C5D9F1"/>
            <w:noWrap/>
            <w:vAlign w:val="bottom"/>
            <w:hideMark/>
          </w:tcPr>
          <w:p w14:paraId="457CFCFE"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15,875 </w:t>
            </w:r>
          </w:p>
        </w:tc>
        <w:tc>
          <w:tcPr>
            <w:tcW w:w="824" w:type="dxa"/>
            <w:tcBorders>
              <w:top w:val="nil"/>
              <w:left w:val="nil"/>
              <w:bottom w:val="nil"/>
              <w:right w:val="nil"/>
            </w:tcBorders>
            <w:shd w:val="clear" w:color="000000" w:fill="C5D9F1"/>
            <w:noWrap/>
            <w:vAlign w:val="bottom"/>
            <w:hideMark/>
          </w:tcPr>
          <w:p w14:paraId="6702631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96,053 </w:t>
            </w:r>
          </w:p>
        </w:tc>
      </w:tr>
      <w:tr w:rsidR="000A75C9" w:rsidRPr="00460A5D" w14:paraId="748C0E07" w14:textId="77777777" w:rsidTr="000A75C9">
        <w:trPr>
          <w:trHeight w:val="267"/>
        </w:trPr>
        <w:tc>
          <w:tcPr>
            <w:tcW w:w="2552" w:type="dxa"/>
            <w:tcBorders>
              <w:top w:val="nil"/>
              <w:left w:val="nil"/>
              <w:bottom w:val="nil"/>
              <w:right w:val="nil"/>
            </w:tcBorders>
            <w:shd w:val="clear" w:color="000000" w:fill="FFFFFF"/>
            <w:noWrap/>
            <w:vAlign w:val="bottom"/>
            <w:hideMark/>
          </w:tcPr>
          <w:p w14:paraId="4EBCA26A"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Chief Finance Officer</w:t>
            </w:r>
          </w:p>
        </w:tc>
        <w:tc>
          <w:tcPr>
            <w:tcW w:w="989" w:type="dxa"/>
            <w:tcBorders>
              <w:top w:val="nil"/>
              <w:left w:val="nil"/>
              <w:bottom w:val="nil"/>
              <w:right w:val="nil"/>
            </w:tcBorders>
            <w:shd w:val="clear" w:color="000000" w:fill="FFFFFF"/>
            <w:noWrap/>
            <w:vAlign w:val="bottom"/>
            <w:hideMark/>
          </w:tcPr>
          <w:p w14:paraId="35AF9EAA" w14:textId="73537CC1"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21/05/18</w:t>
            </w:r>
          </w:p>
        </w:tc>
        <w:tc>
          <w:tcPr>
            <w:tcW w:w="995" w:type="dxa"/>
            <w:tcBorders>
              <w:top w:val="nil"/>
              <w:left w:val="nil"/>
              <w:bottom w:val="nil"/>
              <w:right w:val="nil"/>
            </w:tcBorders>
            <w:shd w:val="clear" w:color="000000" w:fill="FFFFFF"/>
            <w:noWrap/>
            <w:vAlign w:val="bottom"/>
            <w:hideMark/>
          </w:tcPr>
          <w:p w14:paraId="2D66B7A6" w14:textId="64E5F338"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21/12/23</w:t>
            </w:r>
          </w:p>
        </w:tc>
        <w:tc>
          <w:tcPr>
            <w:tcW w:w="851" w:type="dxa"/>
            <w:tcBorders>
              <w:top w:val="nil"/>
              <w:left w:val="nil"/>
              <w:bottom w:val="nil"/>
              <w:right w:val="nil"/>
            </w:tcBorders>
            <w:shd w:val="clear" w:color="000000" w:fill="C5D9F1"/>
            <w:noWrap/>
            <w:vAlign w:val="bottom"/>
            <w:hideMark/>
          </w:tcPr>
          <w:p w14:paraId="58A0379D"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59,799 </w:t>
            </w:r>
          </w:p>
        </w:tc>
        <w:tc>
          <w:tcPr>
            <w:tcW w:w="973" w:type="dxa"/>
            <w:tcBorders>
              <w:top w:val="nil"/>
              <w:left w:val="nil"/>
              <w:bottom w:val="nil"/>
              <w:right w:val="nil"/>
            </w:tcBorders>
            <w:shd w:val="clear" w:color="000000" w:fill="C5D9F1"/>
            <w:noWrap/>
            <w:vAlign w:val="bottom"/>
            <w:hideMark/>
          </w:tcPr>
          <w:p w14:paraId="158279D9"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49893E51"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1134" w:type="dxa"/>
            <w:tcBorders>
              <w:top w:val="nil"/>
              <w:left w:val="nil"/>
              <w:bottom w:val="nil"/>
              <w:right w:val="nil"/>
            </w:tcBorders>
            <w:shd w:val="clear" w:color="000000" w:fill="C5D9F1"/>
            <w:noWrap/>
            <w:vAlign w:val="bottom"/>
            <w:hideMark/>
          </w:tcPr>
          <w:p w14:paraId="3128840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59,799 </w:t>
            </w:r>
          </w:p>
        </w:tc>
        <w:tc>
          <w:tcPr>
            <w:tcW w:w="1063" w:type="dxa"/>
            <w:tcBorders>
              <w:top w:val="nil"/>
              <w:left w:val="nil"/>
              <w:bottom w:val="nil"/>
              <w:right w:val="nil"/>
            </w:tcBorders>
            <w:shd w:val="clear" w:color="000000" w:fill="C5D9F1"/>
            <w:noWrap/>
            <w:vAlign w:val="bottom"/>
            <w:hideMark/>
          </w:tcPr>
          <w:p w14:paraId="7A5D5814"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11,840 </w:t>
            </w:r>
          </w:p>
        </w:tc>
        <w:tc>
          <w:tcPr>
            <w:tcW w:w="824" w:type="dxa"/>
            <w:tcBorders>
              <w:top w:val="nil"/>
              <w:left w:val="nil"/>
              <w:bottom w:val="nil"/>
              <w:right w:val="nil"/>
            </w:tcBorders>
            <w:shd w:val="clear" w:color="000000" w:fill="C5D9F1"/>
            <w:noWrap/>
            <w:vAlign w:val="bottom"/>
            <w:hideMark/>
          </w:tcPr>
          <w:p w14:paraId="6A08F42B"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71,639 </w:t>
            </w:r>
          </w:p>
        </w:tc>
      </w:tr>
      <w:tr w:rsidR="000A75C9" w:rsidRPr="00460A5D" w14:paraId="30F80A35" w14:textId="77777777" w:rsidTr="000A75C9">
        <w:trPr>
          <w:trHeight w:val="267"/>
        </w:trPr>
        <w:tc>
          <w:tcPr>
            <w:tcW w:w="2552" w:type="dxa"/>
            <w:tcBorders>
              <w:top w:val="nil"/>
              <w:left w:val="nil"/>
              <w:bottom w:val="nil"/>
              <w:right w:val="nil"/>
            </w:tcBorders>
            <w:shd w:val="clear" w:color="000000" w:fill="FFFFFF"/>
            <w:noWrap/>
            <w:vAlign w:val="bottom"/>
            <w:hideMark/>
          </w:tcPr>
          <w:p w14:paraId="3C031EC6" w14:textId="77777777" w:rsidR="00460A5D" w:rsidRPr="00460A5D" w:rsidRDefault="00460A5D" w:rsidP="00460A5D">
            <w:pPr>
              <w:spacing w:line="240" w:lineRule="auto"/>
              <w:jc w:val="left"/>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Interim Chief Finance Officer</w:t>
            </w:r>
          </w:p>
        </w:tc>
        <w:tc>
          <w:tcPr>
            <w:tcW w:w="989" w:type="dxa"/>
            <w:tcBorders>
              <w:top w:val="nil"/>
              <w:left w:val="nil"/>
              <w:bottom w:val="nil"/>
              <w:right w:val="nil"/>
            </w:tcBorders>
            <w:shd w:val="clear" w:color="000000" w:fill="FFFFFF"/>
            <w:noWrap/>
            <w:vAlign w:val="bottom"/>
            <w:hideMark/>
          </w:tcPr>
          <w:p w14:paraId="5EC07210" w14:textId="64B095F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22/12/23</w:t>
            </w:r>
          </w:p>
        </w:tc>
        <w:tc>
          <w:tcPr>
            <w:tcW w:w="995" w:type="dxa"/>
            <w:tcBorders>
              <w:top w:val="nil"/>
              <w:left w:val="nil"/>
              <w:bottom w:val="nil"/>
              <w:right w:val="nil"/>
            </w:tcBorders>
            <w:shd w:val="clear" w:color="000000" w:fill="FFFFFF"/>
            <w:noWrap/>
            <w:vAlign w:val="bottom"/>
            <w:hideMark/>
          </w:tcPr>
          <w:p w14:paraId="17E4AB61" w14:textId="77777777" w:rsidR="00460A5D" w:rsidRPr="00460A5D" w:rsidRDefault="00460A5D" w:rsidP="00460A5D">
            <w:pPr>
              <w:spacing w:line="240" w:lineRule="auto"/>
              <w:jc w:val="center"/>
              <w:rPr>
                <w:rFonts w:asciiTheme="minorHAnsi" w:eastAsia="Times New Roman" w:hAnsiTheme="minorHAnsi" w:cstheme="minorHAnsi"/>
                <w:color w:val="auto"/>
                <w:sz w:val="16"/>
                <w:szCs w:val="16"/>
                <w:lang w:eastAsia="en-GB"/>
              </w:rPr>
            </w:pPr>
            <w:r w:rsidRPr="00460A5D">
              <w:rPr>
                <w:rFonts w:asciiTheme="minorHAnsi" w:eastAsia="Times New Roman" w:hAnsiTheme="minorHAnsi" w:cstheme="minorHAnsi"/>
                <w:color w:val="auto"/>
                <w:sz w:val="16"/>
                <w:szCs w:val="16"/>
                <w:lang w:eastAsia="en-GB"/>
              </w:rPr>
              <w:t> </w:t>
            </w:r>
          </w:p>
        </w:tc>
        <w:tc>
          <w:tcPr>
            <w:tcW w:w="851" w:type="dxa"/>
            <w:tcBorders>
              <w:top w:val="nil"/>
              <w:left w:val="nil"/>
              <w:bottom w:val="nil"/>
              <w:right w:val="nil"/>
            </w:tcBorders>
            <w:shd w:val="clear" w:color="000000" w:fill="C5D9F1"/>
            <w:noWrap/>
            <w:vAlign w:val="bottom"/>
            <w:hideMark/>
          </w:tcPr>
          <w:p w14:paraId="3A8F5A5E"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25,585 </w:t>
            </w:r>
          </w:p>
        </w:tc>
        <w:tc>
          <w:tcPr>
            <w:tcW w:w="973" w:type="dxa"/>
            <w:tcBorders>
              <w:top w:val="nil"/>
              <w:left w:val="nil"/>
              <w:bottom w:val="nil"/>
              <w:right w:val="nil"/>
            </w:tcBorders>
            <w:shd w:val="clear" w:color="000000" w:fill="C5D9F1"/>
            <w:noWrap/>
            <w:vAlign w:val="bottom"/>
            <w:hideMark/>
          </w:tcPr>
          <w:p w14:paraId="288A8F7B"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728" w:type="dxa"/>
            <w:tcBorders>
              <w:top w:val="nil"/>
              <w:left w:val="nil"/>
              <w:bottom w:val="nil"/>
              <w:right w:val="nil"/>
            </w:tcBorders>
            <w:shd w:val="clear" w:color="000000" w:fill="C5D9F1"/>
            <w:noWrap/>
            <w:vAlign w:val="bottom"/>
            <w:hideMark/>
          </w:tcPr>
          <w:p w14:paraId="66AF388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   </w:t>
            </w:r>
          </w:p>
        </w:tc>
        <w:tc>
          <w:tcPr>
            <w:tcW w:w="1134" w:type="dxa"/>
            <w:tcBorders>
              <w:top w:val="nil"/>
              <w:left w:val="nil"/>
              <w:bottom w:val="nil"/>
              <w:right w:val="nil"/>
            </w:tcBorders>
            <w:shd w:val="clear" w:color="000000" w:fill="C5D9F1"/>
            <w:noWrap/>
            <w:vAlign w:val="bottom"/>
            <w:hideMark/>
          </w:tcPr>
          <w:p w14:paraId="6B185A8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25,585 </w:t>
            </w:r>
          </w:p>
        </w:tc>
        <w:tc>
          <w:tcPr>
            <w:tcW w:w="1063" w:type="dxa"/>
            <w:tcBorders>
              <w:top w:val="nil"/>
              <w:left w:val="nil"/>
              <w:bottom w:val="nil"/>
              <w:right w:val="nil"/>
            </w:tcBorders>
            <w:shd w:val="clear" w:color="000000" w:fill="C5D9F1"/>
            <w:noWrap/>
            <w:vAlign w:val="bottom"/>
            <w:hideMark/>
          </w:tcPr>
          <w:p w14:paraId="2055AB76"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5,066 </w:t>
            </w:r>
          </w:p>
        </w:tc>
        <w:tc>
          <w:tcPr>
            <w:tcW w:w="824" w:type="dxa"/>
            <w:tcBorders>
              <w:top w:val="nil"/>
              <w:left w:val="nil"/>
              <w:bottom w:val="nil"/>
              <w:right w:val="nil"/>
            </w:tcBorders>
            <w:shd w:val="clear" w:color="000000" w:fill="C5D9F1"/>
            <w:noWrap/>
            <w:vAlign w:val="bottom"/>
            <w:hideMark/>
          </w:tcPr>
          <w:p w14:paraId="119F8D2F" w14:textId="77777777" w:rsidR="00460A5D" w:rsidRPr="00460A5D" w:rsidRDefault="00460A5D" w:rsidP="001B7116">
            <w:pPr>
              <w:spacing w:line="240" w:lineRule="auto"/>
              <w:jc w:val="right"/>
              <w:rPr>
                <w:rFonts w:asciiTheme="minorHAnsi" w:eastAsia="Times New Roman" w:hAnsiTheme="minorHAnsi" w:cstheme="minorHAnsi"/>
                <w:color w:val="000000"/>
                <w:sz w:val="16"/>
                <w:szCs w:val="16"/>
                <w:lang w:eastAsia="en-GB"/>
              </w:rPr>
            </w:pPr>
            <w:r w:rsidRPr="00460A5D">
              <w:rPr>
                <w:rFonts w:asciiTheme="minorHAnsi" w:eastAsia="Times New Roman" w:hAnsiTheme="minorHAnsi" w:cstheme="minorHAnsi"/>
                <w:color w:val="000000"/>
                <w:sz w:val="16"/>
                <w:szCs w:val="16"/>
                <w:lang w:eastAsia="en-GB"/>
              </w:rPr>
              <w:t xml:space="preserve">              30,651 </w:t>
            </w:r>
          </w:p>
        </w:tc>
      </w:tr>
    </w:tbl>
    <w:p w14:paraId="4BBC397B" w14:textId="77777777" w:rsidR="00796BE6" w:rsidRDefault="00796BE6" w:rsidP="00161E23">
      <w:pPr>
        <w:rPr>
          <w:sz w:val="16"/>
          <w:szCs w:val="16"/>
          <w:vertAlign w:val="superscript"/>
        </w:rPr>
      </w:pPr>
    </w:p>
    <w:p w14:paraId="3BEFD207" w14:textId="7E81919D" w:rsidR="00AF4E04" w:rsidRPr="00637873" w:rsidRDefault="00AF4E04" w:rsidP="00161E23">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7A5919C0" w14:textId="2473CCD2" w:rsidR="00AF4E04" w:rsidRPr="00637873" w:rsidRDefault="00AF4E04" w:rsidP="00161E23">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sidR="00FF4F56">
        <w:rPr>
          <w:sz w:val="16"/>
          <w:szCs w:val="16"/>
        </w:rPr>
        <w:t>,</w:t>
      </w:r>
      <w:r w:rsidRPr="00637873">
        <w:rPr>
          <w:sz w:val="16"/>
          <w:szCs w:val="16"/>
        </w:rPr>
        <w:t xml:space="preserve"> Car Allowance</w:t>
      </w:r>
      <w:r w:rsidR="00FF4F56">
        <w:rPr>
          <w:sz w:val="16"/>
          <w:szCs w:val="16"/>
        </w:rPr>
        <w:t>, Chief Officer Team (</w:t>
      </w:r>
      <w:r w:rsidR="00FF4F56" w:rsidRPr="00637873">
        <w:rPr>
          <w:sz w:val="16"/>
          <w:szCs w:val="16"/>
        </w:rPr>
        <w:t>COT</w:t>
      </w:r>
      <w:r w:rsidR="00FF4F56">
        <w:rPr>
          <w:sz w:val="16"/>
          <w:szCs w:val="16"/>
        </w:rPr>
        <w:t>)</w:t>
      </w:r>
      <w:r w:rsidR="00FF4F56" w:rsidRPr="00637873">
        <w:rPr>
          <w:sz w:val="16"/>
          <w:szCs w:val="16"/>
        </w:rPr>
        <w:t xml:space="preserve"> Medical Allowances, Relocation Allowances</w:t>
      </w:r>
      <w:r w:rsidR="00FF4F56">
        <w:rPr>
          <w:sz w:val="16"/>
          <w:szCs w:val="16"/>
        </w:rPr>
        <w:t>.</w:t>
      </w:r>
    </w:p>
    <w:p w14:paraId="10F16DFD" w14:textId="191540E1" w:rsidR="00796BE6" w:rsidRPr="00637873" w:rsidRDefault="00940049" w:rsidP="00161E23">
      <w:pPr>
        <w:rPr>
          <w:sz w:val="16"/>
          <w:szCs w:val="16"/>
        </w:rPr>
      </w:pPr>
      <w:r w:rsidRPr="00637873">
        <w:rPr>
          <w:rFonts w:eastAsia="Times New Roman" w:cs="Segoe UI"/>
          <w:color w:val="1A1A1A"/>
          <w:sz w:val="16"/>
          <w:szCs w:val="16"/>
          <w:vertAlign w:val="superscript"/>
          <w:lang w:eastAsia="en-GB"/>
        </w:rPr>
        <w:t>(3)</w:t>
      </w:r>
      <w:r w:rsidRPr="00637873">
        <w:rPr>
          <w:rFonts w:eastAsia="Times New Roman" w:cs="Segoe UI"/>
          <w:color w:val="1A1A1A"/>
          <w:sz w:val="16"/>
          <w:szCs w:val="16"/>
          <w:lang w:eastAsia="en-GB"/>
        </w:rPr>
        <w:t xml:space="preserve"> </w:t>
      </w:r>
      <w:r w:rsidRPr="00637873">
        <w:rPr>
          <w:sz w:val="16"/>
          <w:szCs w:val="16"/>
        </w:rPr>
        <w:t>The Deputy Chief Constable became Acting Chief Constable from 17</w:t>
      </w:r>
      <w:r w:rsidRPr="00637873">
        <w:rPr>
          <w:sz w:val="16"/>
          <w:szCs w:val="16"/>
          <w:vertAlign w:val="superscript"/>
        </w:rPr>
        <w:t>th</w:t>
      </w:r>
      <w:r w:rsidRPr="00637873">
        <w:rPr>
          <w:sz w:val="16"/>
          <w:szCs w:val="16"/>
        </w:rPr>
        <w:t xml:space="preserve"> October 2023 for the rest of the year when the substantive Chief Constable was suspended from duty.</w:t>
      </w:r>
    </w:p>
    <w:tbl>
      <w:tblPr>
        <w:tblW w:w="10065" w:type="dxa"/>
        <w:tblLayout w:type="fixed"/>
        <w:tblLook w:val="04A0" w:firstRow="1" w:lastRow="0" w:firstColumn="1" w:lastColumn="0" w:noHBand="0" w:noVBand="1"/>
      </w:tblPr>
      <w:tblGrid>
        <w:gridCol w:w="2694"/>
        <w:gridCol w:w="850"/>
        <w:gridCol w:w="851"/>
        <w:gridCol w:w="141"/>
        <w:gridCol w:w="798"/>
        <w:gridCol w:w="141"/>
        <w:gridCol w:w="798"/>
        <w:gridCol w:w="141"/>
        <w:gridCol w:w="799"/>
        <w:gridCol w:w="141"/>
        <w:gridCol w:w="798"/>
        <w:gridCol w:w="141"/>
        <w:gridCol w:w="888"/>
        <w:gridCol w:w="141"/>
        <w:gridCol w:w="743"/>
      </w:tblGrid>
      <w:tr w:rsidR="00027331" w:rsidRPr="00091D9C" w14:paraId="52EE71DA" w14:textId="77777777" w:rsidTr="00796BE6">
        <w:trPr>
          <w:trHeight w:val="66"/>
        </w:trPr>
        <w:tc>
          <w:tcPr>
            <w:tcW w:w="2694" w:type="dxa"/>
            <w:shd w:val="clear" w:color="000000" w:fill="000099"/>
            <w:vAlign w:val="bottom"/>
            <w:hideMark/>
          </w:tcPr>
          <w:p w14:paraId="584918EC" w14:textId="77777777" w:rsidR="00B554C1" w:rsidRPr="00091D9C" w:rsidRDefault="00B554C1" w:rsidP="00B554C1">
            <w:pPr>
              <w:spacing w:line="240" w:lineRule="auto"/>
              <w:jc w:val="lef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br/>
              <w:t>2022/23</w:t>
            </w:r>
            <w:r w:rsidRPr="00091D9C">
              <w:rPr>
                <w:rFonts w:asciiTheme="minorHAnsi" w:eastAsia="Times New Roman" w:hAnsiTheme="minorHAnsi" w:cstheme="minorHAnsi"/>
                <w:b/>
                <w:bCs/>
                <w:color w:val="FFFFFF"/>
                <w:sz w:val="16"/>
                <w:szCs w:val="16"/>
                <w:lang w:eastAsia="en-GB"/>
              </w:rPr>
              <w:br/>
              <w:t>Post Holder Information</w:t>
            </w:r>
          </w:p>
        </w:tc>
        <w:tc>
          <w:tcPr>
            <w:tcW w:w="850" w:type="dxa"/>
            <w:shd w:val="clear" w:color="000000" w:fill="000099"/>
            <w:vAlign w:val="bottom"/>
            <w:hideMark/>
          </w:tcPr>
          <w:p w14:paraId="074DF054"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Start Date</w:t>
            </w:r>
          </w:p>
        </w:tc>
        <w:tc>
          <w:tcPr>
            <w:tcW w:w="851" w:type="dxa"/>
            <w:shd w:val="clear" w:color="000000" w:fill="000099"/>
            <w:vAlign w:val="bottom"/>
            <w:hideMark/>
          </w:tcPr>
          <w:p w14:paraId="54096AC8" w14:textId="7D6E7948" w:rsidR="00B554C1" w:rsidRPr="00091D9C" w:rsidRDefault="00B554C1" w:rsidP="00091D9C">
            <w:pPr>
              <w:spacing w:line="240" w:lineRule="auto"/>
              <w:ind w:right="-69"/>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Leaving </w:t>
            </w:r>
            <w:r w:rsidR="00807072">
              <w:rPr>
                <w:rFonts w:asciiTheme="minorHAnsi" w:eastAsia="Times New Roman" w:hAnsiTheme="minorHAnsi" w:cstheme="minorHAnsi"/>
                <w:b/>
                <w:bCs/>
                <w:color w:val="FFFFFF"/>
                <w:sz w:val="16"/>
                <w:szCs w:val="16"/>
                <w:lang w:eastAsia="en-GB"/>
              </w:rPr>
              <w:t>D</w:t>
            </w:r>
            <w:r w:rsidRPr="00091D9C">
              <w:rPr>
                <w:rFonts w:asciiTheme="minorHAnsi" w:eastAsia="Times New Roman" w:hAnsiTheme="minorHAnsi" w:cstheme="minorHAnsi"/>
                <w:b/>
                <w:bCs/>
                <w:color w:val="FFFFFF"/>
                <w:sz w:val="16"/>
                <w:szCs w:val="16"/>
                <w:lang w:eastAsia="en-GB"/>
              </w:rPr>
              <w:t>ate</w:t>
            </w:r>
          </w:p>
        </w:tc>
        <w:tc>
          <w:tcPr>
            <w:tcW w:w="939" w:type="dxa"/>
            <w:gridSpan w:val="2"/>
            <w:shd w:val="clear" w:color="000000" w:fill="000099"/>
            <w:vAlign w:val="bottom"/>
            <w:hideMark/>
          </w:tcPr>
          <w:p w14:paraId="08525134"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Salary </w:t>
            </w:r>
          </w:p>
        </w:tc>
        <w:tc>
          <w:tcPr>
            <w:tcW w:w="939" w:type="dxa"/>
            <w:gridSpan w:val="2"/>
            <w:shd w:val="clear" w:color="000000" w:fill="000099"/>
            <w:vAlign w:val="bottom"/>
            <w:hideMark/>
          </w:tcPr>
          <w:p w14:paraId="5901E37F" w14:textId="77777777" w:rsidR="00B554C1" w:rsidRPr="00091D9C" w:rsidRDefault="00B554C1" w:rsidP="00091D9C">
            <w:pPr>
              <w:spacing w:line="240" w:lineRule="auto"/>
              <w:ind w:right="-37"/>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Expense Allowances (1) </w:t>
            </w:r>
          </w:p>
        </w:tc>
        <w:tc>
          <w:tcPr>
            <w:tcW w:w="940" w:type="dxa"/>
            <w:gridSpan w:val="2"/>
            <w:shd w:val="clear" w:color="000000" w:fill="000099"/>
            <w:vAlign w:val="bottom"/>
            <w:hideMark/>
          </w:tcPr>
          <w:p w14:paraId="66449573" w14:textId="77777777" w:rsid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Other</w:t>
            </w:r>
          </w:p>
          <w:p w14:paraId="38817466" w14:textId="437B24EE"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(2) </w:t>
            </w:r>
          </w:p>
        </w:tc>
        <w:tc>
          <w:tcPr>
            <w:tcW w:w="939" w:type="dxa"/>
            <w:gridSpan w:val="2"/>
            <w:shd w:val="clear" w:color="000000" w:fill="000099"/>
            <w:vAlign w:val="bottom"/>
            <w:hideMark/>
          </w:tcPr>
          <w:p w14:paraId="595B5128"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Total Excluding Pension</w:t>
            </w:r>
          </w:p>
        </w:tc>
        <w:tc>
          <w:tcPr>
            <w:tcW w:w="1029" w:type="dxa"/>
            <w:gridSpan w:val="2"/>
            <w:shd w:val="clear" w:color="000000" w:fill="000099"/>
            <w:vAlign w:val="bottom"/>
            <w:hideMark/>
          </w:tcPr>
          <w:p w14:paraId="1F455F26" w14:textId="77777777" w:rsidR="00B554C1" w:rsidRPr="00091D9C" w:rsidRDefault="00B554C1" w:rsidP="00091D9C">
            <w:pPr>
              <w:spacing w:line="240" w:lineRule="auto"/>
              <w:ind w:right="-52"/>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Employers Contribution </w:t>
            </w:r>
          </w:p>
        </w:tc>
        <w:tc>
          <w:tcPr>
            <w:tcW w:w="884" w:type="dxa"/>
            <w:gridSpan w:val="2"/>
            <w:shd w:val="clear" w:color="000000" w:fill="000099"/>
            <w:vAlign w:val="bottom"/>
            <w:hideMark/>
          </w:tcPr>
          <w:p w14:paraId="435FF2B2"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Total Including Pension</w:t>
            </w:r>
          </w:p>
        </w:tc>
      </w:tr>
      <w:tr w:rsidR="00027331" w:rsidRPr="00091D9C" w14:paraId="7A7104BA" w14:textId="77777777" w:rsidTr="00796BE6">
        <w:trPr>
          <w:trHeight w:val="21"/>
        </w:trPr>
        <w:tc>
          <w:tcPr>
            <w:tcW w:w="2694" w:type="dxa"/>
            <w:shd w:val="clear" w:color="000000" w:fill="000099"/>
            <w:vAlign w:val="bottom"/>
            <w:hideMark/>
          </w:tcPr>
          <w:p w14:paraId="20929436" w14:textId="77777777" w:rsidR="00B554C1" w:rsidRPr="00091D9C" w:rsidRDefault="00B554C1" w:rsidP="00B554C1">
            <w:pPr>
              <w:spacing w:line="240" w:lineRule="auto"/>
              <w:jc w:val="lef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850" w:type="dxa"/>
            <w:shd w:val="clear" w:color="000000" w:fill="000099"/>
            <w:vAlign w:val="bottom"/>
            <w:hideMark/>
          </w:tcPr>
          <w:p w14:paraId="324C9131"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851" w:type="dxa"/>
            <w:shd w:val="clear" w:color="000000" w:fill="000099"/>
            <w:vAlign w:val="bottom"/>
            <w:hideMark/>
          </w:tcPr>
          <w:p w14:paraId="3E6AD9C5" w14:textId="77777777" w:rsidR="00B554C1" w:rsidRPr="00091D9C" w:rsidRDefault="00B554C1" w:rsidP="00B554C1">
            <w:pPr>
              <w:spacing w:line="240" w:lineRule="auto"/>
              <w:jc w:val="center"/>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w:t>
            </w:r>
          </w:p>
        </w:tc>
        <w:tc>
          <w:tcPr>
            <w:tcW w:w="939" w:type="dxa"/>
            <w:gridSpan w:val="2"/>
            <w:shd w:val="clear" w:color="000000" w:fill="000099"/>
            <w:vAlign w:val="bottom"/>
            <w:hideMark/>
          </w:tcPr>
          <w:p w14:paraId="243133A8"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39" w:type="dxa"/>
            <w:gridSpan w:val="2"/>
            <w:shd w:val="clear" w:color="000000" w:fill="000099"/>
            <w:vAlign w:val="bottom"/>
            <w:hideMark/>
          </w:tcPr>
          <w:p w14:paraId="0E978CC0"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40" w:type="dxa"/>
            <w:gridSpan w:val="2"/>
            <w:shd w:val="clear" w:color="000000" w:fill="000099"/>
            <w:vAlign w:val="bottom"/>
            <w:hideMark/>
          </w:tcPr>
          <w:p w14:paraId="66FF579F"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939" w:type="dxa"/>
            <w:gridSpan w:val="2"/>
            <w:shd w:val="clear" w:color="000000" w:fill="000099"/>
            <w:vAlign w:val="bottom"/>
            <w:hideMark/>
          </w:tcPr>
          <w:p w14:paraId="6CD15F9A"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w:t>
            </w:r>
          </w:p>
        </w:tc>
        <w:tc>
          <w:tcPr>
            <w:tcW w:w="1029" w:type="dxa"/>
            <w:gridSpan w:val="2"/>
            <w:shd w:val="clear" w:color="000000" w:fill="000099"/>
            <w:vAlign w:val="bottom"/>
            <w:hideMark/>
          </w:tcPr>
          <w:p w14:paraId="374D85EA"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 xml:space="preserve"> £ </w:t>
            </w:r>
          </w:p>
        </w:tc>
        <w:tc>
          <w:tcPr>
            <w:tcW w:w="884" w:type="dxa"/>
            <w:gridSpan w:val="2"/>
            <w:shd w:val="clear" w:color="000000" w:fill="000099"/>
            <w:vAlign w:val="bottom"/>
            <w:hideMark/>
          </w:tcPr>
          <w:p w14:paraId="34173C4C" w14:textId="77777777" w:rsidR="00B554C1" w:rsidRPr="00091D9C" w:rsidRDefault="00B554C1" w:rsidP="00091D9C">
            <w:pPr>
              <w:spacing w:line="240" w:lineRule="auto"/>
              <w:jc w:val="right"/>
              <w:rPr>
                <w:rFonts w:asciiTheme="minorHAnsi" w:eastAsia="Times New Roman" w:hAnsiTheme="minorHAnsi" w:cstheme="minorHAnsi"/>
                <w:b/>
                <w:bCs/>
                <w:color w:val="FFFFFF"/>
                <w:sz w:val="16"/>
                <w:szCs w:val="16"/>
                <w:lang w:eastAsia="en-GB"/>
              </w:rPr>
            </w:pPr>
            <w:r w:rsidRPr="00091D9C">
              <w:rPr>
                <w:rFonts w:asciiTheme="minorHAnsi" w:eastAsia="Times New Roman" w:hAnsiTheme="minorHAnsi" w:cstheme="minorHAnsi"/>
                <w:b/>
                <w:bCs/>
                <w:color w:val="FFFFFF"/>
                <w:sz w:val="16"/>
                <w:szCs w:val="16"/>
                <w:lang w:eastAsia="en-GB"/>
              </w:rPr>
              <w:t>£</w:t>
            </w:r>
          </w:p>
        </w:tc>
      </w:tr>
      <w:tr w:rsidR="00770D9E" w:rsidRPr="00091D9C" w14:paraId="24FA526B" w14:textId="77777777" w:rsidTr="001B7116">
        <w:trPr>
          <w:trHeight w:val="340"/>
        </w:trPr>
        <w:tc>
          <w:tcPr>
            <w:tcW w:w="2694" w:type="dxa"/>
            <w:shd w:val="clear" w:color="000000" w:fill="FFFFFF"/>
            <w:noWrap/>
            <w:vAlign w:val="bottom"/>
            <w:hideMark/>
          </w:tcPr>
          <w:p w14:paraId="5CCF3A98" w14:textId="553A2790"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Nick Adderley - Chief Constable (3)</w:t>
            </w:r>
          </w:p>
        </w:tc>
        <w:tc>
          <w:tcPr>
            <w:tcW w:w="850" w:type="dxa"/>
            <w:shd w:val="clear" w:color="000000" w:fill="FFFFFF"/>
            <w:noWrap/>
            <w:vAlign w:val="bottom"/>
            <w:hideMark/>
          </w:tcPr>
          <w:p w14:paraId="1507D022" w14:textId="6D5DAE51"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06/08/18</w:t>
            </w:r>
          </w:p>
        </w:tc>
        <w:tc>
          <w:tcPr>
            <w:tcW w:w="992" w:type="dxa"/>
            <w:gridSpan w:val="2"/>
            <w:shd w:val="clear" w:color="000000" w:fill="FFFFFF"/>
            <w:noWrap/>
            <w:vAlign w:val="bottom"/>
            <w:hideMark/>
          </w:tcPr>
          <w:p w14:paraId="67C865F1" w14:textId="0978F8F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27/02/23</w:t>
            </w:r>
          </w:p>
        </w:tc>
        <w:tc>
          <w:tcPr>
            <w:tcW w:w="939" w:type="dxa"/>
            <w:gridSpan w:val="2"/>
            <w:shd w:val="clear" w:color="auto" w:fill="FFFFFF" w:themeFill="background1"/>
            <w:noWrap/>
            <w:vAlign w:val="bottom"/>
            <w:hideMark/>
          </w:tcPr>
          <w:p w14:paraId="0DFBB43B" w14:textId="430F709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146,771 </w:t>
            </w:r>
          </w:p>
        </w:tc>
        <w:tc>
          <w:tcPr>
            <w:tcW w:w="939" w:type="dxa"/>
            <w:gridSpan w:val="2"/>
            <w:shd w:val="clear" w:color="auto" w:fill="FFFFFF" w:themeFill="background1"/>
            <w:noWrap/>
            <w:vAlign w:val="bottom"/>
            <w:hideMark/>
          </w:tcPr>
          <w:p w14:paraId="0C3E0192" w14:textId="6D7D26FE"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2,217 </w:t>
            </w:r>
          </w:p>
        </w:tc>
        <w:tc>
          <w:tcPr>
            <w:tcW w:w="940" w:type="dxa"/>
            <w:gridSpan w:val="2"/>
            <w:shd w:val="clear" w:color="auto" w:fill="FFFFFF" w:themeFill="background1"/>
            <w:noWrap/>
            <w:vAlign w:val="bottom"/>
            <w:hideMark/>
          </w:tcPr>
          <w:p w14:paraId="41CEF21D" w14:textId="33154E5D"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3,371 </w:t>
            </w:r>
          </w:p>
        </w:tc>
        <w:tc>
          <w:tcPr>
            <w:tcW w:w="939" w:type="dxa"/>
            <w:gridSpan w:val="2"/>
            <w:shd w:val="clear" w:color="auto" w:fill="FFFFFF" w:themeFill="background1"/>
            <w:noWrap/>
            <w:vAlign w:val="bottom"/>
            <w:hideMark/>
          </w:tcPr>
          <w:p w14:paraId="3B2B2597" w14:textId="08FAF5E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152,359 </w:t>
            </w:r>
          </w:p>
        </w:tc>
        <w:tc>
          <w:tcPr>
            <w:tcW w:w="1029" w:type="dxa"/>
            <w:gridSpan w:val="2"/>
            <w:shd w:val="clear" w:color="auto" w:fill="FFFFFF" w:themeFill="background1"/>
            <w:noWrap/>
            <w:vAlign w:val="bottom"/>
            <w:hideMark/>
          </w:tcPr>
          <w:p w14:paraId="014DF0A5" w14:textId="63C19A5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743" w:type="dxa"/>
            <w:shd w:val="clear" w:color="auto" w:fill="FFFFFF" w:themeFill="background1"/>
            <w:noWrap/>
            <w:vAlign w:val="bottom"/>
            <w:hideMark/>
          </w:tcPr>
          <w:p w14:paraId="261594CD" w14:textId="5F6768D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152,359 </w:t>
            </w:r>
          </w:p>
        </w:tc>
      </w:tr>
      <w:tr w:rsidR="00770D9E" w:rsidRPr="00091D9C" w14:paraId="222437EF" w14:textId="77777777" w:rsidTr="001B7116">
        <w:trPr>
          <w:trHeight w:val="340"/>
        </w:trPr>
        <w:tc>
          <w:tcPr>
            <w:tcW w:w="2694" w:type="dxa"/>
            <w:shd w:val="clear" w:color="000000" w:fill="FFFFFF"/>
            <w:noWrap/>
            <w:vAlign w:val="bottom"/>
            <w:hideMark/>
          </w:tcPr>
          <w:p w14:paraId="32389EF6" w14:textId="6C618D89"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 xml:space="preserve">Paul Gibson </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w:t>
            </w:r>
            <w:r w:rsidR="002E1C9B">
              <w:rPr>
                <w:rFonts w:eastAsia="Times New Roman" w:cs="Calibri"/>
                <w:color w:val="auto"/>
                <w:sz w:val="16"/>
                <w:szCs w:val="16"/>
                <w:lang w:eastAsia="en-GB"/>
              </w:rPr>
              <w:t>T/</w:t>
            </w:r>
            <w:r w:rsidRPr="00770D9E">
              <w:rPr>
                <w:rFonts w:eastAsia="Times New Roman" w:cs="Calibri"/>
                <w:color w:val="auto"/>
                <w:sz w:val="16"/>
                <w:szCs w:val="16"/>
                <w:lang w:eastAsia="en-GB"/>
              </w:rPr>
              <w:t xml:space="preserve"> Chief Constable (3)</w:t>
            </w:r>
          </w:p>
        </w:tc>
        <w:tc>
          <w:tcPr>
            <w:tcW w:w="850" w:type="dxa"/>
            <w:shd w:val="clear" w:color="000000" w:fill="FFFFFF"/>
            <w:noWrap/>
            <w:vAlign w:val="bottom"/>
            <w:hideMark/>
          </w:tcPr>
          <w:p w14:paraId="41371B85" w14:textId="066B5F09"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27/02/23</w:t>
            </w:r>
          </w:p>
        </w:tc>
        <w:tc>
          <w:tcPr>
            <w:tcW w:w="992" w:type="dxa"/>
            <w:gridSpan w:val="2"/>
            <w:shd w:val="clear" w:color="000000" w:fill="FFFFFF"/>
            <w:noWrap/>
            <w:vAlign w:val="bottom"/>
            <w:hideMark/>
          </w:tcPr>
          <w:p w14:paraId="7A279ED5" w14:textId="7BF1E7A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31/03/23</w:t>
            </w:r>
          </w:p>
        </w:tc>
        <w:tc>
          <w:tcPr>
            <w:tcW w:w="939" w:type="dxa"/>
            <w:gridSpan w:val="2"/>
            <w:shd w:val="clear" w:color="auto" w:fill="FFFFFF" w:themeFill="background1"/>
            <w:noWrap/>
            <w:vAlign w:val="bottom"/>
            <w:hideMark/>
          </w:tcPr>
          <w:p w14:paraId="5D054DE9" w14:textId="7AB43F25"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r w:rsidR="00770D9E"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2F8AB94A" w14:textId="1B8F8D12"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940" w:type="dxa"/>
            <w:gridSpan w:val="2"/>
            <w:shd w:val="clear" w:color="auto" w:fill="FFFFFF" w:themeFill="background1"/>
            <w:noWrap/>
            <w:vAlign w:val="bottom"/>
            <w:hideMark/>
          </w:tcPr>
          <w:p w14:paraId="77F316F5" w14:textId="0E3004BE"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939" w:type="dxa"/>
            <w:gridSpan w:val="2"/>
            <w:shd w:val="clear" w:color="auto" w:fill="FFFFFF" w:themeFill="background1"/>
            <w:noWrap/>
            <w:vAlign w:val="bottom"/>
            <w:hideMark/>
          </w:tcPr>
          <w:p w14:paraId="43C4B55B" w14:textId="51270B0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1029" w:type="dxa"/>
            <w:gridSpan w:val="2"/>
            <w:shd w:val="clear" w:color="auto" w:fill="FFFFFF" w:themeFill="background1"/>
            <w:noWrap/>
            <w:vAlign w:val="bottom"/>
            <w:hideMark/>
          </w:tcPr>
          <w:p w14:paraId="6C6E43BD" w14:textId="2BD0774E" w:rsidR="00770D9E" w:rsidRPr="00770D9E" w:rsidRDefault="00637873" w:rsidP="00770D9E">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743" w:type="dxa"/>
            <w:shd w:val="clear" w:color="auto" w:fill="FFFFFF" w:themeFill="background1"/>
            <w:noWrap/>
            <w:vAlign w:val="bottom"/>
            <w:hideMark/>
          </w:tcPr>
          <w:p w14:paraId="5D29A823" w14:textId="079D0C2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19,316 </w:t>
            </w:r>
          </w:p>
        </w:tc>
      </w:tr>
      <w:tr w:rsidR="00770D9E" w:rsidRPr="00091D9C" w14:paraId="36D2A317" w14:textId="77777777" w:rsidTr="001B7116">
        <w:trPr>
          <w:trHeight w:val="340"/>
        </w:trPr>
        <w:tc>
          <w:tcPr>
            <w:tcW w:w="2694" w:type="dxa"/>
            <w:shd w:val="clear" w:color="000000" w:fill="FFFFFF"/>
            <w:noWrap/>
            <w:vAlign w:val="bottom"/>
            <w:hideMark/>
          </w:tcPr>
          <w:p w14:paraId="628290E8" w14:textId="7CC24CEF"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Deputy Chief Constable (4)</w:t>
            </w:r>
          </w:p>
        </w:tc>
        <w:tc>
          <w:tcPr>
            <w:tcW w:w="850" w:type="dxa"/>
            <w:shd w:val="clear" w:color="000000" w:fill="FFFFFF"/>
            <w:noWrap/>
            <w:vAlign w:val="bottom"/>
            <w:hideMark/>
          </w:tcPr>
          <w:p w14:paraId="45FE0041" w14:textId="351D885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04/02/19</w:t>
            </w:r>
          </w:p>
        </w:tc>
        <w:tc>
          <w:tcPr>
            <w:tcW w:w="992" w:type="dxa"/>
            <w:gridSpan w:val="2"/>
            <w:shd w:val="clear" w:color="000000" w:fill="FFFFFF"/>
            <w:noWrap/>
            <w:vAlign w:val="bottom"/>
            <w:hideMark/>
          </w:tcPr>
          <w:p w14:paraId="3C5C8DA3" w14:textId="350C9103"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05/07/22</w:t>
            </w:r>
          </w:p>
        </w:tc>
        <w:tc>
          <w:tcPr>
            <w:tcW w:w="939" w:type="dxa"/>
            <w:gridSpan w:val="2"/>
            <w:shd w:val="clear" w:color="auto" w:fill="FFFFFF" w:themeFill="background1"/>
            <w:noWrap/>
            <w:vAlign w:val="bottom"/>
            <w:hideMark/>
          </w:tcPr>
          <w:p w14:paraId="45B27FC1" w14:textId="2962AD6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32,583 </w:t>
            </w:r>
          </w:p>
        </w:tc>
        <w:tc>
          <w:tcPr>
            <w:tcW w:w="939" w:type="dxa"/>
            <w:gridSpan w:val="2"/>
            <w:shd w:val="clear" w:color="auto" w:fill="FFFFFF" w:themeFill="background1"/>
            <w:noWrap/>
            <w:vAlign w:val="bottom"/>
            <w:hideMark/>
          </w:tcPr>
          <w:p w14:paraId="6BDBEB46" w14:textId="39B95B0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6EDDC64D" w14:textId="537DE77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1,134 </w:t>
            </w:r>
          </w:p>
        </w:tc>
        <w:tc>
          <w:tcPr>
            <w:tcW w:w="939" w:type="dxa"/>
            <w:gridSpan w:val="2"/>
            <w:shd w:val="clear" w:color="auto" w:fill="FFFFFF" w:themeFill="background1"/>
            <w:noWrap/>
            <w:vAlign w:val="bottom"/>
            <w:hideMark/>
          </w:tcPr>
          <w:p w14:paraId="4D0D6B23" w14:textId="33E972D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33,717 </w:t>
            </w:r>
          </w:p>
        </w:tc>
        <w:tc>
          <w:tcPr>
            <w:tcW w:w="1029" w:type="dxa"/>
            <w:gridSpan w:val="2"/>
            <w:shd w:val="clear" w:color="auto" w:fill="FFFFFF" w:themeFill="background1"/>
            <w:noWrap/>
            <w:vAlign w:val="bottom"/>
            <w:hideMark/>
          </w:tcPr>
          <w:p w14:paraId="16D3FE9A" w14:textId="1385E16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10,101 </w:t>
            </w:r>
          </w:p>
        </w:tc>
        <w:tc>
          <w:tcPr>
            <w:tcW w:w="743" w:type="dxa"/>
            <w:shd w:val="clear" w:color="auto" w:fill="FFFFFF" w:themeFill="background1"/>
            <w:noWrap/>
            <w:vAlign w:val="bottom"/>
            <w:hideMark/>
          </w:tcPr>
          <w:p w14:paraId="5DDB081A" w14:textId="33900B1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43,818 </w:t>
            </w:r>
          </w:p>
        </w:tc>
      </w:tr>
      <w:tr w:rsidR="00770D9E" w:rsidRPr="00091D9C" w14:paraId="3CF0BA6F" w14:textId="77777777" w:rsidTr="001B7116">
        <w:trPr>
          <w:trHeight w:val="340"/>
        </w:trPr>
        <w:tc>
          <w:tcPr>
            <w:tcW w:w="2694" w:type="dxa"/>
            <w:shd w:val="clear" w:color="000000" w:fill="FFFFFF"/>
            <w:noWrap/>
            <w:vAlign w:val="bottom"/>
            <w:hideMark/>
          </w:tcPr>
          <w:p w14:paraId="49C7746F" w14:textId="7979474A"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T</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Deputy Chief Constable</w:t>
            </w:r>
          </w:p>
        </w:tc>
        <w:tc>
          <w:tcPr>
            <w:tcW w:w="850" w:type="dxa"/>
            <w:shd w:val="clear" w:color="000000" w:fill="FFFFFF"/>
            <w:noWrap/>
            <w:vAlign w:val="bottom"/>
            <w:hideMark/>
          </w:tcPr>
          <w:p w14:paraId="03CAA051" w14:textId="30E0EBA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19/12/22</w:t>
            </w:r>
          </w:p>
        </w:tc>
        <w:tc>
          <w:tcPr>
            <w:tcW w:w="992" w:type="dxa"/>
            <w:gridSpan w:val="2"/>
            <w:shd w:val="clear" w:color="000000" w:fill="FFFFFF"/>
            <w:noWrap/>
            <w:vAlign w:val="bottom"/>
            <w:hideMark/>
          </w:tcPr>
          <w:p w14:paraId="0F74FCAD" w14:textId="6081FDD4"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160E23A2" w14:textId="09257A3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35,785 </w:t>
            </w:r>
          </w:p>
        </w:tc>
        <w:tc>
          <w:tcPr>
            <w:tcW w:w="939" w:type="dxa"/>
            <w:gridSpan w:val="2"/>
            <w:shd w:val="clear" w:color="auto" w:fill="FFFFFF" w:themeFill="background1"/>
            <w:noWrap/>
            <w:vAlign w:val="bottom"/>
            <w:hideMark/>
          </w:tcPr>
          <w:p w14:paraId="3779CCD4" w14:textId="7DB309B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56B3A5B9" w14:textId="52EC90F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44E999B3" w14:textId="3C32DCF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35,785 </w:t>
            </w:r>
          </w:p>
        </w:tc>
        <w:tc>
          <w:tcPr>
            <w:tcW w:w="1029" w:type="dxa"/>
            <w:gridSpan w:val="2"/>
            <w:shd w:val="clear" w:color="auto" w:fill="FFFFFF" w:themeFill="background1"/>
            <w:noWrap/>
            <w:vAlign w:val="bottom"/>
            <w:hideMark/>
          </w:tcPr>
          <w:p w14:paraId="50BA4CA8" w14:textId="50D3716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11,093 </w:t>
            </w:r>
          </w:p>
        </w:tc>
        <w:tc>
          <w:tcPr>
            <w:tcW w:w="743" w:type="dxa"/>
            <w:shd w:val="clear" w:color="auto" w:fill="FFFFFF" w:themeFill="background1"/>
            <w:noWrap/>
            <w:vAlign w:val="bottom"/>
            <w:hideMark/>
          </w:tcPr>
          <w:p w14:paraId="161BA0B3" w14:textId="18FCE05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46,878 </w:t>
            </w:r>
          </w:p>
        </w:tc>
      </w:tr>
      <w:tr w:rsidR="00770D9E" w:rsidRPr="00091D9C" w14:paraId="6366314D" w14:textId="77777777" w:rsidTr="001B7116">
        <w:trPr>
          <w:trHeight w:val="340"/>
        </w:trPr>
        <w:tc>
          <w:tcPr>
            <w:tcW w:w="2694" w:type="dxa"/>
            <w:shd w:val="clear" w:color="000000" w:fill="FFFFFF"/>
            <w:noWrap/>
            <w:vAlign w:val="bottom"/>
            <w:hideMark/>
          </w:tcPr>
          <w:p w14:paraId="7A2D1222" w14:textId="183FF8AC"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T</w:t>
            </w:r>
            <w:r w:rsidR="002E1C9B">
              <w:rPr>
                <w:rFonts w:eastAsia="Times New Roman" w:cs="Calibri"/>
                <w:color w:val="auto"/>
                <w:sz w:val="16"/>
                <w:szCs w:val="16"/>
                <w:lang w:eastAsia="en-GB"/>
              </w:rPr>
              <w:t>/</w:t>
            </w:r>
            <w:r w:rsidRPr="00770D9E">
              <w:rPr>
                <w:rFonts w:eastAsia="Times New Roman" w:cs="Calibri"/>
                <w:color w:val="auto"/>
                <w:sz w:val="16"/>
                <w:szCs w:val="16"/>
                <w:lang w:eastAsia="en-GB"/>
              </w:rPr>
              <w:t xml:space="preserve"> Deputy Chief Constable (4)</w:t>
            </w:r>
          </w:p>
        </w:tc>
        <w:tc>
          <w:tcPr>
            <w:tcW w:w="850" w:type="dxa"/>
            <w:shd w:val="clear" w:color="000000" w:fill="FFFFFF"/>
            <w:noWrap/>
            <w:vAlign w:val="center"/>
            <w:hideMark/>
          </w:tcPr>
          <w:p w14:paraId="7F0156FD" w14:textId="77777777" w:rsidR="00807072" w:rsidRDefault="00807072" w:rsidP="00770D9E">
            <w:pPr>
              <w:spacing w:line="240" w:lineRule="auto"/>
              <w:jc w:val="center"/>
              <w:rPr>
                <w:rFonts w:eastAsia="Times New Roman" w:cs="Calibri"/>
                <w:color w:val="auto"/>
                <w:sz w:val="16"/>
                <w:szCs w:val="16"/>
                <w:lang w:eastAsia="en-GB"/>
              </w:rPr>
            </w:pPr>
          </w:p>
          <w:p w14:paraId="2E1D8C14" w14:textId="6E4C4509"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23/05/22</w:t>
            </w:r>
          </w:p>
        </w:tc>
        <w:tc>
          <w:tcPr>
            <w:tcW w:w="992" w:type="dxa"/>
            <w:gridSpan w:val="2"/>
            <w:shd w:val="clear" w:color="000000" w:fill="FFFFFF"/>
            <w:noWrap/>
            <w:vAlign w:val="center"/>
            <w:hideMark/>
          </w:tcPr>
          <w:p w14:paraId="55052934" w14:textId="77777777" w:rsidR="00807072" w:rsidRDefault="00807072" w:rsidP="00770D9E">
            <w:pPr>
              <w:spacing w:line="240" w:lineRule="auto"/>
              <w:jc w:val="center"/>
              <w:rPr>
                <w:rFonts w:eastAsia="Times New Roman" w:cs="Calibri"/>
                <w:color w:val="auto"/>
                <w:sz w:val="16"/>
                <w:szCs w:val="16"/>
                <w:lang w:eastAsia="en-GB"/>
              </w:rPr>
            </w:pPr>
          </w:p>
          <w:p w14:paraId="3E939A22" w14:textId="1E704B4A"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11/11/22</w:t>
            </w:r>
          </w:p>
        </w:tc>
        <w:tc>
          <w:tcPr>
            <w:tcW w:w="939" w:type="dxa"/>
            <w:gridSpan w:val="2"/>
            <w:shd w:val="clear" w:color="auto" w:fill="FFFFFF" w:themeFill="background1"/>
            <w:noWrap/>
            <w:vAlign w:val="bottom"/>
            <w:hideMark/>
          </w:tcPr>
          <w:p w14:paraId="3F8CCD0A" w14:textId="6FE44FCF"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59,180 </w:t>
            </w:r>
          </w:p>
        </w:tc>
        <w:tc>
          <w:tcPr>
            <w:tcW w:w="939" w:type="dxa"/>
            <w:gridSpan w:val="2"/>
            <w:shd w:val="clear" w:color="auto" w:fill="FFFFFF" w:themeFill="background1"/>
            <w:noWrap/>
            <w:vAlign w:val="bottom"/>
            <w:hideMark/>
          </w:tcPr>
          <w:p w14:paraId="17A2C570" w14:textId="6A7A7DE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996 </w:t>
            </w:r>
          </w:p>
        </w:tc>
        <w:tc>
          <w:tcPr>
            <w:tcW w:w="940" w:type="dxa"/>
            <w:gridSpan w:val="2"/>
            <w:shd w:val="clear" w:color="auto" w:fill="FFFFFF" w:themeFill="background1"/>
            <w:noWrap/>
            <w:vAlign w:val="bottom"/>
            <w:hideMark/>
          </w:tcPr>
          <w:p w14:paraId="5A7D1421" w14:textId="7237FD8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4,639 </w:t>
            </w:r>
          </w:p>
        </w:tc>
        <w:tc>
          <w:tcPr>
            <w:tcW w:w="939" w:type="dxa"/>
            <w:gridSpan w:val="2"/>
            <w:shd w:val="clear" w:color="auto" w:fill="FFFFFF" w:themeFill="background1"/>
            <w:noWrap/>
            <w:vAlign w:val="bottom"/>
            <w:hideMark/>
          </w:tcPr>
          <w:p w14:paraId="0B7A29E8" w14:textId="56B67FB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64,815 </w:t>
            </w:r>
          </w:p>
        </w:tc>
        <w:tc>
          <w:tcPr>
            <w:tcW w:w="1029" w:type="dxa"/>
            <w:gridSpan w:val="2"/>
            <w:shd w:val="clear" w:color="auto" w:fill="FFFFFF" w:themeFill="background1"/>
            <w:noWrap/>
            <w:vAlign w:val="bottom"/>
            <w:hideMark/>
          </w:tcPr>
          <w:p w14:paraId="68A65CAE" w14:textId="2C8A663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18,346 </w:t>
            </w:r>
          </w:p>
        </w:tc>
        <w:tc>
          <w:tcPr>
            <w:tcW w:w="743" w:type="dxa"/>
            <w:shd w:val="clear" w:color="auto" w:fill="FFFFFF" w:themeFill="background1"/>
            <w:noWrap/>
            <w:vAlign w:val="bottom"/>
            <w:hideMark/>
          </w:tcPr>
          <w:p w14:paraId="513E7047" w14:textId="4B61553B"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83,161 </w:t>
            </w:r>
          </w:p>
        </w:tc>
      </w:tr>
      <w:tr w:rsidR="00770D9E" w:rsidRPr="00091D9C" w14:paraId="0C7971FE" w14:textId="77777777" w:rsidTr="001B7116">
        <w:trPr>
          <w:trHeight w:val="340"/>
        </w:trPr>
        <w:tc>
          <w:tcPr>
            <w:tcW w:w="2694" w:type="dxa"/>
            <w:shd w:val="clear" w:color="000000" w:fill="FFFFFF"/>
            <w:noWrap/>
            <w:vAlign w:val="bottom"/>
            <w:hideMark/>
          </w:tcPr>
          <w:p w14:paraId="627E4B2F" w14:textId="2634AA5B" w:rsidR="00770D9E" w:rsidRPr="00770D9E" w:rsidRDefault="002E1C9B" w:rsidP="00770D9E">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770D9E" w:rsidRPr="00770D9E">
              <w:rPr>
                <w:rFonts w:eastAsia="Times New Roman" w:cs="Calibri"/>
                <w:color w:val="auto"/>
                <w:sz w:val="16"/>
                <w:szCs w:val="16"/>
                <w:lang w:eastAsia="en-GB"/>
              </w:rPr>
              <w:t xml:space="preserve"> Assistant Constable (4)</w:t>
            </w:r>
          </w:p>
        </w:tc>
        <w:tc>
          <w:tcPr>
            <w:tcW w:w="850" w:type="dxa"/>
            <w:shd w:val="clear" w:color="000000" w:fill="FFFFFF"/>
            <w:noWrap/>
            <w:vAlign w:val="center"/>
            <w:hideMark/>
          </w:tcPr>
          <w:p w14:paraId="6DB708C6" w14:textId="77777777" w:rsidR="00807072" w:rsidRDefault="00807072" w:rsidP="00770D9E">
            <w:pPr>
              <w:spacing w:line="240" w:lineRule="auto"/>
              <w:jc w:val="center"/>
              <w:rPr>
                <w:rFonts w:eastAsia="Times New Roman" w:cs="Calibri"/>
                <w:color w:val="auto"/>
                <w:sz w:val="16"/>
                <w:szCs w:val="16"/>
                <w:lang w:eastAsia="en-GB"/>
              </w:rPr>
            </w:pPr>
          </w:p>
          <w:p w14:paraId="22173FB7" w14:textId="269CF02F"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01/10/19</w:t>
            </w:r>
          </w:p>
        </w:tc>
        <w:tc>
          <w:tcPr>
            <w:tcW w:w="992" w:type="dxa"/>
            <w:gridSpan w:val="2"/>
            <w:shd w:val="clear" w:color="000000" w:fill="FFFFFF"/>
            <w:noWrap/>
            <w:vAlign w:val="center"/>
            <w:hideMark/>
          </w:tcPr>
          <w:p w14:paraId="06721020" w14:textId="77777777" w:rsidR="00807072" w:rsidRDefault="00807072" w:rsidP="00770D9E">
            <w:pPr>
              <w:spacing w:line="240" w:lineRule="auto"/>
              <w:jc w:val="center"/>
              <w:rPr>
                <w:rFonts w:eastAsia="Times New Roman" w:cs="Calibri"/>
                <w:color w:val="auto"/>
                <w:sz w:val="16"/>
                <w:szCs w:val="16"/>
                <w:lang w:eastAsia="en-GB"/>
              </w:rPr>
            </w:pPr>
          </w:p>
          <w:p w14:paraId="70F409B2" w14:textId="0C0DBF56"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22/05/22</w:t>
            </w:r>
          </w:p>
        </w:tc>
        <w:tc>
          <w:tcPr>
            <w:tcW w:w="939" w:type="dxa"/>
            <w:gridSpan w:val="2"/>
            <w:shd w:val="clear" w:color="auto" w:fill="FFFFFF" w:themeFill="background1"/>
            <w:noWrap/>
            <w:vAlign w:val="bottom"/>
            <w:hideMark/>
          </w:tcPr>
          <w:p w14:paraId="5D24F709" w14:textId="583FC946"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16,487 </w:t>
            </w:r>
          </w:p>
        </w:tc>
        <w:tc>
          <w:tcPr>
            <w:tcW w:w="939" w:type="dxa"/>
            <w:gridSpan w:val="2"/>
            <w:shd w:val="clear" w:color="auto" w:fill="FFFFFF" w:themeFill="background1"/>
            <w:noWrap/>
            <w:vAlign w:val="bottom"/>
            <w:hideMark/>
          </w:tcPr>
          <w:p w14:paraId="6E25FA65" w14:textId="715F80E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95 </w:t>
            </w:r>
          </w:p>
        </w:tc>
        <w:tc>
          <w:tcPr>
            <w:tcW w:w="940" w:type="dxa"/>
            <w:gridSpan w:val="2"/>
            <w:shd w:val="clear" w:color="auto" w:fill="FFFFFF" w:themeFill="background1"/>
            <w:noWrap/>
            <w:vAlign w:val="bottom"/>
            <w:hideMark/>
          </w:tcPr>
          <w:p w14:paraId="4203E4A2" w14:textId="2476C99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1,336 </w:t>
            </w:r>
          </w:p>
        </w:tc>
        <w:tc>
          <w:tcPr>
            <w:tcW w:w="939" w:type="dxa"/>
            <w:gridSpan w:val="2"/>
            <w:shd w:val="clear" w:color="auto" w:fill="FFFFFF" w:themeFill="background1"/>
            <w:noWrap/>
            <w:vAlign w:val="bottom"/>
            <w:hideMark/>
          </w:tcPr>
          <w:p w14:paraId="2A670314" w14:textId="1A24CEE2"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17,918 </w:t>
            </w:r>
          </w:p>
        </w:tc>
        <w:tc>
          <w:tcPr>
            <w:tcW w:w="1029" w:type="dxa"/>
            <w:gridSpan w:val="2"/>
            <w:shd w:val="clear" w:color="auto" w:fill="FFFFFF" w:themeFill="background1"/>
            <w:noWrap/>
            <w:vAlign w:val="bottom"/>
            <w:hideMark/>
          </w:tcPr>
          <w:p w14:paraId="4CEDE324" w14:textId="203D5B2C"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5,111 </w:t>
            </w:r>
          </w:p>
        </w:tc>
        <w:tc>
          <w:tcPr>
            <w:tcW w:w="743" w:type="dxa"/>
            <w:shd w:val="clear" w:color="auto" w:fill="FFFFFF" w:themeFill="background1"/>
            <w:noWrap/>
            <w:vAlign w:val="bottom"/>
            <w:hideMark/>
          </w:tcPr>
          <w:p w14:paraId="5D2FC3DA" w14:textId="53B4837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23,028 </w:t>
            </w:r>
          </w:p>
        </w:tc>
      </w:tr>
      <w:tr w:rsidR="00770D9E" w:rsidRPr="00091D9C" w14:paraId="3E4D9D63" w14:textId="77777777" w:rsidTr="001B7116">
        <w:trPr>
          <w:trHeight w:val="340"/>
        </w:trPr>
        <w:tc>
          <w:tcPr>
            <w:tcW w:w="2694" w:type="dxa"/>
            <w:shd w:val="clear" w:color="000000" w:fill="FFFFFF"/>
            <w:noWrap/>
            <w:vAlign w:val="bottom"/>
            <w:hideMark/>
          </w:tcPr>
          <w:p w14:paraId="305DEE62" w14:textId="38F55209" w:rsidR="00770D9E" w:rsidRPr="00770D9E" w:rsidRDefault="002E1C9B" w:rsidP="00770D9E">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770D9E" w:rsidRPr="00770D9E">
              <w:rPr>
                <w:rFonts w:eastAsia="Times New Roman" w:cs="Calibri"/>
                <w:color w:val="auto"/>
                <w:sz w:val="16"/>
                <w:szCs w:val="16"/>
                <w:lang w:eastAsia="en-GB"/>
              </w:rPr>
              <w:t xml:space="preserve"> Assistant Chief Constable</w:t>
            </w:r>
          </w:p>
        </w:tc>
        <w:tc>
          <w:tcPr>
            <w:tcW w:w="850" w:type="dxa"/>
            <w:shd w:val="clear" w:color="000000" w:fill="FFFFFF"/>
            <w:noWrap/>
            <w:vAlign w:val="bottom"/>
            <w:hideMark/>
          </w:tcPr>
          <w:p w14:paraId="1E8EE764" w14:textId="33E29140"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09/05/22</w:t>
            </w:r>
          </w:p>
        </w:tc>
        <w:tc>
          <w:tcPr>
            <w:tcW w:w="992" w:type="dxa"/>
            <w:gridSpan w:val="2"/>
            <w:shd w:val="clear" w:color="000000" w:fill="FFFFFF"/>
            <w:noWrap/>
            <w:vAlign w:val="bottom"/>
            <w:hideMark/>
          </w:tcPr>
          <w:p w14:paraId="6B4FAD3C" w14:textId="45CC82ED"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6AB5C2B1" w14:textId="42B62C1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105,047 </w:t>
            </w:r>
          </w:p>
        </w:tc>
        <w:tc>
          <w:tcPr>
            <w:tcW w:w="939" w:type="dxa"/>
            <w:gridSpan w:val="2"/>
            <w:shd w:val="clear" w:color="auto" w:fill="FFFFFF" w:themeFill="background1"/>
            <w:noWrap/>
            <w:vAlign w:val="bottom"/>
            <w:hideMark/>
          </w:tcPr>
          <w:p w14:paraId="59FAEFB8" w14:textId="7ABEAC55"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2,057 </w:t>
            </w:r>
          </w:p>
        </w:tc>
        <w:tc>
          <w:tcPr>
            <w:tcW w:w="940" w:type="dxa"/>
            <w:gridSpan w:val="2"/>
            <w:shd w:val="clear" w:color="auto" w:fill="FFFFFF" w:themeFill="background1"/>
            <w:noWrap/>
            <w:vAlign w:val="bottom"/>
            <w:hideMark/>
          </w:tcPr>
          <w:p w14:paraId="0ACB4382" w14:textId="1E022AA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300 </w:t>
            </w:r>
          </w:p>
        </w:tc>
        <w:tc>
          <w:tcPr>
            <w:tcW w:w="939" w:type="dxa"/>
            <w:gridSpan w:val="2"/>
            <w:shd w:val="clear" w:color="auto" w:fill="FFFFFF" w:themeFill="background1"/>
            <w:noWrap/>
            <w:vAlign w:val="bottom"/>
            <w:hideMark/>
          </w:tcPr>
          <w:p w14:paraId="32E987A7" w14:textId="4B6C94F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107,404 </w:t>
            </w:r>
          </w:p>
        </w:tc>
        <w:tc>
          <w:tcPr>
            <w:tcW w:w="1029" w:type="dxa"/>
            <w:gridSpan w:val="2"/>
            <w:shd w:val="clear" w:color="auto" w:fill="FFFFFF" w:themeFill="background1"/>
            <w:noWrap/>
            <w:vAlign w:val="bottom"/>
            <w:hideMark/>
          </w:tcPr>
          <w:p w14:paraId="4405D8B3" w14:textId="3CFFF974"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28,788 </w:t>
            </w:r>
          </w:p>
        </w:tc>
        <w:tc>
          <w:tcPr>
            <w:tcW w:w="743" w:type="dxa"/>
            <w:shd w:val="clear" w:color="auto" w:fill="FFFFFF" w:themeFill="background1"/>
            <w:noWrap/>
            <w:vAlign w:val="bottom"/>
            <w:hideMark/>
          </w:tcPr>
          <w:p w14:paraId="2F572C5C" w14:textId="18C51E99"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136,192 </w:t>
            </w:r>
          </w:p>
        </w:tc>
      </w:tr>
      <w:tr w:rsidR="00770D9E" w:rsidRPr="00091D9C" w14:paraId="1EE37454" w14:textId="77777777" w:rsidTr="001B7116">
        <w:trPr>
          <w:trHeight w:val="340"/>
        </w:trPr>
        <w:tc>
          <w:tcPr>
            <w:tcW w:w="2694" w:type="dxa"/>
            <w:shd w:val="clear" w:color="000000" w:fill="FFFFFF"/>
            <w:noWrap/>
            <w:vAlign w:val="bottom"/>
            <w:hideMark/>
          </w:tcPr>
          <w:p w14:paraId="2A16D10D" w14:textId="007695EF" w:rsidR="00770D9E" w:rsidRPr="00770D9E" w:rsidRDefault="00770D9E" w:rsidP="00770D9E">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Assistant Chief Officer</w:t>
            </w:r>
          </w:p>
        </w:tc>
        <w:tc>
          <w:tcPr>
            <w:tcW w:w="850" w:type="dxa"/>
            <w:shd w:val="clear" w:color="000000" w:fill="FFFFFF"/>
            <w:noWrap/>
            <w:vAlign w:val="bottom"/>
            <w:hideMark/>
          </w:tcPr>
          <w:p w14:paraId="485EA6E8" w14:textId="766CFB5B" w:rsidR="00770D9E" w:rsidRPr="00770D9E" w:rsidRDefault="00770D9E" w:rsidP="00770D9E">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01/12/20</w:t>
            </w:r>
          </w:p>
        </w:tc>
        <w:tc>
          <w:tcPr>
            <w:tcW w:w="992" w:type="dxa"/>
            <w:gridSpan w:val="2"/>
            <w:shd w:val="clear" w:color="000000" w:fill="FFFFFF"/>
            <w:noWrap/>
            <w:vAlign w:val="bottom"/>
            <w:hideMark/>
          </w:tcPr>
          <w:p w14:paraId="7235DB2F" w14:textId="46904904" w:rsidR="00796BE6" w:rsidRPr="00770D9E" w:rsidRDefault="00770D9E" w:rsidP="00796BE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1726902A" w14:textId="7699EE88"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116,861 </w:t>
            </w:r>
          </w:p>
        </w:tc>
        <w:tc>
          <w:tcPr>
            <w:tcW w:w="939" w:type="dxa"/>
            <w:gridSpan w:val="2"/>
            <w:shd w:val="clear" w:color="auto" w:fill="FFFFFF" w:themeFill="background1"/>
            <w:noWrap/>
            <w:vAlign w:val="bottom"/>
            <w:hideMark/>
          </w:tcPr>
          <w:p w14:paraId="3D7558ED" w14:textId="3B880AA3"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40" w:type="dxa"/>
            <w:gridSpan w:val="2"/>
            <w:shd w:val="clear" w:color="auto" w:fill="FFFFFF" w:themeFill="background1"/>
            <w:noWrap/>
            <w:vAlign w:val="bottom"/>
            <w:hideMark/>
          </w:tcPr>
          <w:p w14:paraId="59E14261" w14:textId="01B2CEEA"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31BC6B9D" w14:textId="3737E327"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116,861 </w:t>
            </w:r>
          </w:p>
        </w:tc>
        <w:tc>
          <w:tcPr>
            <w:tcW w:w="1029" w:type="dxa"/>
            <w:gridSpan w:val="2"/>
            <w:shd w:val="clear" w:color="auto" w:fill="FFFFFF" w:themeFill="background1"/>
            <w:noWrap/>
            <w:vAlign w:val="bottom"/>
            <w:hideMark/>
          </w:tcPr>
          <w:p w14:paraId="247940DA" w14:textId="214368E9"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23,723 </w:t>
            </w:r>
          </w:p>
        </w:tc>
        <w:tc>
          <w:tcPr>
            <w:tcW w:w="743" w:type="dxa"/>
            <w:shd w:val="clear" w:color="auto" w:fill="FFFFFF" w:themeFill="background1"/>
            <w:noWrap/>
            <w:vAlign w:val="bottom"/>
            <w:hideMark/>
          </w:tcPr>
          <w:p w14:paraId="5AB9A45D" w14:textId="091BA731" w:rsidR="00770D9E" w:rsidRPr="00770D9E" w:rsidRDefault="00770D9E" w:rsidP="00770D9E">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140,584 </w:t>
            </w:r>
          </w:p>
        </w:tc>
      </w:tr>
      <w:tr w:rsidR="001D4146" w:rsidRPr="00091D9C" w14:paraId="67C10161" w14:textId="77777777" w:rsidTr="001B7116">
        <w:trPr>
          <w:trHeight w:val="340"/>
        </w:trPr>
        <w:tc>
          <w:tcPr>
            <w:tcW w:w="2694" w:type="dxa"/>
            <w:shd w:val="clear" w:color="000000" w:fill="FFFFFF"/>
            <w:noWrap/>
            <w:vAlign w:val="bottom"/>
          </w:tcPr>
          <w:p w14:paraId="718CA529" w14:textId="1449D46A" w:rsidR="001D4146" w:rsidRPr="00770D9E" w:rsidRDefault="002E1C9B" w:rsidP="001D4146">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T/</w:t>
            </w:r>
            <w:r w:rsidR="001D4146" w:rsidRPr="00770D9E">
              <w:rPr>
                <w:rFonts w:eastAsia="Times New Roman" w:cs="Calibri"/>
                <w:color w:val="auto"/>
                <w:sz w:val="16"/>
                <w:szCs w:val="16"/>
                <w:lang w:eastAsia="en-GB"/>
              </w:rPr>
              <w:t xml:space="preserve"> Chief Superintendent</w:t>
            </w:r>
          </w:p>
        </w:tc>
        <w:tc>
          <w:tcPr>
            <w:tcW w:w="850" w:type="dxa"/>
            <w:shd w:val="clear" w:color="000000" w:fill="FFFFFF"/>
            <w:noWrap/>
            <w:vAlign w:val="bottom"/>
          </w:tcPr>
          <w:p w14:paraId="3BA8FD85" w14:textId="1A49CEF5" w:rsidR="001D4146" w:rsidRPr="00770D9E" w:rsidRDefault="001D4146" w:rsidP="001D4146">
            <w:pPr>
              <w:spacing w:line="240" w:lineRule="auto"/>
              <w:jc w:val="center"/>
              <w:rPr>
                <w:rFonts w:eastAsia="Times New Roman" w:cs="Calibri"/>
                <w:color w:val="auto"/>
                <w:sz w:val="16"/>
                <w:szCs w:val="16"/>
                <w:lang w:eastAsia="en-GB"/>
              </w:rPr>
            </w:pPr>
            <w:r>
              <w:rPr>
                <w:rFonts w:eastAsia="Times New Roman" w:cs="Calibri"/>
                <w:color w:val="auto"/>
                <w:sz w:val="16"/>
                <w:szCs w:val="16"/>
                <w:lang w:eastAsia="en-GB"/>
              </w:rPr>
              <w:t>09/05/22</w:t>
            </w:r>
          </w:p>
        </w:tc>
        <w:tc>
          <w:tcPr>
            <w:tcW w:w="992" w:type="dxa"/>
            <w:gridSpan w:val="2"/>
            <w:shd w:val="clear" w:color="000000" w:fill="FFFFFF"/>
            <w:noWrap/>
            <w:vAlign w:val="bottom"/>
          </w:tcPr>
          <w:p w14:paraId="51A88D83" w14:textId="77777777" w:rsidR="001D4146" w:rsidRDefault="001D4146" w:rsidP="001D4146">
            <w:pPr>
              <w:spacing w:line="240" w:lineRule="auto"/>
              <w:jc w:val="center"/>
              <w:rPr>
                <w:rFonts w:eastAsia="Times New Roman" w:cs="Calibri"/>
                <w:color w:val="auto"/>
                <w:sz w:val="16"/>
                <w:szCs w:val="16"/>
                <w:lang w:eastAsia="en-GB"/>
              </w:rPr>
            </w:pPr>
          </w:p>
          <w:p w14:paraId="5D12B93F" w14:textId="77777777" w:rsidR="00796BE6" w:rsidRPr="00770D9E" w:rsidRDefault="00796BE6" w:rsidP="001D4146">
            <w:pPr>
              <w:spacing w:line="240" w:lineRule="auto"/>
              <w:jc w:val="center"/>
              <w:rPr>
                <w:rFonts w:eastAsia="Times New Roman" w:cs="Calibri"/>
                <w:color w:val="auto"/>
                <w:sz w:val="16"/>
                <w:szCs w:val="16"/>
                <w:lang w:eastAsia="en-GB"/>
              </w:rPr>
            </w:pPr>
          </w:p>
        </w:tc>
        <w:tc>
          <w:tcPr>
            <w:tcW w:w="939" w:type="dxa"/>
            <w:gridSpan w:val="2"/>
            <w:shd w:val="clear" w:color="auto" w:fill="FFFFFF" w:themeFill="background1"/>
            <w:noWrap/>
            <w:vAlign w:val="bottom"/>
          </w:tcPr>
          <w:p w14:paraId="32598F3D" w14:textId="0B4FDAB9" w:rsidR="001D4146" w:rsidRPr="00770D9E" w:rsidRDefault="001D4146"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87,145</w:t>
            </w:r>
          </w:p>
        </w:tc>
        <w:tc>
          <w:tcPr>
            <w:tcW w:w="939" w:type="dxa"/>
            <w:gridSpan w:val="2"/>
            <w:shd w:val="clear" w:color="auto" w:fill="FFFFFF" w:themeFill="background1"/>
            <w:noWrap/>
            <w:vAlign w:val="bottom"/>
          </w:tcPr>
          <w:p w14:paraId="30D8D979" w14:textId="308A084D" w:rsidR="001D4146" w:rsidRPr="00770D9E" w:rsidRDefault="001D4146"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1,470</w:t>
            </w:r>
          </w:p>
        </w:tc>
        <w:tc>
          <w:tcPr>
            <w:tcW w:w="940" w:type="dxa"/>
            <w:gridSpan w:val="2"/>
            <w:shd w:val="clear" w:color="auto" w:fill="FFFFFF" w:themeFill="background1"/>
            <w:noWrap/>
            <w:vAlign w:val="bottom"/>
          </w:tcPr>
          <w:p w14:paraId="0A1BC749" w14:textId="637BA7B4"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1,480</w:t>
            </w:r>
          </w:p>
        </w:tc>
        <w:tc>
          <w:tcPr>
            <w:tcW w:w="939" w:type="dxa"/>
            <w:gridSpan w:val="2"/>
            <w:shd w:val="clear" w:color="auto" w:fill="FFFFFF" w:themeFill="background1"/>
            <w:noWrap/>
            <w:vAlign w:val="bottom"/>
          </w:tcPr>
          <w:p w14:paraId="66B8E434" w14:textId="3D66A494"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90,095</w:t>
            </w:r>
          </w:p>
        </w:tc>
        <w:tc>
          <w:tcPr>
            <w:tcW w:w="1029" w:type="dxa"/>
            <w:gridSpan w:val="2"/>
            <w:shd w:val="clear" w:color="auto" w:fill="FFFFFF" w:themeFill="background1"/>
            <w:noWrap/>
            <w:vAlign w:val="bottom"/>
          </w:tcPr>
          <w:p w14:paraId="5E1790EE" w14:textId="3101F669"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24,440</w:t>
            </w:r>
          </w:p>
        </w:tc>
        <w:tc>
          <w:tcPr>
            <w:tcW w:w="743" w:type="dxa"/>
            <w:shd w:val="clear" w:color="auto" w:fill="FFFFFF" w:themeFill="background1"/>
            <w:noWrap/>
            <w:vAlign w:val="bottom"/>
          </w:tcPr>
          <w:p w14:paraId="491FE5D5" w14:textId="6F97DB4A" w:rsidR="001D4146" w:rsidRPr="00770D9E" w:rsidRDefault="00637873" w:rsidP="001D4146">
            <w:pPr>
              <w:spacing w:line="240" w:lineRule="auto"/>
              <w:jc w:val="right"/>
              <w:rPr>
                <w:rFonts w:eastAsia="Times New Roman" w:cs="Calibri"/>
                <w:color w:val="auto"/>
                <w:sz w:val="16"/>
                <w:szCs w:val="16"/>
                <w:lang w:eastAsia="en-GB"/>
              </w:rPr>
            </w:pPr>
            <w:r>
              <w:rPr>
                <w:rFonts w:eastAsia="Times New Roman" w:cs="Calibri"/>
                <w:color w:val="auto"/>
                <w:sz w:val="16"/>
                <w:szCs w:val="16"/>
                <w:lang w:eastAsia="en-GB"/>
              </w:rPr>
              <w:t>114,535</w:t>
            </w:r>
          </w:p>
        </w:tc>
      </w:tr>
      <w:tr w:rsidR="001D4146" w:rsidRPr="00091D9C" w14:paraId="319EAAA1" w14:textId="77777777" w:rsidTr="001B7116">
        <w:trPr>
          <w:trHeight w:val="340"/>
        </w:trPr>
        <w:tc>
          <w:tcPr>
            <w:tcW w:w="2694" w:type="dxa"/>
            <w:shd w:val="clear" w:color="000000" w:fill="FFFFFF"/>
            <w:noWrap/>
            <w:vAlign w:val="bottom"/>
          </w:tcPr>
          <w:p w14:paraId="16F28D9D" w14:textId="5251F993" w:rsidR="001D4146" w:rsidRPr="00770D9E" w:rsidRDefault="001D4146" w:rsidP="001D4146">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Superintendent</w:t>
            </w:r>
          </w:p>
        </w:tc>
        <w:tc>
          <w:tcPr>
            <w:tcW w:w="850" w:type="dxa"/>
            <w:shd w:val="clear" w:color="000000" w:fill="FFFFFF"/>
            <w:noWrap/>
            <w:vAlign w:val="bottom"/>
            <w:hideMark/>
          </w:tcPr>
          <w:p w14:paraId="722F845E" w14:textId="258118BA"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01/10/18</w:t>
            </w:r>
          </w:p>
        </w:tc>
        <w:tc>
          <w:tcPr>
            <w:tcW w:w="992" w:type="dxa"/>
            <w:gridSpan w:val="2"/>
            <w:shd w:val="clear" w:color="000000" w:fill="FFFFFF"/>
            <w:noWrap/>
            <w:vAlign w:val="bottom"/>
            <w:hideMark/>
          </w:tcPr>
          <w:p w14:paraId="23F5FD2A" w14:textId="77777777"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2EFE0734"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92,859 </w:t>
            </w:r>
          </w:p>
        </w:tc>
        <w:tc>
          <w:tcPr>
            <w:tcW w:w="939" w:type="dxa"/>
            <w:gridSpan w:val="2"/>
            <w:shd w:val="clear" w:color="auto" w:fill="FFFFFF" w:themeFill="background1"/>
            <w:noWrap/>
            <w:vAlign w:val="bottom"/>
            <w:hideMark/>
          </w:tcPr>
          <w:p w14:paraId="626732A6"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1,560 </w:t>
            </w:r>
          </w:p>
        </w:tc>
        <w:tc>
          <w:tcPr>
            <w:tcW w:w="940" w:type="dxa"/>
            <w:gridSpan w:val="2"/>
            <w:shd w:val="clear" w:color="auto" w:fill="FFFFFF" w:themeFill="background1"/>
            <w:noWrap/>
            <w:vAlign w:val="bottom"/>
            <w:hideMark/>
          </w:tcPr>
          <w:p w14:paraId="2C0F0590"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5,398 </w:t>
            </w:r>
          </w:p>
        </w:tc>
        <w:tc>
          <w:tcPr>
            <w:tcW w:w="939" w:type="dxa"/>
            <w:gridSpan w:val="2"/>
            <w:shd w:val="clear" w:color="auto" w:fill="FFFFFF" w:themeFill="background1"/>
            <w:noWrap/>
            <w:vAlign w:val="bottom"/>
            <w:hideMark/>
          </w:tcPr>
          <w:p w14:paraId="5755376F"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99,817 </w:t>
            </w:r>
          </w:p>
        </w:tc>
        <w:tc>
          <w:tcPr>
            <w:tcW w:w="1029" w:type="dxa"/>
            <w:gridSpan w:val="2"/>
            <w:shd w:val="clear" w:color="auto" w:fill="FFFFFF" w:themeFill="background1"/>
            <w:noWrap/>
            <w:vAlign w:val="bottom"/>
            <w:hideMark/>
          </w:tcPr>
          <w:p w14:paraId="7B3C7A28"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28,786 </w:t>
            </w:r>
          </w:p>
        </w:tc>
        <w:tc>
          <w:tcPr>
            <w:tcW w:w="743" w:type="dxa"/>
            <w:shd w:val="clear" w:color="auto" w:fill="FFFFFF" w:themeFill="background1"/>
            <w:noWrap/>
            <w:vAlign w:val="bottom"/>
            <w:hideMark/>
          </w:tcPr>
          <w:p w14:paraId="5A2752C1"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128,603 </w:t>
            </w:r>
          </w:p>
        </w:tc>
      </w:tr>
      <w:tr w:rsidR="001D4146" w:rsidRPr="00091D9C" w14:paraId="2EDA66D7" w14:textId="77777777" w:rsidTr="001B7116">
        <w:trPr>
          <w:trHeight w:val="340"/>
        </w:trPr>
        <w:tc>
          <w:tcPr>
            <w:tcW w:w="2694" w:type="dxa"/>
            <w:shd w:val="clear" w:color="000000" w:fill="FFFFFF"/>
            <w:noWrap/>
            <w:vAlign w:val="bottom"/>
          </w:tcPr>
          <w:p w14:paraId="2F04A746" w14:textId="2DE05292" w:rsidR="001D4146" w:rsidRPr="00770D9E" w:rsidRDefault="001D4146" w:rsidP="001D4146">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Superintendent</w:t>
            </w:r>
          </w:p>
        </w:tc>
        <w:tc>
          <w:tcPr>
            <w:tcW w:w="850" w:type="dxa"/>
            <w:shd w:val="clear" w:color="000000" w:fill="FFFFFF"/>
            <w:noWrap/>
            <w:vAlign w:val="bottom"/>
            <w:hideMark/>
          </w:tcPr>
          <w:p w14:paraId="6091F887" w14:textId="2B6F11F8"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17/09/21</w:t>
            </w:r>
          </w:p>
        </w:tc>
        <w:tc>
          <w:tcPr>
            <w:tcW w:w="992" w:type="dxa"/>
            <w:gridSpan w:val="2"/>
            <w:shd w:val="clear" w:color="000000" w:fill="FFFFFF"/>
            <w:noWrap/>
            <w:vAlign w:val="bottom"/>
            <w:hideMark/>
          </w:tcPr>
          <w:p w14:paraId="5AF8338D" w14:textId="77777777"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w:t>
            </w:r>
          </w:p>
        </w:tc>
        <w:tc>
          <w:tcPr>
            <w:tcW w:w="939" w:type="dxa"/>
            <w:gridSpan w:val="2"/>
            <w:shd w:val="clear" w:color="auto" w:fill="FFFFFF" w:themeFill="background1"/>
            <w:noWrap/>
            <w:vAlign w:val="bottom"/>
            <w:hideMark/>
          </w:tcPr>
          <w:p w14:paraId="7EDE8043"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89,664 </w:t>
            </w:r>
          </w:p>
        </w:tc>
        <w:tc>
          <w:tcPr>
            <w:tcW w:w="939" w:type="dxa"/>
            <w:gridSpan w:val="2"/>
            <w:shd w:val="clear" w:color="auto" w:fill="FFFFFF" w:themeFill="background1"/>
            <w:noWrap/>
            <w:vAlign w:val="bottom"/>
            <w:hideMark/>
          </w:tcPr>
          <w:p w14:paraId="38EB7497"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2,025 </w:t>
            </w:r>
          </w:p>
        </w:tc>
        <w:tc>
          <w:tcPr>
            <w:tcW w:w="940" w:type="dxa"/>
            <w:gridSpan w:val="2"/>
            <w:shd w:val="clear" w:color="auto" w:fill="FFFFFF" w:themeFill="background1"/>
            <w:noWrap/>
            <w:vAlign w:val="bottom"/>
            <w:hideMark/>
          </w:tcPr>
          <w:p w14:paraId="3BE48E36"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1,640 </w:t>
            </w:r>
          </w:p>
        </w:tc>
        <w:tc>
          <w:tcPr>
            <w:tcW w:w="939" w:type="dxa"/>
            <w:gridSpan w:val="2"/>
            <w:shd w:val="clear" w:color="auto" w:fill="FFFFFF" w:themeFill="background1"/>
            <w:noWrap/>
            <w:vAlign w:val="bottom"/>
            <w:hideMark/>
          </w:tcPr>
          <w:p w14:paraId="4A3080CA"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93,328 </w:t>
            </w:r>
          </w:p>
        </w:tc>
        <w:tc>
          <w:tcPr>
            <w:tcW w:w="1029" w:type="dxa"/>
            <w:gridSpan w:val="2"/>
            <w:shd w:val="clear" w:color="auto" w:fill="FFFFFF" w:themeFill="background1"/>
            <w:noWrap/>
            <w:vAlign w:val="bottom"/>
            <w:hideMark/>
          </w:tcPr>
          <w:p w14:paraId="41C990B0"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27,796 </w:t>
            </w:r>
          </w:p>
        </w:tc>
        <w:tc>
          <w:tcPr>
            <w:tcW w:w="743" w:type="dxa"/>
            <w:shd w:val="clear" w:color="auto" w:fill="FFFFFF" w:themeFill="background1"/>
            <w:noWrap/>
            <w:vAlign w:val="bottom"/>
            <w:hideMark/>
          </w:tcPr>
          <w:p w14:paraId="6CC07877"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121,124 </w:t>
            </w:r>
          </w:p>
        </w:tc>
      </w:tr>
      <w:tr w:rsidR="00796BE6" w:rsidRPr="00091D9C" w14:paraId="1AEC8599" w14:textId="77777777" w:rsidTr="001B7116">
        <w:trPr>
          <w:trHeight w:val="340"/>
        </w:trPr>
        <w:tc>
          <w:tcPr>
            <w:tcW w:w="2694" w:type="dxa"/>
            <w:shd w:val="clear" w:color="000000" w:fill="FFFFFF"/>
            <w:noWrap/>
            <w:vAlign w:val="bottom"/>
          </w:tcPr>
          <w:p w14:paraId="3CBF5B69" w14:textId="34979ED6" w:rsidR="00637873" w:rsidRPr="00770D9E" w:rsidRDefault="00637873" w:rsidP="00637873">
            <w:pPr>
              <w:spacing w:line="240" w:lineRule="auto"/>
              <w:jc w:val="left"/>
              <w:rPr>
                <w:rFonts w:eastAsia="Times New Roman" w:cs="Calibri"/>
                <w:color w:val="auto"/>
                <w:sz w:val="16"/>
                <w:szCs w:val="16"/>
                <w:lang w:eastAsia="en-GB"/>
              </w:rPr>
            </w:pPr>
            <w:r w:rsidRPr="00770D9E">
              <w:rPr>
                <w:rFonts w:eastAsia="Times New Roman" w:cs="Calibri"/>
                <w:color w:val="auto"/>
                <w:sz w:val="16"/>
                <w:szCs w:val="16"/>
                <w:lang w:eastAsia="en-GB"/>
              </w:rPr>
              <w:t>Chief Finance Officer</w:t>
            </w:r>
          </w:p>
        </w:tc>
        <w:tc>
          <w:tcPr>
            <w:tcW w:w="850" w:type="dxa"/>
            <w:shd w:val="clear" w:color="000000" w:fill="FFFFFF"/>
            <w:noWrap/>
            <w:vAlign w:val="bottom"/>
            <w:hideMark/>
          </w:tcPr>
          <w:p w14:paraId="1422AFED" w14:textId="2D0E665B" w:rsidR="00637873" w:rsidRPr="00770D9E" w:rsidRDefault="00637873" w:rsidP="00637873">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21/05/18</w:t>
            </w:r>
          </w:p>
        </w:tc>
        <w:tc>
          <w:tcPr>
            <w:tcW w:w="992" w:type="dxa"/>
            <w:gridSpan w:val="2"/>
            <w:shd w:val="clear" w:color="000000" w:fill="FFFFFF"/>
            <w:noWrap/>
            <w:vAlign w:val="bottom"/>
            <w:hideMark/>
          </w:tcPr>
          <w:p w14:paraId="11C3D657" w14:textId="37B54837" w:rsidR="00637873" w:rsidRPr="00770D9E" w:rsidRDefault="00637873" w:rsidP="00637873">
            <w:pPr>
              <w:spacing w:line="240" w:lineRule="auto"/>
              <w:jc w:val="center"/>
              <w:rPr>
                <w:rFonts w:eastAsia="Times New Roman" w:cs="Calibri"/>
                <w:color w:val="auto"/>
                <w:sz w:val="16"/>
                <w:szCs w:val="16"/>
                <w:lang w:eastAsia="en-GB"/>
              </w:rPr>
            </w:pPr>
          </w:p>
        </w:tc>
        <w:tc>
          <w:tcPr>
            <w:tcW w:w="939" w:type="dxa"/>
            <w:gridSpan w:val="2"/>
            <w:shd w:val="clear" w:color="auto" w:fill="FFFFFF" w:themeFill="background1"/>
            <w:noWrap/>
            <w:vAlign w:val="bottom"/>
            <w:hideMark/>
          </w:tcPr>
          <w:p w14:paraId="210286C6" w14:textId="232E3A63"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85,794 </w:t>
            </w:r>
          </w:p>
        </w:tc>
        <w:tc>
          <w:tcPr>
            <w:tcW w:w="939" w:type="dxa"/>
            <w:gridSpan w:val="2"/>
            <w:shd w:val="clear" w:color="auto" w:fill="FFFFFF" w:themeFill="background1"/>
            <w:noWrap/>
            <w:vAlign w:val="bottom"/>
            <w:hideMark/>
          </w:tcPr>
          <w:p w14:paraId="78F9121F" w14:textId="152C9AB4"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294 </w:t>
            </w:r>
          </w:p>
        </w:tc>
        <w:tc>
          <w:tcPr>
            <w:tcW w:w="940" w:type="dxa"/>
            <w:gridSpan w:val="2"/>
            <w:shd w:val="clear" w:color="auto" w:fill="FFFFFF" w:themeFill="background1"/>
            <w:noWrap/>
            <w:vAlign w:val="bottom"/>
            <w:hideMark/>
          </w:tcPr>
          <w:p w14:paraId="0639384F" w14:textId="4F85FFF1"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5C31EAB7" w14:textId="5F07C000"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86,088 </w:t>
            </w:r>
          </w:p>
        </w:tc>
        <w:tc>
          <w:tcPr>
            <w:tcW w:w="1029" w:type="dxa"/>
            <w:gridSpan w:val="2"/>
            <w:shd w:val="clear" w:color="auto" w:fill="FFFFFF" w:themeFill="background1"/>
            <w:noWrap/>
            <w:vAlign w:val="bottom"/>
            <w:hideMark/>
          </w:tcPr>
          <w:p w14:paraId="02065B48" w14:textId="6CD25F8D"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17,416 </w:t>
            </w:r>
          </w:p>
        </w:tc>
        <w:tc>
          <w:tcPr>
            <w:tcW w:w="743" w:type="dxa"/>
            <w:shd w:val="clear" w:color="auto" w:fill="FFFFFF" w:themeFill="background1"/>
            <w:noWrap/>
            <w:vAlign w:val="bottom"/>
            <w:hideMark/>
          </w:tcPr>
          <w:p w14:paraId="48E882BE" w14:textId="279C53A9" w:rsidR="00637873" w:rsidRPr="00770D9E" w:rsidRDefault="00637873" w:rsidP="00637873">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103,504 </w:t>
            </w:r>
          </w:p>
        </w:tc>
      </w:tr>
      <w:tr w:rsidR="001D4146" w:rsidRPr="00091D9C" w14:paraId="32A01E28" w14:textId="77777777" w:rsidTr="001B7116">
        <w:trPr>
          <w:trHeight w:val="340"/>
        </w:trPr>
        <w:tc>
          <w:tcPr>
            <w:tcW w:w="2694" w:type="dxa"/>
            <w:shd w:val="clear" w:color="000000" w:fill="FFFFFF"/>
            <w:noWrap/>
            <w:vAlign w:val="bottom"/>
          </w:tcPr>
          <w:p w14:paraId="53E4C6C6" w14:textId="29ABDE33" w:rsidR="001D4146" w:rsidRPr="00770D9E" w:rsidRDefault="00637873" w:rsidP="001D4146">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Joint Head of HR</w:t>
            </w:r>
          </w:p>
        </w:tc>
        <w:tc>
          <w:tcPr>
            <w:tcW w:w="850" w:type="dxa"/>
            <w:shd w:val="clear" w:color="000000" w:fill="FFFFFF"/>
            <w:noWrap/>
            <w:vAlign w:val="bottom"/>
            <w:hideMark/>
          </w:tcPr>
          <w:p w14:paraId="0AAA7964" w14:textId="7E3146F5"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14/12/20</w:t>
            </w:r>
          </w:p>
        </w:tc>
        <w:tc>
          <w:tcPr>
            <w:tcW w:w="992" w:type="dxa"/>
            <w:gridSpan w:val="2"/>
            <w:shd w:val="clear" w:color="000000" w:fill="FFFFFF"/>
            <w:noWrap/>
            <w:vAlign w:val="bottom"/>
            <w:hideMark/>
          </w:tcPr>
          <w:p w14:paraId="48FFB48A" w14:textId="27F03543" w:rsidR="001D4146" w:rsidRPr="00770D9E" w:rsidRDefault="001D4146" w:rsidP="001D4146">
            <w:pPr>
              <w:spacing w:line="240" w:lineRule="auto"/>
              <w:jc w:val="center"/>
              <w:rPr>
                <w:rFonts w:eastAsia="Times New Roman" w:cs="Calibri"/>
                <w:color w:val="auto"/>
                <w:sz w:val="16"/>
                <w:szCs w:val="16"/>
                <w:lang w:eastAsia="en-GB"/>
              </w:rPr>
            </w:pPr>
            <w:r w:rsidRPr="00770D9E">
              <w:rPr>
                <w:rFonts w:eastAsia="Times New Roman" w:cs="Calibri"/>
                <w:color w:val="auto"/>
                <w:sz w:val="16"/>
                <w:szCs w:val="16"/>
                <w:lang w:eastAsia="en-GB"/>
              </w:rPr>
              <w:t> 31/12/22</w:t>
            </w:r>
          </w:p>
        </w:tc>
        <w:tc>
          <w:tcPr>
            <w:tcW w:w="939" w:type="dxa"/>
            <w:gridSpan w:val="2"/>
            <w:shd w:val="clear" w:color="auto" w:fill="FFFFFF" w:themeFill="background1"/>
            <w:noWrap/>
            <w:vAlign w:val="bottom"/>
            <w:hideMark/>
          </w:tcPr>
          <w:p w14:paraId="14BDE95A" w14:textId="353E8A16"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58,916</w:t>
            </w:r>
            <w:r w:rsidRPr="00770D9E">
              <w:rPr>
                <w:rFonts w:eastAsia="Times New Roman" w:cs="Calibri"/>
                <w:color w:val="auto"/>
                <w:sz w:val="16"/>
                <w:szCs w:val="16"/>
                <w:lang w:eastAsia="en-GB"/>
              </w:rPr>
              <w:t xml:space="preserve"> </w:t>
            </w:r>
          </w:p>
        </w:tc>
        <w:tc>
          <w:tcPr>
            <w:tcW w:w="939" w:type="dxa"/>
            <w:gridSpan w:val="2"/>
            <w:shd w:val="clear" w:color="auto" w:fill="FFFFFF" w:themeFill="background1"/>
            <w:noWrap/>
            <w:vAlign w:val="bottom"/>
            <w:hideMark/>
          </w:tcPr>
          <w:p w14:paraId="54ADE5A8" w14:textId="4956E2B0"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2,338</w:t>
            </w:r>
            <w:r w:rsidRPr="00770D9E">
              <w:rPr>
                <w:rFonts w:eastAsia="Times New Roman" w:cs="Calibri"/>
                <w:color w:val="auto"/>
                <w:sz w:val="16"/>
                <w:szCs w:val="16"/>
                <w:lang w:eastAsia="en-GB"/>
              </w:rPr>
              <w:t xml:space="preserve"> </w:t>
            </w:r>
          </w:p>
        </w:tc>
        <w:tc>
          <w:tcPr>
            <w:tcW w:w="940" w:type="dxa"/>
            <w:gridSpan w:val="2"/>
            <w:shd w:val="clear" w:color="auto" w:fill="FFFFFF" w:themeFill="background1"/>
            <w:noWrap/>
            <w:vAlign w:val="bottom"/>
            <w:hideMark/>
          </w:tcPr>
          <w:p w14:paraId="2E502E35" w14:textId="7777777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   </w:t>
            </w:r>
          </w:p>
        </w:tc>
        <w:tc>
          <w:tcPr>
            <w:tcW w:w="939" w:type="dxa"/>
            <w:gridSpan w:val="2"/>
            <w:shd w:val="clear" w:color="auto" w:fill="FFFFFF" w:themeFill="background1"/>
            <w:noWrap/>
            <w:vAlign w:val="bottom"/>
            <w:hideMark/>
          </w:tcPr>
          <w:p w14:paraId="5509685E" w14:textId="25D65059"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61,255</w:t>
            </w:r>
            <w:r w:rsidRPr="00770D9E">
              <w:rPr>
                <w:rFonts w:eastAsia="Times New Roman" w:cs="Calibri"/>
                <w:color w:val="auto"/>
                <w:sz w:val="16"/>
                <w:szCs w:val="16"/>
                <w:lang w:eastAsia="en-GB"/>
              </w:rPr>
              <w:t xml:space="preserve"> </w:t>
            </w:r>
          </w:p>
        </w:tc>
        <w:tc>
          <w:tcPr>
            <w:tcW w:w="1029" w:type="dxa"/>
            <w:gridSpan w:val="2"/>
            <w:shd w:val="clear" w:color="auto" w:fill="FFFFFF" w:themeFill="background1"/>
            <w:noWrap/>
            <w:vAlign w:val="bottom"/>
            <w:hideMark/>
          </w:tcPr>
          <w:p w14:paraId="64F5B211" w14:textId="139964F7"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1</w:t>
            </w:r>
            <w:r w:rsidR="00637873">
              <w:rPr>
                <w:rFonts w:eastAsia="Times New Roman" w:cs="Calibri"/>
                <w:color w:val="auto"/>
                <w:sz w:val="16"/>
                <w:szCs w:val="16"/>
                <w:lang w:eastAsia="en-GB"/>
              </w:rPr>
              <w:t>1,960</w:t>
            </w:r>
            <w:r w:rsidRPr="00770D9E">
              <w:rPr>
                <w:rFonts w:eastAsia="Times New Roman" w:cs="Calibri"/>
                <w:color w:val="auto"/>
                <w:sz w:val="16"/>
                <w:szCs w:val="16"/>
                <w:lang w:eastAsia="en-GB"/>
              </w:rPr>
              <w:t xml:space="preserve"> </w:t>
            </w:r>
          </w:p>
        </w:tc>
        <w:tc>
          <w:tcPr>
            <w:tcW w:w="743" w:type="dxa"/>
            <w:shd w:val="clear" w:color="auto" w:fill="FFFFFF" w:themeFill="background1"/>
            <w:noWrap/>
            <w:vAlign w:val="bottom"/>
            <w:hideMark/>
          </w:tcPr>
          <w:p w14:paraId="40BD20CD" w14:textId="1788EB36" w:rsidR="001D4146" w:rsidRPr="00770D9E" w:rsidRDefault="001D4146" w:rsidP="001D4146">
            <w:pPr>
              <w:spacing w:line="240" w:lineRule="auto"/>
              <w:jc w:val="right"/>
              <w:rPr>
                <w:rFonts w:eastAsia="Times New Roman" w:cs="Calibri"/>
                <w:color w:val="auto"/>
                <w:sz w:val="16"/>
                <w:szCs w:val="16"/>
                <w:lang w:eastAsia="en-GB"/>
              </w:rPr>
            </w:pPr>
            <w:r w:rsidRPr="00770D9E">
              <w:rPr>
                <w:rFonts w:eastAsia="Times New Roman" w:cs="Calibri"/>
                <w:color w:val="auto"/>
                <w:sz w:val="16"/>
                <w:szCs w:val="16"/>
                <w:lang w:eastAsia="en-GB"/>
              </w:rPr>
              <w:t xml:space="preserve">            </w:t>
            </w:r>
            <w:r w:rsidR="00637873">
              <w:rPr>
                <w:rFonts w:eastAsia="Times New Roman" w:cs="Calibri"/>
                <w:color w:val="auto"/>
                <w:sz w:val="16"/>
                <w:szCs w:val="16"/>
                <w:lang w:eastAsia="en-GB"/>
              </w:rPr>
              <w:t>73,215</w:t>
            </w:r>
            <w:r w:rsidRPr="00770D9E">
              <w:rPr>
                <w:rFonts w:eastAsia="Times New Roman" w:cs="Calibri"/>
                <w:color w:val="auto"/>
                <w:sz w:val="16"/>
                <w:szCs w:val="16"/>
                <w:lang w:eastAsia="en-GB"/>
              </w:rPr>
              <w:t xml:space="preserve"> </w:t>
            </w:r>
          </w:p>
        </w:tc>
      </w:tr>
    </w:tbl>
    <w:p w14:paraId="1295238D" w14:textId="77777777" w:rsidR="00796BE6" w:rsidRDefault="00796BE6" w:rsidP="00B554C1">
      <w:pPr>
        <w:rPr>
          <w:rFonts w:eastAsia="Times New Roman" w:cs="Segoe UI"/>
          <w:color w:val="1A1A1A"/>
          <w:sz w:val="16"/>
          <w:szCs w:val="16"/>
          <w:vertAlign w:val="superscript"/>
          <w:lang w:eastAsia="en-GB"/>
        </w:rPr>
      </w:pPr>
    </w:p>
    <w:p w14:paraId="5D8C48A0" w14:textId="56F1BAB9" w:rsidR="00B554C1" w:rsidRPr="00637873" w:rsidRDefault="00B554C1" w:rsidP="00B554C1">
      <w:pPr>
        <w:rPr>
          <w:sz w:val="16"/>
          <w:szCs w:val="16"/>
        </w:rPr>
      </w:pPr>
      <w:r w:rsidRPr="00637873">
        <w:rPr>
          <w:rFonts w:eastAsia="Times New Roman" w:cs="Segoe UI"/>
          <w:color w:val="1A1A1A"/>
          <w:sz w:val="16"/>
          <w:szCs w:val="16"/>
          <w:vertAlign w:val="superscript"/>
          <w:lang w:eastAsia="en-GB"/>
        </w:rPr>
        <w:t>(1)</w:t>
      </w:r>
      <w:r w:rsidRPr="00637873">
        <w:rPr>
          <w:sz w:val="16"/>
          <w:szCs w:val="16"/>
        </w:rPr>
        <w:t xml:space="preserve"> Expenses Allowances include taxable and non-taxable expenses</w:t>
      </w:r>
    </w:p>
    <w:p w14:paraId="69CB12E4" w14:textId="63F40B5C" w:rsidR="00B554C1" w:rsidRPr="00637873" w:rsidRDefault="00B554C1" w:rsidP="00B554C1">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 xml:space="preserve">Other includes Rent Allowance, Housing Allowance, Car Allowance, </w:t>
      </w:r>
      <w:r w:rsidR="00EE1305">
        <w:rPr>
          <w:sz w:val="16"/>
          <w:szCs w:val="16"/>
        </w:rPr>
        <w:t>Chief Officer Team (</w:t>
      </w:r>
      <w:r w:rsidRPr="00637873">
        <w:rPr>
          <w:sz w:val="16"/>
          <w:szCs w:val="16"/>
        </w:rPr>
        <w:t>COT</w:t>
      </w:r>
      <w:r w:rsidR="00EE1305">
        <w:rPr>
          <w:sz w:val="16"/>
          <w:szCs w:val="16"/>
        </w:rPr>
        <w:t>)</w:t>
      </w:r>
      <w:r w:rsidRPr="00637873">
        <w:rPr>
          <w:sz w:val="16"/>
          <w:szCs w:val="16"/>
        </w:rPr>
        <w:t xml:space="preserve"> Medical Allowances, Relocation Allowances</w:t>
      </w:r>
      <w:r w:rsidR="00796BE6">
        <w:rPr>
          <w:sz w:val="16"/>
          <w:szCs w:val="16"/>
        </w:rPr>
        <w:t>.</w:t>
      </w:r>
    </w:p>
    <w:p w14:paraId="2EA09CD4" w14:textId="72414AD2" w:rsidR="00B554C1" w:rsidRPr="00637873" w:rsidRDefault="00B554C1" w:rsidP="00B554C1">
      <w:pPr>
        <w:rPr>
          <w:sz w:val="16"/>
          <w:szCs w:val="16"/>
        </w:rPr>
      </w:pPr>
      <w:r w:rsidRPr="00637873">
        <w:rPr>
          <w:sz w:val="16"/>
          <w:szCs w:val="16"/>
          <w:vertAlign w:val="superscript"/>
        </w:rPr>
        <w:t>(3)</w:t>
      </w:r>
      <w:r w:rsidRPr="00637873">
        <w:rPr>
          <w:sz w:val="16"/>
          <w:szCs w:val="16"/>
        </w:rPr>
        <w:t xml:space="preserve"> Nick Adderley temporarily ceased as Chief Constable from 27</w:t>
      </w:r>
      <w:r w:rsidRPr="00637873">
        <w:rPr>
          <w:sz w:val="16"/>
          <w:szCs w:val="16"/>
          <w:vertAlign w:val="superscript"/>
        </w:rPr>
        <w:t>th</w:t>
      </w:r>
      <w:r w:rsidRPr="00637873">
        <w:rPr>
          <w:sz w:val="16"/>
          <w:szCs w:val="16"/>
        </w:rPr>
        <w:t xml:space="preserve"> February 23 and was replaced by Paul Gibson for </w:t>
      </w:r>
      <w:r w:rsidR="00796BE6">
        <w:rPr>
          <w:sz w:val="16"/>
          <w:szCs w:val="16"/>
        </w:rPr>
        <w:t>the rest of the year.</w:t>
      </w:r>
    </w:p>
    <w:p w14:paraId="557BFD0C" w14:textId="4215E1D4" w:rsidR="00550492" w:rsidRDefault="00B554C1" w:rsidP="00091D9C">
      <w:pPr>
        <w:rPr>
          <w:sz w:val="16"/>
          <w:szCs w:val="16"/>
        </w:rPr>
      </w:pPr>
      <w:r w:rsidRPr="00637873">
        <w:rPr>
          <w:sz w:val="16"/>
          <w:szCs w:val="16"/>
          <w:vertAlign w:val="superscript"/>
        </w:rPr>
        <w:t>(4)</w:t>
      </w:r>
      <w:r w:rsidRPr="00637873">
        <w:rPr>
          <w:sz w:val="16"/>
          <w:szCs w:val="16"/>
        </w:rPr>
        <w:t xml:space="preserve"> The incumbent Deputy Chief Constable retired during the year and was temporarily replaced by the one of the Assistant Chief Constables pending a full recruitment process.</w:t>
      </w:r>
      <w:bookmarkStart w:id="94" w:name="_Toc517077279"/>
      <w:bookmarkStart w:id="95" w:name="_Toc9272505"/>
      <w:bookmarkStart w:id="96" w:name="_Toc9592051"/>
      <w:bookmarkStart w:id="97" w:name="_Toc109632202"/>
    </w:p>
    <w:p w14:paraId="46121044" w14:textId="77777777" w:rsidR="004011CF" w:rsidRPr="00637873" w:rsidRDefault="004011CF" w:rsidP="00091D9C">
      <w:pPr>
        <w:rPr>
          <w:sz w:val="16"/>
          <w:szCs w:val="16"/>
        </w:rPr>
      </w:pPr>
    </w:p>
    <w:p w14:paraId="0F85420F" w14:textId="4FF9614C" w:rsidR="00E214C4" w:rsidRDefault="002522D4" w:rsidP="00161E23">
      <w:pPr>
        <w:pStyle w:val="NoteHeader"/>
      </w:pPr>
      <w:bookmarkStart w:id="98" w:name="_Toc191457319"/>
      <w:r w:rsidRPr="00BC33FA">
        <w:t>Note 5A - Note to the Expenditure and Funding Analysis</w:t>
      </w:r>
      <w:bookmarkEnd w:id="94"/>
      <w:bookmarkEnd w:id="95"/>
      <w:bookmarkEnd w:id="96"/>
      <w:bookmarkEnd w:id="97"/>
      <w:bookmarkEnd w:id="98"/>
    </w:p>
    <w:p w14:paraId="2ACC1710" w14:textId="77777777" w:rsidR="00F37427" w:rsidRPr="00605514" w:rsidRDefault="00F37427" w:rsidP="00A71646"/>
    <w:tbl>
      <w:tblPr>
        <w:tblW w:w="5000" w:type="pct"/>
        <w:tblLook w:val="04A0" w:firstRow="1" w:lastRow="0" w:firstColumn="1" w:lastColumn="0" w:noHBand="0" w:noVBand="1"/>
      </w:tblPr>
      <w:tblGrid>
        <w:gridCol w:w="4363"/>
        <w:gridCol w:w="1319"/>
        <w:gridCol w:w="1319"/>
        <w:gridCol w:w="1319"/>
        <w:gridCol w:w="1319"/>
      </w:tblGrid>
      <w:tr w:rsidR="00EB4969" w:rsidRPr="00EB4969" w14:paraId="4DC62F34" w14:textId="77777777" w:rsidTr="00BC5C33">
        <w:trPr>
          <w:trHeight w:val="765"/>
        </w:trPr>
        <w:tc>
          <w:tcPr>
            <w:tcW w:w="2263" w:type="pct"/>
            <w:tcBorders>
              <w:top w:val="nil"/>
              <w:left w:val="nil"/>
              <w:bottom w:val="nil"/>
              <w:right w:val="nil"/>
            </w:tcBorders>
            <w:shd w:val="clear" w:color="000000" w:fill="000099"/>
            <w:vAlign w:val="center"/>
            <w:hideMark/>
          </w:tcPr>
          <w:p w14:paraId="66C1C27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684" w:type="pct"/>
            <w:tcBorders>
              <w:top w:val="nil"/>
              <w:left w:val="nil"/>
              <w:bottom w:val="nil"/>
              <w:right w:val="nil"/>
            </w:tcBorders>
            <w:shd w:val="clear" w:color="000000" w:fill="000099"/>
            <w:vAlign w:val="center"/>
            <w:hideMark/>
          </w:tcPr>
          <w:p w14:paraId="324EF31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19D00C8D"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5D7E3F3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4F4CBB9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51F9D47" w14:textId="77777777" w:rsidTr="00BC5C33">
        <w:trPr>
          <w:trHeight w:val="255"/>
        </w:trPr>
        <w:tc>
          <w:tcPr>
            <w:tcW w:w="2263" w:type="pct"/>
            <w:tcBorders>
              <w:top w:val="nil"/>
              <w:left w:val="nil"/>
              <w:bottom w:val="nil"/>
              <w:right w:val="nil"/>
            </w:tcBorders>
            <w:shd w:val="clear" w:color="000000" w:fill="000099"/>
            <w:vAlign w:val="center"/>
            <w:hideMark/>
          </w:tcPr>
          <w:p w14:paraId="470DCE6F"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77B54B6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11B329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B6FD7B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CB2742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B09CA8C" w14:textId="77777777" w:rsidTr="00BC5C33">
        <w:trPr>
          <w:trHeight w:val="255"/>
        </w:trPr>
        <w:tc>
          <w:tcPr>
            <w:tcW w:w="2263" w:type="pct"/>
            <w:tcBorders>
              <w:top w:val="nil"/>
              <w:left w:val="nil"/>
              <w:bottom w:val="nil"/>
              <w:right w:val="nil"/>
            </w:tcBorders>
            <w:shd w:val="clear" w:color="000000" w:fill="FFFFFF"/>
            <w:vAlign w:val="center"/>
            <w:hideMark/>
          </w:tcPr>
          <w:p w14:paraId="68E1947E"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000000" w:fill="CCECFF"/>
            <w:vAlign w:val="bottom"/>
            <w:hideMark/>
          </w:tcPr>
          <w:p w14:paraId="310A8E9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7D0D61D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(22,871)</w:t>
            </w:r>
          </w:p>
        </w:tc>
        <w:tc>
          <w:tcPr>
            <w:tcW w:w="684" w:type="pct"/>
            <w:tcBorders>
              <w:top w:val="nil"/>
              <w:left w:val="nil"/>
              <w:bottom w:val="nil"/>
              <w:right w:val="nil"/>
            </w:tcBorders>
            <w:shd w:val="clear" w:color="000000" w:fill="CCECFF"/>
            <w:vAlign w:val="bottom"/>
            <w:hideMark/>
          </w:tcPr>
          <w:p w14:paraId="056F624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(1,526)</w:t>
            </w:r>
          </w:p>
        </w:tc>
        <w:tc>
          <w:tcPr>
            <w:tcW w:w="684" w:type="pct"/>
            <w:tcBorders>
              <w:top w:val="nil"/>
              <w:left w:val="nil"/>
              <w:bottom w:val="nil"/>
              <w:right w:val="nil"/>
            </w:tcBorders>
            <w:shd w:val="clear" w:color="000000" w:fill="CCECFF"/>
            <w:vAlign w:val="bottom"/>
            <w:hideMark/>
          </w:tcPr>
          <w:p w14:paraId="1D1A0A4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(24,397)</w:t>
            </w:r>
          </w:p>
        </w:tc>
      </w:tr>
      <w:tr w:rsidR="00EB4969" w:rsidRPr="00EB4969" w14:paraId="5C78DF62" w14:textId="77777777" w:rsidTr="00BC5C33">
        <w:trPr>
          <w:trHeight w:val="255"/>
        </w:trPr>
        <w:tc>
          <w:tcPr>
            <w:tcW w:w="2263" w:type="pct"/>
            <w:tcBorders>
              <w:top w:val="nil"/>
              <w:left w:val="nil"/>
              <w:bottom w:val="nil"/>
              <w:right w:val="nil"/>
            </w:tcBorders>
            <w:shd w:val="clear" w:color="000000" w:fill="FFFFFF"/>
            <w:vAlign w:val="center"/>
            <w:hideMark/>
          </w:tcPr>
          <w:p w14:paraId="11AC1489"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000000" w:fill="CCECFF"/>
            <w:vAlign w:val="bottom"/>
            <w:hideMark/>
          </w:tcPr>
          <w:p w14:paraId="119C7DA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3B8E084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2E048A2"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014F5B9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7EEB300" w14:textId="77777777" w:rsidTr="00BC5C33">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241E894C"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000000" w:fill="CCECFF"/>
            <w:vAlign w:val="bottom"/>
            <w:hideMark/>
          </w:tcPr>
          <w:p w14:paraId="4285ED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CCECFF"/>
            <w:vAlign w:val="bottom"/>
            <w:hideMark/>
          </w:tcPr>
          <w:p w14:paraId="26F9AB6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000000" w:fill="CCECFF"/>
            <w:vAlign w:val="bottom"/>
            <w:hideMark/>
          </w:tcPr>
          <w:p w14:paraId="53316290"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000000" w:fill="CCECFF"/>
            <w:vAlign w:val="bottom"/>
            <w:hideMark/>
          </w:tcPr>
          <w:p w14:paraId="289F077B"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r w:rsidR="00EB4969" w:rsidRPr="00EB4969" w14:paraId="7172CD4B" w14:textId="77777777" w:rsidTr="00BC5C33">
        <w:trPr>
          <w:trHeight w:val="255"/>
        </w:trPr>
        <w:tc>
          <w:tcPr>
            <w:tcW w:w="2263" w:type="pct"/>
            <w:tcBorders>
              <w:top w:val="nil"/>
              <w:left w:val="nil"/>
              <w:bottom w:val="nil"/>
              <w:right w:val="nil"/>
            </w:tcBorders>
            <w:shd w:val="clear" w:color="000000" w:fill="FFFFFF"/>
            <w:vAlign w:val="center"/>
            <w:hideMark/>
          </w:tcPr>
          <w:p w14:paraId="1B56057B"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000000" w:fill="CCECFF"/>
            <w:vAlign w:val="bottom"/>
            <w:hideMark/>
          </w:tcPr>
          <w:p w14:paraId="4E1D0A8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4B2A15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287CCAF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682C2A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4811A4E" w14:textId="77777777" w:rsidTr="00BC5C33">
        <w:trPr>
          <w:trHeight w:val="255"/>
        </w:trPr>
        <w:tc>
          <w:tcPr>
            <w:tcW w:w="2263" w:type="pct"/>
            <w:tcBorders>
              <w:top w:val="nil"/>
              <w:left w:val="nil"/>
              <w:bottom w:val="nil"/>
              <w:right w:val="nil"/>
            </w:tcBorders>
            <w:shd w:val="clear" w:color="000000" w:fill="FFFFFF"/>
            <w:vAlign w:val="center"/>
            <w:hideMark/>
          </w:tcPr>
          <w:p w14:paraId="5C3AB8C5"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000000" w:fill="CCECFF"/>
            <w:vAlign w:val="bottom"/>
            <w:hideMark/>
          </w:tcPr>
          <w:p w14:paraId="53CF479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1FA468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09702DEB"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2F9E3C6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4BD5D2" w14:textId="77777777" w:rsidTr="00BC5C33">
        <w:trPr>
          <w:trHeight w:val="255"/>
        </w:trPr>
        <w:tc>
          <w:tcPr>
            <w:tcW w:w="2263" w:type="pct"/>
            <w:tcBorders>
              <w:top w:val="nil"/>
              <w:left w:val="nil"/>
              <w:bottom w:val="nil"/>
              <w:right w:val="nil"/>
            </w:tcBorders>
            <w:shd w:val="clear" w:color="000000" w:fill="FFFFFF"/>
            <w:vAlign w:val="center"/>
            <w:hideMark/>
          </w:tcPr>
          <w:p w14:paraId="47DB141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000000" w:fill="CCECFF"/>
            <w:vAlign w:val="bottom"/>
            <w:hideMark/>
          </w:tcPr>
          <w:p w14:paraId="3A9E12C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5D42B85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63A6412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CCECFF"/>
            <w:vAlign w:val="bottom"/>
            <w:hideMark/>
          </w:tcPr>
          <w:p w14:paraId="7C1EA92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8DE240C" w14:textId="77777777" w:rsidTr="00BC5C33">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5B56A9FC" w14:textId="12536CC0"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 xml:space="preserve">Difference between the Statutory Charge and the </w:t>
            </w:r>
            <w:r w:rsidR="00090967">
              <w:rPr>
                <w:rFonts w:eastAsia="Times New Roman" w:cs="Calibri"/>
                <w:b/>
                <w:bCs/>
                <w:color w:val="auto"/>
                <w:szCs w:val="20"/>
                <w:lang w:eastAsia="en-GB"/>
              </w:rPr>
              <w:t>(</w:t>
            </w:r>
            <w:r w:rsidRPr="00EB4969">
              <w:rPr>
                <w:rFonts w:eastAsia="Times New Roman" w:cs="Calibri"/>
                <w:b/>
                <w:bCs/>
                <w:color w:val="auto"/>
                <w:szCs w:val="20"/>
                <w:lang w:eastAsia="en-GB"/>
              </w:rPr>
              <w:t>Surplus</w:t>
            </w:r>
            <w:r w:rsidR="00090967">
              <w:rPr>
                <w:rFonts w:eastAsia="Times New Roman" w:cs="Calibri"/>
                <w:b/>
                <w:bCs/>
                <w:color w:val="auto"/>
                <w:szCs w:val="20"/>
                <w:lang w:eastAsia="en-GB"/>
              </w:rPr>
              <w:t>)</w:t>
            </w:r>
            <w:r w:rsidRPr="00EB4969">
              <w:rPr>
                <w:rFonts w:eastAsia="Times New Roman" w:cs="Calibri"/>
                <w:b/>
                <w:bCs/>
                <w:color w:val="auto"/>
                <w:szCs w:val="20"/>
                <w:lang w:eastAsia="en-GB"/>
              </w:rPr>
              <w:t xml:space="preserve"> or Deficit in the Comprehensive Income and Expenditure Statement</w:t>
            </w:r>
          </w:p>
        </w:tc>
        <w:tc>
          <w:tcPr>
            <w:tcW w:w="684" w:type="pct"/>
            <w:tcBorders>
              <w:top w:val="single" w:sz="4" w:space="0" w:color="auto"/>
              <w:left w:val="nil"/>
              <w:bottom w:val="single" w:sz="4" w:space="0" w:color="auto"/>
              <w:right w:val="nil"/>
            </w:tcBorders>
            <w:shd w:val="clear" w:color="000000" w:fill="CCECFF"/>
            <w:vAlign w:val="center"/>
            <w:hideMark/>
          </w:tcPr>
          <w:p w14:paraId="26C41A7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CCECFF"/>
            <w:vAlign w:val="center"/>
            <w:hideMark/>
          </w:tcPr>
          <w:p w14:paraId="4C37181F"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000000" w:fill="CCECFF"/>
            <w:vAlign w:val="center"/>
            <w:hideMark/>
          </w:tcPr>
          <w:p w14:paraId="78A54A8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000000" w:fill="CCECFF"/>
            <w:vAlign w:val="center"/>
            <w:hideMark/>
          </w:tcPr>
          <w:p w14:paraId="782830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bl>
    <w:p w14:paraId="15CE84A2" w14:textId="3321C9CE" w:rsidR="00F0201F" w:rsidRDefault="00F0201F" w:rsidP="00161E23"/>
    <w:tbl>
      <w:tblPr>
        <w:tblW w:w="5000" w:type="pct"/>
        <w:tblLook w:val="04A0" w:firstRow="1" w:lastRow="0" w:firstColumn="1" w:lastColumn="0" w:noHBand="0" w:noVBand="1"/>
      </w:tblPr>
      <w:tblGrid>
        <w:gridCol w:w="4363"/>
        <w:gridCol w:w="1319"/>
        <w:gridCol w:w="1319"/>
        <w:gridCol w:w="1319"/>
        <w:gridCol w:w="1319"/>
      </w:tblGrid>
      <w:tr w:rsidR="00EB4969" w:rsidRPr="00EB4969" w14:paraId="0F26B4D3" w14:textId="77777777" w:rsidTr="00BC5C33">
        <w:trPr>
          <w:trHeight w:val="765"/>
        </w:trPr>
        <w:tc>
          <w:tcPr>
            <w:tcW w:w="2263" w:type="pct"/>
            <w:tcBorders>
              <w:top w:val="nil"/>
              <w:left w:val="nil"/>
              <w:bottom w:val="nil"/>
              <w:right w:val="nil"/>
            </w:tcBorders>
            <w:shd w:val="clear" w:color="000000" w:fill="000099"/>
            <w:vAlign w:val="center"/>
            <w:hideMark/>
          </w:tcPr>
          <w:p w14:paraId="6F0C0580"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2022/23</w:t>
            </w:r>
          </w:p>
        </w:tc>
        <w:tc>
          <w:tcPr>
            <w:tcW w:w="684" w:type="pct"/>
            <w:tcBorders>
              <w:top w:val="nil"/>
              <w:left w:val="nil"/>
              <w:bottom w:val="nil"/>
              <w:right w:val="nil"/>
            </w:tcBorders>
            <w:shd w:val="clear" w:color="000000" w:fill="000099"/>
            <w:vAlign w:val="center"/>
            <w:hideMark/>
          </w:tcPr>
          <w:p w14:paraId="3B3BF07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0585E85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7D2E3D6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71F640F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89A767B" w14:textId="77777777" w:rsidTr="00BC5C33">
        <w:trPr>
          <w:trHeight w:val="255"/>
        </w:trPr>
        <w:tc>
          <w:tcPr>
            <w:tcW w:w="2263" w:type="pct"/>
            <w:tcBorders>
              <w:top w:val="nil"/>
              <w:left w:val="nil"/>
              <w:bottom w:val="nil"/>
              <w:right w:val="nil"/>
            </w:tcBorders>
            <w:shd w:val="clear" w:color="000000" w:fill="000099"/>
            <w:vAlign w:val="center"/>
            <w:hideMark/>
          </w:tcPr>
          <w:p w14:paraId="5AF3B095"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51CA2B3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3E94DE0"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385D633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71B5055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70BC87A4" w14:textId="77777777" w:rsidTr="00BC5C33">
        <w:trPr>
          <w:trHeight w:val="255"/>
        </w:trPr>
        <w:tc>
          <w:tcPr>
            <w:tcW w:w="2263" w:type="pct"/>
            <w:tcBorders>
              <w:top w:val="nil"/>
              <w:left w:val="nil"/>
              <w:bottom w:val="nil"/>
              <w:right w:val="nil"/>
            </w:tcBorders>
            <w:shd w:val="clear" w:color="000000" w:fill="FFFFFF"/>
            <w:vAlign w:val="center"/>
            <w:hideMark/>
          </w:tcPr>
          <w:p w14:paraId="68C01609"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000000" w:fill="FFFFFF"/>
            <w:vAlign w:val="bottom"/>
            <w:hideMark/>
          </w:tcPr>
          <w:p w14:paraId="2C1A50C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089ABA2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(52,152)</w:t>
            </w:r>
          </w:p>
        </w:tc>
        <w:tc>
          <w:tcPr>
            <w:tcW w:w="684" w:type="pct"/>
            <w:tcBorders>
              <w:top w:val="nil"/>
              <w:left w:val="nil"/>
              <w:bottom w:val="nil"/>
              <w:right w:val="nil"/>
            </w:tcBorders>
            <w:shd w:val="clear" w:color="000000" w:fill="FFFFFF"/>
            <w:vAlign w:val="bottom"/>
            <w:hideMark/>
          </w:tcPr>
          <w:p w14:paraId="32E3BF9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(893)</w:t>
            </w:r>
          </w:p>
        </w:tc>
        <w:tc>
          <w:tcPr>
            <w:tcW w:w="684" w:type="pct"/>
            <w:tcBorders>
              <w:top w:val="nil"/>
              <w:left w:val="nil"/>
              <w:bottom w:val="nil"/>
              <w:right w:val="nil"/>
            </w:tcBorders>
            <w:shd w:val="clear" w:color="000000" w:fill="FFFFFF"/>
            <w:vAlign w:val="bottom"/>
            <w:hideMark/>
          </w:tcPr>
          <w:p w14:paraId="663A96E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(53,045)</w:t>
            </w:r>
          </w:p>
        </w:tc>
      </w:tr>
      <w:tr w:rsidR="00EB4969" w:rsidRPr="00EB4969" w14:paraId="4917EC4A" w14:textId="77777777" w:rsidTr="00BC5C33">
        <w:trPr>
          <w:trHeight w:val="255"/>
        </w:trPr>
        <w:tc>
          <w:tcPr>
            <w:tcW w:w="2263" w:type="pct"/>
            <w:tcBorders>
              <w:top w:val="nil"/>
              <w:left w:val="nil"/>
              <w:bottom w:val="nil"/>
              <w:right w:val="nil"/>
            </w:tcBorders>
            <w:shd w:val="clear" w:color="000000" w:fill="FFFFFF"/>
            <w:vAlign w:val="center"/>
            <w:hideMark/>
          </w:tcPr>
          <w:p w14:paraId="0BAC895B"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000000" w:fill="FFFFFF"/>
            <w:vAlign w:val="bottom"/>
            <w:hideMark/>
          </w:tcPr>
          <w:p w14:paraId="751E156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1E27730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6A75656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34C01CA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4051E86" w14:textId="77777777" w:rsidTr="00BC5C33">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35D0A082"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000000" w:fill="FFFFFF"/>
            <w:vAlign w:val="bottom"/>
            <w:hideMark/>
          </w:tcPr>
          <w:p w14:paraId="1FAA7BF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FFFFFF"/>
            <w:vAlign w:val="bottom"/>
            <w:hideMark/>
          </w:tcPr>
          <w:p w14:paraId="6A6252F3"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(52,152)</w:t>
            </w:r>
          </w:p>
        </w:tc>
        <w:tc>
          <w:tcPr>
            <w:tcW w:w="684" w:type="pct"/>
            <w:tcBorders>
              <w:top w:val="single" w:sz="4" w:space="0" w:color="auto"/>
              <w:left w:val="nil"/>
              <w:bottom w:val="single" w:sz="4" w:space="0" w:color="auto"/>
              <w:right w:val="nil"/>
            </w:tcBorders>
            <w:shd w:val="clear" w:color="000000" w:fill="FFFFFF"/>
            <w:vAlign w:val="bottom"/>
            <w:hideMark/>
          </w:tcPr>
          <w:p w14:paraId="5915122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(893)</w:t>
            </w:r>
          </w:p>
        </w:tc>
        <w:tc>
          <w:tcPr>
            <w:tcW w:w="684" w:type="pct"/>
            <w:tcBorders>
              <w:top w:val="single" w:sz="4" w:space="0" w:color="auto"/>
              <w:left w:val="nil"/>
              <w:bottom w:val="single" w:sz="4" w:space="0" w:color="auto"/>
              <w:right w:val="nil"/>
            </w:tcBorders>
            <w:shd w:val="clear" w:color="000000" w:fill="FFFFFF"/>
            <w:vAlign w:val="bottom"/>
            <w:hideMark/>
          </w:tcPr>
          <w:p w14:paraId="18669F9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(53,045)</w:t>
            </w:r>
          </w:p>
        </w:tc>
      </w:tr>
      <w:tr w:rsidR="00EB4969" w:rsidRPr="00EB4969" w14:paraId="66386E5F" w14:textId="77777777" w:rsidTr="00BC5C33">
        <w:trPr>
          <w:trHeight w:val="255"/>
        </w:trPr>
        <w:tc>
          <w:tcPr>
            <w:tcW w:w="2263" w:type="pct"/>
            <w:tcBorders>
              <w:top w:val="nil"/>
              <w:left w:val="nil"/>
              <w:bottom w:val="nil"/>
              <w:right w:val="nil"/>
            </w:tcBorders>
            <w:shd w:val="clear" w:color="000000" w:fill="FFFFFF"/>
            <w:vAlign w:val="center"/>
            <w:hideMark/>
          </w:tcPr>
          <w:p w14:paraId="4370DD23"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000000" w:fill="FFFFFF"/>
            <w:vAlign w:val="bottom"/>
            <w:hideMark/>
          </w:tcPr>
          <w:p w14:paraId="5BE0551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482E2BB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2E50518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5A5411B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7D914B6" w14:textId="77777777" w:rsidTr="00BC5C33">
        <w:trPr>
          <w:trHeight w:val="255"/>
        </w:trPr>
        <w:tc>
          <w:tcPr>
            <w:tcW w:w="2263" w:type="pct"/>
            <w:tcBorders>
              <w:top w:val="nil"/>
              <w:left w:val="nil"/>
              <w:bottom w:val="nil"/>
              <w:right w:val="nil"/>
            </w:tcBorders>
            <w:shd w:val="clear" w:color="000000" w:fill="FFFFFF"/>
            <w:vAlign w:val="center"/>
            <w:hideMark/>
          </w:tcPr>
          <w:p w14:paraId="1DEF2B00"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000000" w:fill="FFFFFF"/>
            <w:vAlign w:val="bottom"/>
            <w:hideMark/>
          </w:tcPr>
          <w:p w14:paraId="7B51557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A48DED1"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5898EC7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DB36FE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D53D373" w14:textId="77777777" w:rsidTr="00BC5C33">
        <w:trPr>
          <w:trHeight w:val="255"/>
        </w:trPr>
        <w:tc>
          <w:tcPr>
            <w:tcW w:w="2263" w:type="pct"/>
            <w:tcBorders>
              <w:top w:val="nil"/>
              <w:left w:val="nil"/>
              <w:bottom w:val="nil"/>
              <w:right w:val="nil"/>
            </w:tcBorders>
            <w:shd w:val="clear" w:color="000000" w:fill="FFFFFF"/>
            <w:vAlign w:val="center"/>
            <w:hideMark/>
          </w:tcPr>
          <w:p w14:paraId="0DFC66A8"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000000" w:fill="FFFFFF"/>
            <w:vAlign w:val="bottom"/>
            <w:hideMark/>
          </w:tcPr>
          <w:p w14:paraId="26FAFB0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057CCD4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1FDCDEB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000000" w:fill="FFFFFF"/>
            <w:vAlign w:val="bottom"/>
            <w:hideMark/>
          </w:tcPr>
          <w:p w14:paraId="7757C60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10F15D" w14:textId="77777777" w:rsidTr="00BC5C33">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13E3E0E2" w14:textId="2DF3D3C8"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 xml:space="preserve">Difference between the Statutory Charge and the </w:t>
            </w:r>
            <w:r w:rsidR="00090967">
              <w:rPr>
                <w:rFonts w:eastAsia="Times New Roman" w:cs="Calibri"/>
                <w:b/>
                <w:bCs/>
                <w:color w:val="auto"/>
                <w:szCs w:val="20"/>
                <w:lang w:eastAsia="en-GB"/>
              </w:rPr>
              <w:t>(</w:t>
            </w:r>
            <w:r w:rsidRPr="00EB4969">
              <w:rPr>
                <w:rFonts w:eastAsia="Times New Roman" w:cs="Calibri"/>
                <w:b/>
                <w:bCs/>
                <w:color w:val="auto"/>
                <w:szCs w:val="20"/>
                <w:lang w:eastAsia="en-GB"/>
              </w:rPr>
              <w:t>Surplus</w:t>
            </w:r>
            <w:r w:rsidR="00090967">
              <w:rPr>
                <w:rFonts w:eastAsia="Times New Roman" w:cs="Calibri"/>
                <w:b/>
                <w:bCs/>
                <w:color w:val="auto"/>
                <w:szCs w:val="20"/>
                <w:lang w:eastAsia="en-GB"/>
              </w:rPr>
              <w:t>)</w:t>
            </w:r>
            <w:r w:rsidRPr="00EB4969">
              <w:rPr>
                <w:rFonts w:eastAsia="Times New Roman" w:cs="Calibri"/>
                <w:b/>
                <w:bCs/>
                <w:color w:val="auto"/>
                <w:szCs w:val="20"/>
                <w:lang w:eastAsia="en-GB"/>
              </w:rPr>
              <w:t xml:space="preserve"> or Deficit in the Comprehensive Income and Expenditure Statement</w:t>
            </w:r>
          </w:p>
        </w:tc>
        <w:tc>
          <w:tcPr>
            <w:tcW w:w="684" w:type="pct"/>
            <w:tcBorders>
              <w:top w:val="single" w:sz="4" w:space="0" w:color="auto"/>
              <w:left w:val="nil"/>
              <w:bottom w:val="single" w:sz="4" w:space="0" w:color="auto"/>
              <w:right w:val="nil"/>
            </w:tcBorders>
            <w:shd w:val="clear" w:color="000000" w:fill="FFFFFF"/>
            <w:vAlign w:val="center"/>
            <w:hideMark/>
          </w:tcPr>
          <w:p w14:paraId="28370C8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000000" w:fill="FFFFFF"/>
            <w:vAlign w:val="center"/>
            <w:hideMark/>
          </w:tcPr>
          <w:p w14:paraId="62E95DE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(52,152)</w:t>
            </w:r>
          </w:p>
        </w:tc>
        <w:tc>
          <w:tcPr>
            <w:tcW w:w="684" w:type="pct"/>
            <w:tcBorders>
              <w:top w:val="single" w:sz="4" w:space="0" w:color="auto"/>
              <w:left w:val="nil"/>
              <w:bottom w:val="single" w:sz="4" w:space="0" w:color="auto"/>
              <w:right w:val="nil"/>
            </w:tcBorders>
            <w:shd w:val="clear" w:color="000000" w:fill="FFFFFF"/>
            <w:vAlign w:val="center"/>
            <w:hideMark/>
          </w:tcPr>
          <w:p w14:paraId="2DC366B8"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(893)</w:t>
            </w:r>
          </w:p>
        </w:tc>
        <w:tc>
          <w:tcPr>
            <w:tcW w:w="684" w:type="pct"/>
            <w:tcBorders>
              <w:top w:val="single" w:sz="4" w:space="0" w:color="auto"/>
              <w:left w:val="nil"/>
              <w:bottom w:val="single" w:sz="4" w:space="0" w:color="auto"/>
              <w:right w:val="nil"/>
            </w:tcBorders>
            <w:shd w:val="clear" w:color="000000" w:fill="FFFFFF"/>
            <w:vAlign w:val="center"/>
            <w:hideMark/>
          </w:tcPr>
          <w:p w14:paraId="3C485C7D"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(53,045)</w:t>
            </w:r>
          </w:p>
        </w:tc>
      </w:tr>
    </w:tbl>
    <w:p w14:paraId="26A4107D" w14:textId="77777777" w:rsidR="00CB4FA1" w:rsidRPr="00605514" w:rsidRDefault="00CB4FA1" w:rsidP="00161E23">
      <w:pPr>
        <w:rPr>
          <w:rFonts w:ascii="Verdana" w:eastAsia="Times New Roman" w:hAnsi="Verdana" w:cs="Times New Roman"/>
          <w:color w:val="333399"/>
          <w:spacing w:val="20"/>
          <w:sz w:val="16"/>
          <w:szCs w:val="20"/>
        </w:rPr>
      </w:pPr>
    </w:p>
    <w:p w14:paraId="43ABCED5" w14:textId="506390F3" w:rsidR="002522D4" w:rsidRDefault="002522D4" w:rsidP="00161E23">
      <w:pPr>
        <w:pStyle w:val="NoteHeader"/>
      </w:pPr>
      <w:bookmarkStart w:id="99" w:name="_Toc517077280"/>
      <w:bookmarkStart w:id="100" w:name="_Toc9272506"/>
      <w:bookmarkStart w:id="101" w:name="_Toc9592052"/>
      <w:bookmarkStart w:id="102" w:name="_Toc109632203"/>
      <w:bookmarkStart w:id="103" w:name="_Toc191457320"/>
      <w:r w:rsidRPr="00BC33FA">
        <w:t>Note 5B - Segmental Analysis of Income and Expenditure</w:t>
      </w:r>
      <w:bookmarkEnd w:id="99"/>
      <w:bookmarkEnd w:id="100"/>
      <w:bookmarkEnd w:id="101"/>
      <w:bookmarkEnd w:id="102"/>
      <w:bookmarkEnd w:id="103"/>
    </w:p>
    <w:p w14:paraId="69C5A57C" w14:textId="34294E16" w:rsidR="00CB4FA1" w:rsidRPr="00605514" w:rsidRDefault="00CB4FA1" w:rsidP="00161E23">
      <w:pPr>
        <w:rPr>
          <w:sz w:val="16"/>
          <w:szCs w:val="16"/>
        </w:rPr>
      </w:pPr>
    </w:p>
    <w:tbl>
      <w:tblPr>
        <w:tblW w:w="5000" w:type="pct"/>
        <w:tblLook w:val="04A0" w:firstRow="1" w:lastRow="0" w:firstColumn="1" w:lastColumn="0" w:noHBand="0" w:noVBand="1"/>
      </w:tblPr>
      <w:tblGrid>
        <w:gridCol w:w="2552"/>
        <w:gridCol w:w="1943"/>
        <w:gridCol w:w="1425"/>
        <w:gridCol w:w="1386"/>
        <w:gridCol w:w="2333"/>
      </w:tblGrid>
      <w:tr w:rsidR="00EB4969" w:rsidRPr="00EB4969" w14:paraId="4A4AB903" w14:textId="77777777" w:rsidTr="00BC5C33">
        <w:trPr>
          <w:trHeight w:val="765"/>
        </w:trPr>
        <w:tc>
          <w:tcPr>
            <w:tcW w:w="1324" w:type="pct"/>
            <w:tcBorders>
              <w:top w:val="nil"/>
              <w:left w:val="nil"/>
              <w:bottom w:val="nil"/>
              <w:right w:val="nil"/>
            </w:tcBorders>
            <w:shd w:val="clear" w:color="000000" w:fill="000099"/>
            <w:vAlign w:val="center"/>
            <w:hideMark/>
          </w:tcPr>
          <w:p w14:paraId="6617185B"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1008" w:type="pct"/>
            <w:tcBorders>
              <w:top w:val="nil"/>
              <w:left w:val="nil"/>
              <w:bottom w:val="nil"/>
              <w:right w:val="nil"/>
            </w:tcBorders>
            <w:shd w:val="clear" w:color="000000" w:fill="000099"/>
            <w:vAlign w:val="center"/>
            <w:hideMark/>
          </w:tcPr>
          <w:p w14:paraId="1F0E561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Revenues from External Customers</w:t>
            </w:r>
          </w:p>
        </w:tc>
        <w:tc>
          <w:tcPr>
            <w:tcW w:w="739" w:type="pct"/>
            <w:tcBorders>
              <w:top w:val="nil"/>
              <w:left w:val="nil"/>
              <w:bottom w:val="nil"/>
              <w:right w:val="nil"/>
            </w:tcBorders>
            <w:shd w:val="clear" w:color="000000" w:fill="000099"/>
            <w:vAlign w:val="center"/>
            <w:hideMark/>
          </w:tcPr>
          <w:p w14:paraId="040993F0"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Revenue</w:t>
            </w:r>
          </w:p>
        </w:tc>
        <w:tc>
          <w:tcPr>
            <w:tcW w:w="719" w:type="pct"/>
            <w:tcBorders>
              <w:top w:val="nil"/>
              <w:left w:val="nil"/>
              <w:bottom w:val="nil"/>
              <w:right w:val="nil"/>
            </w:tcBorders>
            <w:shd w:val="clear" w:color="000000" w:fill="000099"/>
            <w:vAlign w:val="center"/>
            <w:hideMark/>
          </w:tcPr>
          <w:p w14:paraId="7E7D210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Expense</w:t>
            </w:r>
          </w:p>
        </w:tc>
        <w:tc>
          <w:tcPr>
            <w:tcW w:w="1210" w:type="pct"/>
            <w:tcBorders>
              <w:top w:val="nil"/>
              <w:left w:val="nil"/>
              <w:bottom w:val="nil"/>
              <w:right w:val="nil"/>
            </w:tcBorders>
            <w:shd w:val="clear" w:color="000000" w:fill="000099"/>
            <w:vAlign w:val="center"/>
            <w:hideMark/>
          </w:tcPr>
          <w:p w14:paraId="2168BDE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 xml:space="preserve">Depreciation and Amortisation </w:t>
            </w:r>
          </w:p>
        </w:tc>
      </w:tr>
      <w:tr w:rsidR="00EB4969" w:rsidRPr="00EB4969" w14:paraId="392FF4EB" w14:textId="77777777" w:rsidTr="00BC5C33">
        <w:trPr>
          <w:trHeight w:val="255"/>
        </w:trPr>
        <w:tc>
          <w:tcPr>
            <w:tcW w:w="1324" w:type="pct"/>
            <w:tcBorders>
              <w:top w:val="nil"/>
              <w:left w:val="nil"/>
              <w:bottom w:val="nil"/>
              <w:right w:val="nil"/>
            </w:tcBorders>
            <w:shd w:val="clear" w:color="000000" w:fill="000099"/>
            <w:vAlign w:val="center"/>
            <w:hideMark/>
          </w:tcPr>
          <w:p w14:paraId="2FA87D5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1008" w:type="pct"/>
            <w:tcBorders>
              <w:top w:val="nil"/>
              <w:left w:val="nil"/>
              <w:bottom w:val="nil"/>
              <w:right w:val="nil"/>
            </w:tcBorders>
            <w:shd w:val="clear" w:color="000000" w:fill="000099"/>
            <w:vAlign w:val="center"/>
            <w:hideMark/>
          </w:tcPr>
          <w:p w14:paraId="6DDE010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39" w:type="pct"/>
            <w:tcBorders>
              <w:top w:val="nil"/>
              <w:left w:val="nil"/>
              <w:bottom w:val="nil"/>
              <w:right w:val="nil"/>
            </w:tcBorders>
            <w:shd w:val="clear" w:color="000000" w:fill="000099"/>
            <w:vAlign w:val="center"/>
            <w:hideMark/>
          </w:tcPr>
          <w:p w14:paraId="78DA0B6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19" w:type="pct"/>
            <w:tcBorders>
              <w:top w:val="nil"/>
              <w:left w:val="nil"/>
              <w:bottom w:val="nil"/>
              <w:right w:val="nil"/>
            </w:tcBorders>
            <w:shd w:val="clear" w:color="000000" w:fill="000099"/>
            <w:vAlign w:val="center"/>
            <w:hideMark/>
          </w:tcPr>
          <w:p w14:paraId="5FF498E1"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1210" w:type="pct"/>
            <w:tcBorders>
              <w:top w:val="nil"/>
              <w:left w:val="nil"/>
              <w:bottom w:val="nil"/>
              <w:right w:val="nil"/>
            </w:tcBorders>
            <w:shd w:val="clear" w:color="000000" w:fill="000099"/>
            <w:vAlign w:val="center"/>
            <w:hideMark/>
          </w:tcPr>
          <w:p w14:paraId="4599D29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2061DB36" w14:textId="77777777" w:rsidTr="00BC5C33">
        <w:trPr>
          <w:trHeight w:val="255"/>
        </w:trPr>
        <w:tc>
          <w:tcPr>
            <w:tcW w:w="1324" w:type="pct"/>
            <w:tcBorders>
              <w:top w:val="nil"/>
              <w:left w:val="nil"/>
              <w:bottom w:val="nil"/>
              <w:right w:val="nil"/>
            </w:tcBorders>
            <w:shd w:val="clear" w:color="000000" w:fill="FFFFFF"/>
            <w:vAlign w:val="center"/>
            <w:hideMark/>
          </w:tcPr>
          <w:p w14:paraId="7FD3B8F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1008" w:type="pct"/>
            <w:tcBorders>
              <w:top w:val="nil"/>
              <w:left w:val="nil"/>
              <w:bottom w:val="nil"/>
              <w:right w:val="nil"/>
            </w:tcBorders>
            <w:shd w:val="clear" w:color="000000" w:fill="CCECFF"/>
            <w:vAlign w:val="bottom"/>
            <w:hideMark/>
          </w:tcPr>
          <w:p w14:paraId="786B63D2" w14:textId="661ADEEF"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w:t>
            </w:r>
            <w:r w:rsidR="0052280B">
              <w:rPr>
                <w:rFonts w:eastAsia="Times New Roman" w:cs="Calibri"/>
                <w:color w:val="000000"/>
                <w:szCs w:val="20"/>
                <w:lang w:eastAsia="en-GB"/>
              </w:rPr>
              <w:t>5</w:t>
            </w:r>
            <w:r w:rsidRPr="00EB4969">
              <w:rPr>
                <w:rFonts w:eastAsia="Times New Roman" w:cs="Calibri"/>
                <w:color w:val="000000"/>
                <w:szCs w:val="20"/>
                <w:lang w:eastAsia="en-GB"/>
              </w:rPr>
              <w:t>,</w:t>
            </w:r>
            <w:r w:rsidR="0052280B">
              <w:rPr>
                <w:rFonts w:eastAsia="Times New Roman" w:cs="Calibri"/>
                <w:color w:val="000000"/>
                <w:szCs w:val="20"/>
                <w:lang w:eastAsia="en-GB"/>
              </w:rPr>
              <w:t>592</w:t>
            </w:r>
            <w:r w:rsidRPr="00EB4969">
              <w:rPr>
                <w:rFonts w:eastAsia="Times New Roman" w:cs="Calibri"/>
                <w:color w:val="000000"/>
                <w:szCs w:val="20"/>
                <w:lang w:eastAsia="en-GB"/>
              </w:rPr>
              <w:t>)</w:t>
            </w:r>
          </w:p>
        </w:tc>
        <w:tc>
          <w:tcPr>
            <w:tcW w:w="739" w:type="pct"/>
            <w:tcBorders>
              <w:top w:val="nil"/>
              <w:left w:val="nil"/>
              <w:bottom w:val="nil"/>
              <w:right w:val="nil"/>
            </w:tcBorders>
            <w:shd w:val="clear" w:color="000000" w:fill="CCECFF"/>
            <w:vAlign w:val="bottom"/>
            <w:hideMark/>
          </w:tcPr>
          <w:p w14:paraId="4AE160C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(681)</w:t>
            </w:r>
          </w:p>
        </w:tc>
        <w:tc>
          <w:tcPr>
            <w:tcW w:w="719" w:type="pct"/>
            <w:tcBorders>
              <w:top w:val="nil"/>
              <w:left w:val="nil"/>
              <w:bottom w:val="nil"/>
              <w:right w:val="nil"/>
            </w:tcBorders>
            <w:shd w:val="clear" w:color="000000" w:fill="CCECFF"/>
            <w:vAlign w:val="bottom"/>
            <w:hideMark/>
          </w:tcPr>
          <w:p w14:paraId="434B9FD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CCECFF"/>
            <w:vAlign w:val="bottom"/>
            <w:hideMark/>
          </w:tcPr>
          <w:p w14:paraId="4740EA1B" w14:textId="5C7CD21B" w:rsidR="00EB4969" w:rsidRPr="00EB4969" w:rsidRDefault="004F54FD" w:rsidP="00EB4969">
            <w:pPr>
              <w:spacing w:line="240" w:lineRule="auto"/>
              <w:jc w:val="right"/>
              <w:rPr>
                <w:rFonts w:eastAsia="Times New Roman" w:cs="Calibri"/>
                <w:color w:val="auto"/>
                <w:szCs w:val="20"/>
                <w:lang w:eastAsia="en-GB"/>
              </w:rPr>
            </w:pPr>
            <w:r>
              <w:rPr>
                <w:rFonts w:eastAsia="Times New Roman" w:cs="Calibri"/>
                <w:color w:val="auto"/>
                <w:szCs w:val="20"/>
                <w:lang w:eastAsia="en-GB"/>
              </w:rPr>
              <w:t>-</w:t>
            </w:r>
          </w:p>
        </w:tc>
      </w:tr>
      <w:tr w:rsidR="00EB4969" w:rsidRPr="00EB4969" w14:paraId="3362EDD1" w14:textId="77777777" w:rsidTr="00BC5C33">
        <w:trPr>
          <w:trHeight w:val="255"/>
        </w:trPr>
        <w:tc>
          <w:tcPr>
            <w:tcW w:w="1324" w:type="pct"/>
            <w:tcBorders>
              <w:top w:val="nil"/>
              <w:left w:val="nil"/>
              <w:bottom w:val="nil"/>
              <w:right w:val="nil"/>
            </w:tcBorders>
            <w:shd w:val="clear" w:color="000000" w:fill="FFFFFF"/>
            <w:vAlign w:val="center"/>
            <w:hideMark/>
          </w:tcPr>
          <w:p w14:paraId="65237271"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1008" w:type="pct"/>
            <w:tcBorders>
              <w:top w:val="nil"/>
              <w:left w:val="nil"/>
              <w:bottom w:val="nil"/>
              <w:right w:val="nil"/>
            </w:tcBorders>
            <w:shd w:val="clear" w:color="000000" w:fill="CCECFF"/>
            <w:vAlign w:val="bottom"/>
            <w:hideMark/>
          </w:tcPr>
          <w:p w14:paraId="1BEA525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39" w:type="pct"/>
            <w:tcBorders>
              <w:top w:val="nil"/>
              <w:left w:val="nil"/>
              <w:bottom w:val="nil"/>
              <w:right w:val="nil"/>
            </w:tcBorders>
            <w:shd w:val="clear" w:color="000000" w:fill="CCECFF"/>
            <w:vAlign w:val="bottom"/>
            <w:hideMark/>
          </w:tcPr>
          <w:p w14:paraId="0766703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19" w:type="pct"/>
            <w:tcBorders>
              <w:top w:val="nil"/>
              <w:left w:val="nil"/>
              <w:bottom w:val="nil"/>
              <w:right w:val="nil"/>
            </w:tcBorders>
            <w:shd w:val="clear" w:color="000000" w:fill="CCECFF"/>
            <w:vAlign w:val="bottom"/>
            <w:hideMark/>
          </w:tcPr>
          <w:p w14:paraId="7FEA8FF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CCECFF"/>
            <w:vAlign w:val="bottom"/>
            <w:hideMark/>
          </w:tcPr>
          <w:p w14:paraId="64A1EF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24EAED23" w14:textId="77777777" w:rsidTr="00BC5C33">
        <w:trPr>
          <w:trHeight w:val="255"/>
        </w:trPr>
        <w:tc>
          <w:tcPr>
            <w:tcW w:w="1324" w:type="pct"/>
            <w:tcBorders>
              <w:top w:val="single" w:sz="4" w:space="0" w:color="auto"/>
              <w:left w:val="nil"/>
              <w:bottom w:val="single" w:sz="4" w:space="0" w:color="auto"/>
              <w:right w:val="nil"/>
            </w:tcBorders>
            <w:shd w:val="clear" w:color="000000" w:fill="FFFFFF"/>
            <w:vAlign w:val="center"/>
            <w:hideMark/>
          </w:tcPr>
          <w:p w14:paraId="754A46C9"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Total</w:t>
            </w:r>
          </w:p>
        </w:tc>
        <w:tc>
          <w:tcPr>
            <w:tcW w:w="1008" w:type="pct"/>
            <w:tcBorders>
              <w:top w:val="single" w:sz="4" w:space="0" w:color="auto"/>
              <w:left w:val="nil"/>
              <w:bottom w:val="single" w:sz="4" w:space="0" w:color="auto"/>
              <w:right w:val="nil"/>
            </w:tcBorders>
            <w:shd w:val="clear" w:color="000000" w:fill="CCECFF"/>
            <w:vAlign w:val="bottom"/>
            <w:hideMark/>
          </w:tcPr>
          <w:p w14:paraId="3D8A8162" w14:textId="3005ADA4"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w:t>
            </w:r>
            <w:r w:rsidR="0052280B">
              <w:rPr>
                <w:rFonts w:eastAsia="Times New Roman" w:cs="Calibri"/>
                <w:b/>
                <w:bCs/>
                <w:color w:val="000000"/>
                <w:szCs w:val="20"/>
                <w:lang w:eastAsia="en-GB"/>
              </w:rPr>
              <w:t>5</w:t>
            </w:r>
            <w:r w:rsidRPr="00EB4969">
              <w:rPr>
                <w:rFonts w:eastAsia="Times New Roman" w:cs="Calibri"/>
                <w:b/>
                <w:bCs/>
                <w:color w:val="000000"/>
                <w:szCs w:val="20"/>
                <w:lang w:eastAsia="en-GB"/>
              </w:rPr>
              <w:t>,</w:t>
            </w:r>
            <w:r w:rsidR="0052280B">
              <w:rPr>
                <w:rFonts w:eastAsia="Times New Roman" w:cs="Calibri"/>
                <w:b/>
                <w:bCs/>
                <w:color w:val="000000"/>
                <w:szCs w:val="20"/>
                <w:lang w:eastAsia="en-GB"/>
              </w:rPr>
              <w:t>592</w:t>
            </w:r>
            <w:r w:rsidRPr="00EB4969">
              <w:rPr>
                <w:rFonts w:eastAsia="Times New Roman" w:cs="Calibri"/>
                <w:b/>
                <w:bCs/>
                <w:color w:val="000000"/>
                <w:szCs w:val="20"/>
                <w:lang w:eastAsia="en-GB"/>
              </w:rPr>
              <w:t>)</w:t>
            </w:r>
          </w:p>
        </w:tc>
        <w:tc>
          <w:tcPr>
            <w:tcW w:w="739" w:type="pct"/>
            <w:tcBorders>
              <w:top w:val="single" w:sz="4" w:space="0" w:color="auto"/>
              <w:left w:val="nil"/>
              <w:bottom w:val="single" w:sz="4" w:space="0" w:color="auto"/>
              <w:right w:val="nil"/>
            </w:tcBorders>
            <w:shd w:val="clear" w:color="000000" w:fill="CCECFF"/>
            <w:vAlign w:val="bottom"/>
            <w:hideMark/>
          </w:tcPr>
          <w:p w14:paraId="059269E4"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(681)</w:t>
            </w:r>
          </w:p>
        </w:tc>
        <w:tc>
          <w:tcPr>
            <w:tcW w:w="719" w:type="pct"/>
            <w:tcBorders>
              <w:top w:val="single" w:sz="4" w:space="0" w:color="auto"/>
              <w:left w:val="nil"/>
              <w:bottom w:val="single" w:sz="4" w:space="0" w:color="auto"/>
              <w:right w:val="nil"/>
            </w:tcBorders>
            <w:shd w:val="clear" w:color="000000" w:fill="CCECFF"/>
            <w:vAlign w:val="bottom"/>
            <w:hideMark/>
          </w:tcPr>
          <w:p w14:paraId="5CF508C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1210" w:type="pct"/>
            <w:tcBorders>
              <w:top w:val="single" w:sz="4" w:space="0" w:color="auto"/>
              <w:left w:val="nil"/>
              <w:bottom w:val="single" w:sz="4" w:space="0" w:color="auto"/>
              <w:right w:val="nil"/>
            </w:tcBorders>
            <w:shd w:val="clear" w:color="000000" w:fill="CCECFF"/>
            <w:vAlign w:val="bottom"/>
            <w:hideMark/>
          </w:tcPr>
          <w:p w14:paraId="3F5E6F91" w14:textId="671AD069" w:rsidR="00EB4969" w:rsidRPr="00EB4969" w:rsidRDefault="004F54FD" w:rsidP="00EB4969">
            <w:pPr>
              <w:spacing w:line="240" w:lineRule="auto"/>
              <w:jc w:val="right"/>
              <w:rPr>
                <w:rFonts w:eastAsia="Times New Roman" w:cs="Calibri"/>
                <w:b/>
                <w:bCs/>
                <w:color w:val="auto"/>
                <w:szCs w:val="20"/>
                <w:lang w:eastAsia="en-GB"/>
              </w:rPr>
            </w:pPr>
            <w:r>
              <w:rPr>
                <w:rFonts w:eastAsia="Times New Roman" w:cs="Calibri"/>
                <w:b/>
                <w:bCs/>
                <w:color w:val="000000"/>
                <w:szCs w:val="20"/>
                <w:lang w:eastAsia="en-GB"/>
              </w:rPr>
              <w:t>-</w:t>
            </w:r>
          </w:p>
        </w:tc>
      </w:tr>
      <w:tr w:rsidR="00EB4969" w:rsidRPr="00EB4969" w14:paraId="29872FB9" w14:textId="77777777" w:rsidTr="00BC5C33">
        <w:trPr>
          <w:trHeight w:val="255"/>
        </w:trPr>
        <w:tc>
          <w:tcPr>
            <w:tcW w:w="1324" w:type="pct"/>
            <w:tcBorders>
              <w:top w:val="nil"/>
              <w:left w:val="nil"/>
              <w:bottom w:val="nil"/>
              <w:right w:val="nil"/>
            </w:tcBorders>
            <w:shd w:val="clear" w:color="000000" w:fill="FFFFFF"/>
            <w:vAlign w:val="bottom"/>
            <w:hideMark/>
          </w:tcPr>
          <w:p w14:paraId="63981AEC" w14:textId="77777777" w:rsidR="00EB4969" w:rsidRPr="00EB4969" w:rsidRDefault="00EB4969" w:rsidP="00EB4969">
            <w:pPr>
              <w:spacing w:line="240" w:lineRule="auto"/>
              <w:jc w:val="left"/>
              <w:rPr>
                <w:rFonts w:eastAsia="Times New Roman" w:cs="Calibri"/>
                <w:color w:val="auto"/>
                <w:sz w:val="16"/>
                <w:szCs w:val="16"/>
                <w:lang w:eastAsia="en-GB"/>
              </w:rPr>
            </w:pPr>
            <w:r w:rsidRPr="00EB4969">
              <w:rPr>
                <w:rFonts w:eastAsia="Times New Roman" w:cs="Calibri"/>
                <w:color w:val="auto"/>
                <w:sz w:val="10"/>
                <w:szCs w:val="10"/>
                <w:lang w:eastAsia="en-GB"/>
              </w:rPr>
              <w:t> </w:t>
            </w:r>
          </w:p>
        </w:tc>
        <w:tc>
          <w:tcPr>
            <w:tcW w:w="1008" w:type="pct"/>
            <w:tcBorders>
              <w:top w:val="nil"/>
              <w:left w:val="nil"/>
              <w:bottom w:val="nil"/>
              <w:right w:val="nil"/>
            </w:tcBorders>
            <w:shd w:val="clear" w:color="000000" w:fill="FFFFFF"/>
            <w:noWrap/>
            <w:vAlign w:val="bottom"/>
            <w:hideMark/>
          </w:tcPr>
          <w:p w14:paraId="5D4DCD50"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739" w:type="pct"/>
            <w:tcBorders>
              <w:top w:val="nil"/>
              <w:left w:val="nil"/>
              <w:bottom w:val="nil"/>
              <w:right w:val="nil"/>
            </w:tcBorders>
            <w:shd w:val="clear" w:color="000000" w:fill="FFFFFF"/>
            <w:noWrap/>
            <w:vAlign w:val="bottom"/>
            <w:hideMark/>
          </w:tcPr>
          <w:p w14:paraId="0CCA6064"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719" w:type="pct"/>
            <w:tcBorders>
              <w:top w:val="nil"/>
              <w:left w:val="nil"/>
              <w:bottom w:val="nil"/>
              <w:right w:val="nil"/>
            </w:tcBorders>
            <w:shd w:val="clear" w:color="000000" w:fill="FFFFFF"/>
            <w:noWrap/>
            <w:vAlign w:val="bottom"/>
            <w:hideMark/>
          </w:tcPr>
          <w:p w14:paraId="4AE08623"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c>
          <w:tcPr>
            <w:tcW w:w="1210" w:type="pct"/>
            <w:tcBorders>
              <w:top w:val="nil"/>
              <w:left w:val="nil"/>
              <w:bottom w:val="nil"/>
              <w:right w:val="nil"/>
            </w:tcBorders>
            <w:shd w:val="clear" w:color="000000" w:fill="FFFFFF"/>
            <w:noWrap/>
            <w:vAlign w:val="bottom"/>
            <w:hideMark/>
          </w:tcPr>
          <w:p w14:paraId="2286D431" w14:textId="77777777" w:rsidR="00EB4969" w:rsidRPr="00EB4969" w:rsidRDefault="00EB4969" w:rsidP="00EB4969">
            <w:pPr>
              <w:spacing w:line="240" w:lineRule="auto"/>
              <w:jc w:val="right"/>
              <w:rPr>
                <w:rFonts w:eastAsia="Times New Roman" w:cs="Calibri"/>
                <w:color w:val="auto"/>
                <w:sz w:val="10"/>
                <w:szCs w:val="10"/>
                <w:lang w:eastAsia="en-GB"/>
              </w:rPr>
            </w:pPr>
            <w:r w:rsidRPr="00EB4969">
              <w:rPr>
                <w:rFonts w:eastAsia="Times New Roman" w:cs="Calibri"/>
                <w:color w:val="auto"/>
                <w:sz w:val="10"/>
                <w:szCs w:val="10"/>
                <w:lang w:eastAsia="en-GB"/>
              </w:rPr>
              <w:t> </w:t>
            </w:r>
          </w:p>
        </w:tc>
      </w:tr>
      <w:tr w:rsidR="00EB4969" w:rsidRPr="00EB4969" w14:paraId="16AFA2F4" w14:textId="77777777" w:rsidTr="00BC5C33">
        <w:trPr>
          <w:trHeight w:val="765"/>
        </w:trPr>
        <w:tc>
          <w:tcPr>
            <w:tcW w:w="1324" w:type="pct"/>
            <w:tcBorders>
              <w:top w:val="nil"/>
              <w:left w:val="nil"/>
              <w:bottom w:val="nil"/>
              <w:right w:val="nil"/>
            </w:tcBorders>
            <w:shd w:val="clear" w:color="000000" w:fill="000099"/>
            <w:vAlign w:val="center"/>
            <w:hideMark/>
          </w:tcPr>
          <w:p w14:paraId="423E9078"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2022/23</w:t>
            </w:r>
          </w:p>
        </w:tc>
        <w:tc>
          <w:tcPr>
            <w:tcW w:w="1008" w:type="pct"/>
            <w:tcBorders>
              <w:top w:val="nil"/>
              <w:left w:val="nil"/>
              <w:bottom w:val="nil"/>
              <w:right w:val="nil"/>
            </w:tcBorders>
            <w:shd w:val="clear" w:color="000000" w:fill="000099"/>
            <w:vAlign w:val="center"/>
            <w:hideMark/>
          </w:tcPr>
          <w:p w14:paraId="75391146"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Revenues from External Customers</w:t>
            </w:r>
          </w:p>
        </w:tc>
        <w:tc>
          <w:tcPr>
            <w:tcW w:w="739" w:type="pct"/>
            <w:tcBorders>
              <w:top w:val="nil"/>
              <w:left w:val="nil"/>
              <w:bottom w:val="nil"/>
              <w:right w:val="nil"/>
            </w:tcBorders>
            <w:shd w:val="clear" w:color="000000" w:fill="000099"/>
            <w:vAlign w:val="center"/>
            <w:hideMark/>
          </w:tcPr>
          <w:p w14:paraId="2958A7C9"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Revenue</w:t>
            </w:r>
          </w:p>
        </w:tc>
        <w:tc>
          <w:tcPr>
            <w:tcW w:w="719" w:type="pct"/>
            <w:tcBorders>
              <w:top w:val="nil"/>
              <w:left w:val="nil"/>
              <w:bottom w:val="nil"/>
              <w:right w:val="nil"/>
            </w:tcBorders>
            <w:shd w:val="clear" w:color="000000" w:fill="000099"/>
            <w:vAlign w:val="center"/>
            <w:hideMark/>
          </w:tcPr>
          <w:p w14:paraId="49299F8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Interest Expense</w:t>
            </w:r>
          </w:p>
        </w:tc>
        <w:tc>
          <w:tcPr>
            <w:tcW w:w="1210" w:type="pct"/>
            <w:tcBorders>
              <w:top w:val="nil"/>
              <w:left w:val="nil"/>
              <w:bottom w:val="nil"/>
              <w:right w:val="nil"/>
            </w:tcBorders>
            <w:shd w:val="clear" w:color="000000" w:fill="000099"/>
            <w:vAlign w:val="center"/>
            <w:hideMark/>
          </w:tcPr>
          <w:p w14:paraId="5CD9481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 xml:space="preserve">Depreciation and Amortisation </w:t>
            </w:r>
          </w:p>
        </w:tc>
      </w:tr>
      <w:tr w:rsidR="00EB4969" w:rsidRPr="00EB4969" w14:paraId="2D38BD37" w14:textId="77777777" w:rsidTr="00BC5C33">
        <w:trPr>
          <w:trHeight w:val="255"/>
        </w:trPr>
        <w:tc>
          <w:tcPr>
            <w:tcW w:w="1324" w:type="pct"/>
            <w:tcBorders>
              <w:top w:val="nil"/>
              <w:left w:val="nil"/>
              <w:bottom w:val="nil"/>
              <w:right w:val="nil"/>
            </w:tcBorders>
            <w:shd w:val="clear" w:color="000000" w:fill="000099"/>
            <w:vAlign w:val="center"/>
            <w:hideMark/>
          </w:tcPr>
          <w:p w14:paraId="6B0B2322"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1008" w:type="pct"/>
            <w:tcBorders>
              <w:top w:val="nil"/>
              <w:left w:val="nil"/>
              <w:bottom w:val="nil"/>
              <w:right w:val="nil"/>
            </w:tcBorders>
            <w:shd w:val="clear" w:color="000000" w:fill="000099"/>
            <w:vAlign w:val="center"/>
            <w:hideMark/>
          </w:tcPr>
          <w:p w14:paraId="254FCDE8"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39" w:type="pct"/>
            <w:tcBorders>
              <w:top w:val="nil"/>
              <w:left w:val="nil"/>
              <w:bottom w:val="nil"/>
              <w:right w:val="nil"/>
            </w:tcBorders>
            <w:shd w:val="clear" w:color="000000" w:fill="000099"/>
            <w:vAlign w:val="center"/>
            <w:hideMark/>
          </w:tcPr>
          <w:p w14:paraId="019B0F2F"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719" w:type="pct"/>
            <w:tcBorders>
              <w:top w:val="nil"/>
              <w:left w:val="nil"/>
              <w:bottom w:val="nil"/>
              <w:right w:val="nil"/>
            </w:tcBorders>
            <w:shd w:val="clear" w:color="000000" w:fill="000099"/>
            <w:vAlign w:val="center"/>
            <w:hideMark/>
          </w:tcPr>
          <w:p w14:paraId="34A21FA5"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1210" w:type="pct"/>
            <w:tcBorders>
              <w:top w:val="nil"/>
              <w:left w:val="nil"/>
              <w:bottom w:val="nil"/>
              <w:right w:val="nil"/>
            </w:tcBorders>
            <w:shd w:val="clear" w:color="000000" w:fill="000099"/>
            <w:vAlign w:val="center"/>
            <w:hideMark/>
          </w:tcPr>
          <w:p w14:paraId="4AA4BECE"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A762CC6" w14:textId="77777777" w:rsidTr="00BC5C33">
        <w:trPr>
          <w:trHeight w:val="255"/>
        </w:trPr>
        <w:tc>
          <w:tcPr>
            <w:tcW w:w="1324" w:type="pct"/>
            <w:tcBorders>
              <w:top w:val="nil"/>
              <w:left w:val="nil"/>
              <w:bottom w:val="nil"/>
              <w:right w:val="nil"/>
            </w:tcBorders>
            <w:shd w:val="clear" w:color="000000" w:fill="FFFFFF"/>
            <w:vAlign w:val="center"/>
            <w:hideMark/>
          </w:tcPr>
          <w:p w14:paraId="74BFB700"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1008" w:type="pct"/>
            <w:tcBorders>
              <w:top w:val="nil"/>
              <w:left w:val="nil"/>
              <w:bottom w:val="nil"/>
              <w:right w:val="nil"/>
            </w:tcBorders>
            <w:shd w:val="clear" w:color="000000" w:fill="FFFFFF"/>
            <w:vAlign w:val="bottom"/>
            <w:hideMark/>
          </w:tcPr>
          <w:p w14:paraId="79DC7AE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(14,223)</w:t>
            </w:r>
          </w:p>
        </w:tc>
        <w:tc>
          <w:tcPr>
            <w:tcW w:w="739" w:type="pct"/>
            <w:tcBorders>
              <w:top w:val="nil"/>
              <w:left w:val="nil"/>
              <w:bottom w:val="nil"/>
              <w:right w:val="nil"/>
            </w:tcBorders>
            <w:shd w:val="clear" w:color="000000" w:fill="FFFFFF"/>
            <w:vAlign w:val="bottom"/>
            <w:hideMark/>
          </w:tcPr>
          <w:p w14:paraId="1A63CC2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(133)</w:t>
            </w:r>
          </w:p>
        </w:tc>
        <w:tc>
          <w:tcPr>
            <w:tcW w:w="719" w:type="pct"/>
            <w:tcBorders>
              <w:top w:val="nil"/>
              <w:left w:val="nil"/>
              <w:bottom w:val="nil"/>
              <w:right w:val="nil"/>
            </w:tcBorders>
            <w:shd w:val="clear" w:color="000000" w:fill="FFFFFF"/>
            <w:vAlign w:val="bottom"/>
            <w:hideMark/>
          </w:tcPr>
          <w:p w14:paraId="019BE51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FFFFFF"/>
            <w:vAlign w:val="bottom"/>
            <w:hideMark/>
          </w:tcPr>
          <w:p w14:paraId="54B04C91"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586D7A19" w14:textId="77777777" w:rsidTr="00BC5C33">
        <w:trPr>
          <w:trHeight w:val="255"/>
        </w:trPr>
        <w:tc>
          <w:tcPr>
            <w:tcW w:w="1324" w:type="pct"/>
            <w:tcBorders>
              <w:top w:val="nil"/>
              <w:left w:val="nil"/>
              <w:bottom w:val="nil"/>
              <w:right w:val="nil"/>
            </w:tcBorders>
            <w:shd w:val="clear" w:color="000000" w:fill="FFFFFF"/>
            <w:vAlign w:val="center"/>
            <w:hideMark/>
          </w:tcPr>
          <w:p w14:paraId="72A05B8D"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1008" w:type="pct"/>
            <w:tcBorders>
              <w:top w:val="nil"/>
              <w:left w:val="nil"/>
              <w:bottom w:val="nil"/>
              <w:right w:val="nil"/>
            </w:tcBorders>
            <w:shd w:val="clear" w:color="000000" w:fill="FFFFFF"/>
            <w:vAlign w:val="bottom"/>
            <w:hideMark/>
          </w:tcPr>
          <w:p w14:paraId="0CE5363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39" w:type="pct"/>
            <w:tcBorders>
              <w:top w:val="nil"/>
              <w:left w:val="nil"/>
              <w:bottom w:val="nil"/>
              <w:right w:val="nil"/>
            </w:tcBorders>
            <w:shd w:val="clear" w:color="000000" w:fill="FFFFFF"/>
            <w:vAlign w:val="bottom"/>
            <w:hideMark/>
          </w:tcPr>
          <w:p w14:paraId="505CED50"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719" w:type="pct"/>
            <w:tcBorders>
              <w:top w:val="nil"/>
              <w:left w:val="nil"/>
              <w:bottom w:val="nil"/>
              <w:right w:val="nil"/>
            </w:tcBorders>
            <w:shd w:val="clear" w:color="000000" w:fill="FFFFFF"/>
            <w:vAlign w:val="bottom"/>
            <w:hideMark/>
          </w:tcPr>
          <w:p w14:paraId="1808E50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1210" w:type="pct"/>
            <w:tcBorders>
              <w:top w:val="nil"/>
              <w:left w:val="nil"/>
              <w:bottom w:val="nil"/>
              <w:right w:val="nil"/>
            </w:tcBorders>
            <w:shd w:val="clear" w:color="000000" w:fill="FFFFFF"/>
            <w:vAlign w:val="bottom"/>
            <w:hideMark/>
          </w:tcPr>
          <w:p w14:paraId="2847755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05E046C" w14:textId="77777777" w:rsidTr="00BC5C33">
        <w:trPr>
          <w:trHeight w:val="255"/>
        </w:trPr>
        <w:tc>
          <w:tcPr>
            <w:tcW w:w="1324" w:type="pct"/>
            <w:tcBorders>
              <w:top w:val="single" w:sz="4" w:space="0" w:color="auto"/>
              <w:left w:val="nil"/>
              <w:bottom w:val="single" w:sz="4" w:space="0" w:color="auto"/>
              <w:right w:val="nil"/>
            </w:tcBorders>
            <w:shd w:val="clear" w:color="000000" w:fill="FFFFFF"/>
            <w:vAlign w:val="center"/>
            <w:hideMark/>
          </w:tcPr>
          <w:p w14:paraId="7AF1F5B5"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Total</w:t>
            </w:r>
          </w:p>
        </w:tc>
        <w:tc>
          <w:tcPr>
            <w:tcW w:w="1008" w:type="pct"/>
            <w:tcBorders>
              <w:top w:val="single" w:sz="4" w:space="0" w:color="auto"/>
              <w:left w:val="nil"/>
              <w:bottom w:val="single" w:sz="4" w:space="0" w:color="auto"/>
              <w:right w:val="nil"/>
            </w:tcBorders>
            <w:shd w:val="clear" w:color="000000" w:fill="FFFFFF"/>
            <w:vAlign w:val="bottom"/>
            <w:hideMark/>
          </w:tcPr>
          <w:p w14:paraId="2F6C1EC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(14,223)</w:t>
            </w:r>
          </w:p>
        </w:tc>
        <w:tc>
          <w:tcPr>
            <w:tcW w:w="739" w:type="pct"/>
            <w:tcBorders>
              <w:top w:val="single" w:sz="4" w:space="0" w:color="auto"/>
              <w:left w:val="nil"/>
              <w:bottom w:val="single" w:sz="4" w:space="0" w:color="auto"/>
              <w:right w:val="nil"/>
            </w:tcBorders>
            <w:shd w:val="clear" w:color="000000" w:fill="FFFFFF"/>
            <w:vAlign w:val="bottom"/>
            <w:hideMark/>
          </w:tcPr>
          <w:p w14:paraId="61E5CC93"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(133)</w:t>
            </w:r>
          </w:p>
        </w:tc>
        <w:tc>
          <w:tcPr>
            <w:tcW w:w="719" w:type="pct"/>
            <w:tcBorders>
              <w:top w:val="single" w:sz="4" w:space="0" w:color="auto"/>
              <w:left w:val="nil"/>
              <w:bottom w:val="single" w:sz="4" w:space="0" w:color="auto"/>
              <w:right w:val="nil"/>
            </w:tcBorders>
            <w:shd w:val="clear" w:color="000000" w:fill="FFFFFF"/>
            <w:vAlign w:val="bottom"/>
            <w:hideMark/>
          </w:tcPr>
          <w:p w14:paraId="47E60F26"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1210" w:type="pct"/>
            <w:tcBorders>
              <w:top w:val="single" w:sz="4" w:space="0" w:color="auto"/>
              <w:left w:val="nil"/>
              <w:bottom w:val="single" w:sz="4" w:space="0" w:color="auto"/>
              <w:right w:val="nil"/>
            </w:tcBorders>
            <w:shd w:val="clear" w:color="000000" w:fill="FFFFFF"/>
            <w:vAlign w:val="bottom"/>
            <w:hideMark/>
          </w:tcPr>
          <w:p w14:paraId="5FE00649"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r>
    </w:tbl>
    <w:p w14:paraId="730FAEC7" w14:textId="77777777" w:rsidR="00C83D47" w:rsidRDefault="00C83D47">
      <w:pPr>
        <w:spacing w:line="240" w:lineRule="auto"/>
        <w:jc w:val="left"/>
        <w:rPr>
          <w:rFonts w:asciiTheme="minorHAnsi" w:eastAsia="Times New Roman" w:hAnsiTheme="minorHAnsi" w:cs="Times New Roman"/>
          <w:b/>
          <w:bCs/>
          <w:color w:val="25316C"/>
          <w:sz w:val="24"/>
          <w:u w:val="single"/>
        </w:rPr>
      </w:pPr>
      <w:bookmarkStart w:id="104" w:name="_Toc517077281"/>
      <w:bookmarkStart w:id="105" w:name="_Toc9592053"/>
      <w:bookmarkStart w:id="106" w:name="_Toc109632204"/>
      <w:r>
        <w:br w:type="page"/>
      </w:r>
    </w:p>
    <w:p w14:paraId="41079E5E" w14:textId="7F5A1052" w:rsidR="002522D4" w:rsidRDefault="002522D4" w:rsidP="00161E23">
      <w:pPr>
        <w:pStyle w:val="NoteHeader"/>
      </w:pPr>
      <w:bookmarkStart w:id="107" w:name="_Toc191457321"/>
      <w:r w:rsidRPr="000A75C9">
        <w:lastRenderedPageBreak/>
        <w:t>Note 5C - Expenditure and Income Analysed by Nature</w:t>
      </w:r>
      <w:bookmarkEnd w:id="104"/>
      <w:bookmarkEnd w:id="105"/>
      <w:bookmarkEnd w:id="106"/>
      <w:bookmarkEnd w:id="107"/>
    </w:p>
    <w:p w14:paraId="109A7506" w14:textId="77777777" w:rsidR="00AC30FC" w:rsidRPr="004720F6" w:rsidRDefault="00AC30FC" w:rsidP="00A71646"/>
    <w:tbl>
      <w:tblPr>
        <w:tblW w:w="5000" w:type="pct"/>
        <w:tblLook w:val="04A0" w:firstRow="1" w:lastRow="0" w:firstColumn="1" w:lastColumn="0" w:noHBand="0" w:noVBand="1"/>
      </w:tblPr>
      <w:tblGrid>
        <w:gridCol w:w="1566"/>
        <w:gridCol w:w="6508"/>
        <w:gridCol w:w="1565"/>
      </w:tblGrid>
      <w:tr w:rsidR="008441E1" w:rsidRPr="004F54FD" w14:paraId="5D93E2D5" w14:textId="51B1F0D1" w:rsidTr="00AC30FC">
        <w:trPr>
          <w:trHeight w:val="323"/>
        </w:trPr>
        <w:tc>
          <w:tcPr>
            <w:tcW w:w="812" w:type="pct"/>
            <w:tcBorders>
              <w:top w:val="nil"/>
              <w:left w:val="nil"/>
              <w:bottom w:val="nil"/>
              <w:right w:val="nil"/>
            </w:tcBorders>
            <w:shd w:val="clear" w:color="000000" w:fill="000099"/>
            <w:vAlign w:val="center"/>
            <w:hideMark/>
          </w:tcPr>
          <w:p w14:paraId="2E3BFABE" w14:textId="77777777" w:rsidR="008441E1" w:rsidRPr="004F54FD" w:rsidRDefault="008441E1" w:rsidP="004F54FD">
            <w:pPr>
              <w:spacing w:line="240" w:lineRule="auto"/>
              <w:jc w:val="center"/>
              <w:rPr>
                <w:rFonts w:eastAsia="Times New Roman" w:cs="Calibri"/>
                <w:b/>
                <w:bCs/>
                <w:color w:val="FFFFFF"/>
                <w:szCs w:val="20"/>
                <w:lang w:eastAsia="en-GB"/>
              </w:rPr>
            </w:pPr>
            <w:bookmarkStart w:id="108" w:name="_Hlk168044198"/>
            <w:bookmarkStart w:id="109" w:name="_Toc517077282"/>
            <w:bookmarkStart w:id="110" w:name="_Toc9272507"/>
            <w:bookmarkStart w:id="111" w:name="_Toc9592054"/>
            <w:r w:rsidRPr="004F54FD">
              <w:rPr>
                <w:rFonts w:eastAsia="Times New Roman" w:cs="Calibri"/>
                <w:b/>
                <w:bCs/>
                <w:color w:val="FFFFFF"/>
                <w:szCs w:val="20"/>
                <w:lang w:eastAsia="en-GB"/>
              </w:rPr>
              <w:t> </w:t>
            </w:r>
          </w:p>
        </w:tc>
        <w:tc>
          <w:tcPr>
            <w:tcW w:w="3376" w:type="pct"/>
            <w:tcBorders>
              <w:top w:val="nil"/>
              <w:left w:val="nil"/>
              <w:bottom w:val="nil"/>
              <w:right w:val="nil"/>
            </w:tcBorders>
            <w:shd w:val="clear" w:color="000000" w:fill="000099"/>
            <w:vAlign w:val="center"/>
            <w:hideMark/>
          </w:tcPr>
          <w:p w14:paraId="4E0F0877"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c>
          <w:tcPr>
            <w:tcW w:w="812" w:type="pct"/>
            <w:tcBorders>
              <w:top w:val="nil"/>
              <w:left w:val="nil"/>
              <w:bottom w:val="nil"/>
              <w:right w:val="nil"/>
            </w:tcBorders>
            <w:shd w:val="clear" w:color="000000" w:fill="000099"/>
            <w:vAlign w:val="center"/>
            <w:hideMark/>
          </w:tcPr>
          <w:p w14:paraId="31C494F9"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r>
      <w:tr w:rsidR="008441E1" w:rsidRPr="004F54FD" w14:paraId="2459B74A" w14:textId="1ACDE7C4" w:rsidTr="00AC30FC">
        <w:trPr>
          <w:trHeight w:val="323"/>
        </w:trPr>
        <w:tc>
          <w:tcPr>
            <w:tcW w:w="812" w:type="pct"/>
            <w:tcBorders>
              <w:top w:val="nil"/>
              <w:left w:val="nil"/>
              <w:bottom w:val="nil"/>
              <w:right w:val="nil"/>
            </w:tcBorders>
            <w:shd w:val="clear" w:color="000000" w:fill="000099"/>
            <w:vAlign w:val="center"/>
            <w:hideMark/>
          </w:tcPr>
          <w:p w14:paraId="0D71DF12"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2022/23</w:t>
            </w:r>
          </w:p>
        </w:tc>
        <w:tc>
          <w:tcPr>
            <w:tcW w:w="3376" w:type="pct"/>
            <w:tcBorders>
              <w:top w:val="nil"/>
              <w:left w:val="nil"/>
              <w:bottom w:val="nil"/>
              <w:right w:val="nil"/>
            </w:tcBorders>
            <w:shd w:val="clear" w:color="000000" w:fill="000099"/>
            <w:vAlign w:val="center"/>
            <w:hideMark/>
          </w:tcPr>
          <w:p w14:paraId="64877946"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Nature of Expenditure or Income</w:t>
            </w:r>
          </w:p>
        </w:tc>
        <w:tc>
          <w:tcPr>
            <w:tcW w:w="812" w:type="pct"/>
            <w:tcBorders>
              <w:top w:val="nil"/>
              <w:left w:val="nil"/>
              <w:bottom w:val="nil"/>
              <w:right w:val="nil"/>
            </w:tcBorders>
            <w:shd w:val="clear" w:color="000000" w:fill="000099"/>
            <w:vAlign w:val="center"/>
            <w:hideMark/>
          </w:tcPr>
          <w:p w14:paraId="3C445410"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2023/24</w:t>
            </w:r>
          </w:p>
        </w:tc>
      </w:tr>
      <w:tr w:rsidR="008441E1" w:rsidRPr="004F54FD" w14:paraId="160A6B28" w14:textId="236D0A10" w:rsidTr="00AC30FC">
        <w:trPr>
          <w:trHeight w:val="303"/>
        </w:trPr>
        <w:tc>
          <w:tcPr>
            <w:tcW w:w="812" w:type="pct"/>
            <w:tcBorders>
              <w:top w:val="nil"/>
              <w:left w:val="nil"/>
              <w:bottom w:val="nil"/>
              <w:right w:val="nil"/>
            </w:tcBorders>
            <w:shd w:val="clear" w:color="000000" w:fill="000099"/>
            <w:vAlign w:val="center"/>
            <w:hideMark/>
          </w:tcPr>
          <w:p w14:paraId="20D964AE"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£000</w:t>
            </w:r>
          </w:p>
        </w:tc>
        <w:tc>
          <w:tcPr>
            <w:tcW w:w="3376" w:type="pct"/>
            <w:tcBorders>
              <w:top w:val="nil"/>
              <w:left w:val="nil"/>
              <w:bottom w:val="nil"/>
              <w:right w:val="nil"/>
            </w:tcBorders>
            <w:shd w:val="clear" w:color="000000" w:fill="000099"/>
            <w:vAlign w:val="center"/>
            <w:hideMark/>
          </w:tcPr>
          <w:p w14:paraId="4EF83609"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 </w:t>
            </w:r>
          </w:p>
        </w:tc>
        <w:tc>
          <w:tcPr>
            <w:tcW w:w="812" w:type="pct"/>
            <w:tcBorders>
              <w:top w:val="nil"/>
              <w:left w:val="nil"/>
              <w:bottom w:val="nil"/>
              <w:right w:val="nil"/>
            </w:tcBorders>
            <w:shd w:val="clear" w:color="000000" w:fill="000099"/>
            <w:vAlign w:val="center"/>
            <w:hideMark/>
          </w:tcPr>
          <w:p w14:paraId="233DD468" w14:textId="77777777" w:rsidR="008441E1" w:rsidRPr="004F54FD" w:rsidRDefault="008441E1" w:rsidP="004F54FD">
            <w:pPr>
              <w:spacing w:line="240" w:lineRule="auto"/>
              <w:jc w:val="center"/>
              <w:rPr>
                <w:rFonts w:eastAsia="Times New Roman" w:cs="Calibri"/>
                <w:b/>
                <w:bCs/>
                <w:color w:val="FFFFFF"/>
                <w:szCs w:val="20"/>
                <w:lang w:eastAsia="en-GB"/>
              </w:rPr>
            </w:pPr>
            <w:r w:rsidRPr="004F54FD">
              <w:rPr>
                <w:rFonts w:eastAsia="Times New Roman" w:cs="Calibri"/>
                <w:b/>
                <w:bCs/>
                <w:color w:val="FFFFFF"/>
                <w:szCs w:val="20"/>
                <w:lang w:eastAsia="en-GB"/>
              </w:rPr>
              <w:t>£000</w:t>
            </w:r>
          </w:p>
        </w:tc>
      </w:tr>
      <w:tr w:rsidR="008441E1" w:rsidRPr="004F54FD" w14:paraId="11C29BD0" w14:textId="759EE829" w:rsidTr="00AC30FC">
        <w:trPr>
          <w:trHeight w:val="318"/>
        </w:trPr>
        <w:tc>
          <w:tcPr>
            <w:tcW w:w="812" w:type="pct"/>
            <w:tcBorders>
              <w:top w:val="nil"/>
              <w:left w:val="nil"/>
              <w:bottom w:val="nil"/>
              <w:right w:val="nil"/>
            </w:tcBorders>
            <w:shd w:val="clear" w:color="000000" w:fill="FFFFFF"/>
            <w:vAlign w:val="center"/>
            <w:hideMark/>
          </w:tcPr>
          <w:p w14:paraId="28BD9B0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c>
          <w:tcPr>
            <w:tcW w:w="3376" w:type="pct"/>
            <w:tcBorders>
              <w:top w:val="nil"/>
              <w:left w:val="nil"/>
              <w:bottom w:val="nil"/>
              <w:right w:val="nil"/>
            </w:tcBorders>
            <w:shd w:val="clear" w:color="000000" w:fill="FFFFFF"/>
            <w:noWrap/>
            <w:vAlign w:val="center"/>
            <w:hideMark/>
          </w:tcPr>
          <w:p w14:paraId="0CF1FA12" w14:textId="77777777" w:rsidR="008441E1" w:rsidRPr="004F54FD" w:rsidRDefault="008441E1" w:rsidP="008441E1">
            <w:pPr>
              <w:spacing w:line="240" w:lineRule="auto"/>
              <w:jc w:val="left"/>
              <w:rPr>
                <w:rFonts w:eastAsia="Times New Roman" w:cs="Calibri"/>
                <w:b/>
                <w:bCs/>
                <w:color w:val="auto"/>
                <w:szCs w:val="20"/>
                <w:lang w:eastAsia="en-GB"/>
              </w:rPr>
            </w:pPr>
            <w:r w:rsidRPr="004F54FD">
              <w:rPr>
                <w:rFonts w:eastAsia="Times New Roman" w:cs="Calibri"/>
                <w:b/>
                <w:bCs/>
                <w:color w:val="auto"/>
                <w:szCs w:val="20"/>
                <w:lang w:eastAsia="en-GB"/>
              </w:rPr>
              <w:t>Expenditure</w:t>
            </w:r>
          </w:p>
        </w:tc>
        <w:tc>
          <w:tcPr>
            <w:tcW w:w="812" w:type="pct"/>
            <w:tcBorders>
              <w:top w:val="nil"/>
              <w:left w:val="nil"/>
              <w:bottom w:val="nil"/>
              <w:right w:val="nil"/>
            </w:tcBorders>
            <w:shd w:val="clear" w:color="000000" w:fill="CCECFF"/>
            <w:vAlign w:val="center"/>
            <w:hideMark/>
          </w:tcPr>
          <w:p w14:paraId="3A134EC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r>
      <w:tr w:rsidR="008441E1" w:rsidRPr="004F54FD" w14:paraId="4E713444" w14:textId="0CBCFC2E" w:rsidTr="00AC30FC">
        <w:trPr>
          <w:trHeight w:val="318"/>
        </w:trPr>
        <w:tc>
          <w:tcPr>
            <w:tcW w:w="812" w:type="pct"/>
            <w:tcBorders>
              <w:top w:val="nil"/>
              <w:left w:val="nil"/>
              <w:bottom w:val="nil"/>
              <w:right w:val="nil"/>
            </w:tcBorders>
            <w:shd w:val="clear" w:color="000000" w:fill="FFFFFF"/>
            <w:vAlign w:val="center"/>
            <w:hideMark/>
          </w:tcPr>
          <w:p w14:paraId="71E03AC6"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155,540</w:t>
            </w:r>
          </w:p>
        </w:tc>
        <w:tc>
          <w:tcPr>
            <w:tcW w:w="3376" w:type="pct"/>
            <w:tcBorders>
              <w:top w:val="nil"/>
              <w:left w:val="nil"/>
              <w:bottom w:val="nil"/>
              <w:right w:val="nil"/>
            </w:tcBorders>
            <w:shd w:val="clear" w:color="000000" w:fill="FFFFFF"/>
            <w:noWrap/>
            <w:vAlign w:val="center"/>
            <w:hideMark/>
          </w:tcPr>
          <w:p w14:paraId="423BB152" w14:textId="77777777" w:rsidR="008441E1" w:rsidRPr="004F54FD" w:rsidRDefault="008441E1" w:rsidP="008441E1">
            <w:pPr>
              <w:spacing w:line="240" w:lineRule="auto"/>
              <w:jc w:val="left"/>
              <w:rPr>
                <w:rFonts w:eastAsia="Times New Roman" w:cs="Calibri"/>
                <w:color w:val="auto"/>
                <w:szCs w:val="20"/>
                <w:lang w:eastAsia="en-GB"/>
              </w:rPr>
            </w:pPr>
            <w:r w:rsidRPr="004F54FD">
              <w:rPr>
                <w:rFonts w:eastAsia="Times New Roman" w:cs="Calibri"/>
                <w:color w:val="auto"/>
                <w:szCs w:val="20"/>
                <w:lang w:eastAsia="en-GB"/>
              </w:rPr>
              <w:t>Employee Benefit Expenses</w:t>
            </w:r>
          </w:p>
        </w:tc>
        <w:tc>
          <w:tcPr>
            <w:tcW w:w="812" w:type="pct"/>
            <w:tcBorders>
              <w:top w:val="nil"/>
              <w:left w:val="nil"/>
              <w:bottom w:val="nil"/>
              <w:right w:val="nil"/>
            </w:tcBorders>
            <w:shd w:val="clear" w:color="000000" w:fill="CCECFF"/>
            <w:vAlign w:val="center"/>
            <w:hideMark/>
          </w:tcPr>
          <w:p w14:paraId="070E6624" w14:textId="54BECB8D" w:rsidR="008441E1" w:rsidRPr="004F54FD" w:rsidRDefault="004011CF" w:rsidP="008441E1">
            <w:pPr>
              <w:spacing w:line="240" w:lineRule="auto"/>
              <w:jc w:val="right"/>
              <w:rPr>
                <w:rFonts w:eastAsia="Times New Roman" w:cs="Calibri"/>
                <w:color w:val="auto"/>
                <w:szCs w:val="20"/>
                <w:lang w:eastAsia="en-GB"/>
              </w:rPr>
            </w:pPr>
            <w:r>
              <w:rPr>
                <w:rFonts w:eastAsia="Times New Roman" w:cs="Calibri"/>
                <w:color w:val="auto"/>
                <w:szCs w:val="20"/>
                <w:lang w:eastAsia="en-GB"/>
              </w:rPr>
              <w:t>135,899</w:t>
            </w:r>
          </w:p>
        </w:tc>
      </w:tr>
      <w:tr w:rsidR="008441E1" w:rsidRPr="004F54FD" w14:paraId="56F1DF27" w14:textId="6286AA3F" w:rsidTr="00AC30FC">
        <w:trPr>
          <w:trHeight w:val="318"/>
        </w:trPr>
        <w:tc>
          <w:tcPr>
            <w:tcW w:w="812" w:type="pct"/>
            <w:tcBorders>
              <w:top w:val="nil"/>
              <w:left w:val="nil"/>
              <w:bottom w:val="nil"/>
              <w:right w:val="nil"/>
            </w:tcBorders>
            <w:shd w:val="clear" w:color="000000" w:fill="FFFFFF"/>
            <w:vAlign w:val="center"/>
            <w:hideMark/>
          </w:tcPr>
          <w:p w14:paraId="67EEEF97"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33,836</w:t>
            </w:r>
          </w:p>
        </w:tc>
        <w:tc>
          <w:tcPr>
            <w:tcW w:w="3376" w:type="pct"/>
            <w:tcBorders>
              <w:top w:val="nil"/>
              <w:left w:val="nil"/>
              <w:bottom w:val="nil"/>
              <w:right w:val="nil"/>
            </w:tcBorders>
            <w:shd w:val="clear" w:color="000000" w:fill="FFFFFF"/>
            <w:noWrap/>
            <w:vAlign w:val="center"/>
            <w:hideMark/>
          </w:tcPr>
          <w:p w14:paraId="546A5A5B"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Other Services Expenses</w:t>
            </w:r>
          </w:p>
        </w:tc>
        <w:tc>
          <w:tcPr>
            <w:tcW w:w="812" w:type="pct"/>
            <w:tcBorders>
              <w:top w:val="nil"/>
              <w:left w:val="nil"/>
              <w:bottom w:val="nil"/>
              <w:right w:val="nil"/>
            </w:tcBorders>
            <w:shd w:val="clear" w:color="000000" w:fill="CCECFF"/>
            <w:vAlign w:val="center"/>
            <w:hideMark/>
          </w:tcPr>
          <w:p w14:paraId="0F19417C" w14:textId="2DF5BE01" w:rsidR="008441E1" w:rsidRPr="004F54FD" w:rsidRDefault="004011CF" w:rsidP="008441E1">
            <w:pPr>
              <w:spacing w:line="240" w:lineRule="auto"/>
              <w:jc w:val="right"/>
              <w:rPr>
                <w:rFonts w:eastAsia="Times New Roman" w:cs="Calibri"/>
                <w:color w:val="auto"/>
                <w:szCs w:val="20"/>
                <w:lang w:eastAsia="en-GB"/>
              </w:rPr>
            </w:pPr>
            <w:r>
              <w:rPr>
                <w:rFonts w:eastAsia="Times New Roman" w:cs="Calibri"/>
                <w:color w:val="auto"/>
                <w:szCs w:val="20"/>
                <w:lang w:eastAsia="en-GB"/>
              </w:rPr>
              <w:t>44,493</w:t>
            </w:r>
          </w:p>
        </w:tc>
      </w:tr>
      <w:tr w:rsidR="008441E1" w:rsidRPr="004F54FD" w14:paraId="3F8218CF" w14:textId="63941287" w:rsidTr="00AC30FC">
        <w:trPr>
          <w:trHeight w:val="318"/>
        </w:trPr>
        <w:tc>
          <w:tcPr>
            <w:tcW w:w="812" w:type="pct"/>
            <w:tcBorders>
              <w:top w:val="nil"/>
              <w:left w:val="nil"/>
              <w:bottom w:val="nil"/>
              <w:right w:val="nil"/>
            </w:tcBorders>
            <w:shd w:val="clear" w:color="000000" w:fill="FFFFFF"/>
            <w:vAlign w:val="center"/>
            <w:hideMark/>
          </w:tcPr>
          <w:p w14:paraId="180AC259"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6FCE8860"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Depreciation, amortisation, Impairment</w:t>
            </w:r>
          </w:p>
        </w:tc>
        <w:tc>
          <w:tcPr>
            <w:tcW w:w="812" w:type="pct"/>
            <w:tcBorders>
              <w:top w:val="nil"/>
              <w:left w:val="nil"/>
              <w:bottom w:val="nil"/>
              <w:right w:val="nil"/>
            </w:tcBorders>
            <w:shd w:val="clear" w:color="000000" w:fill="CCECFF"/>
            <w:vAlign w:val="center"/>
            <w:hideMark/>
          </w:tcPr>
          <w:p w14:paraId="6152C5F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2B369820" w14:textId="4EF9074A" w:rsidTr="00AC30FC">
        <w:trPr>
          <w:trHeight w:val="318"/>
        </w:trPr>
        <w:tc>
          <w:tcPr>
            <w:tcW w:w="812" w:type="pct"/>
            <w:tcBorders>
              <w:top w:val="nil"/>
              <w:left w:val="nil"/>
              <w:bottom w:val="nil"/>
              <w:right w:val="nil"/>
            </w:tcBorders>
            <w:shd w:val="clear" w:color="000000" w:fill="FFFFFF"/>
            <w:vAlign w:val="center"/>
            <w:hideMark/>
          </w:tcPr>
          <w:p w14:paraId="7CFE82E1"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40,020</w:t>
            </w:r>
          </w:p>
        </w:tc>
        <w:tc>
          <w:tcPr>
            <w:tcW w:w="3376" w:type="pct"/>
            <w:tcBorders>
              <w:top w:val="nil"/>
              <w:left w:val="nil"/>
              <w:bottom w:val="nil"/>
              <w:right w:val="nil"/>
            </w:tcBorders>
            <w:shd w:val="clear" w:color="000000" w:fill="FFFFFF"/>
            <w:noWrap/>
            <w:vAlign w:val="center"/>
            <w:hideMark/>
          </w:tcPr>
          <w:p w14:paraId="4AEFEF1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Interest Payments</w:t>
            </w:r>
          </w:p>
        </w:tc>
        <w:tc>
          <w:tcPr>
            <w:tcW w:w="812" w:type="pct"/>
            <w:tcBorders>
              <w:top w:val="nil"/>
              <w:left w:val="nil"/>
              <w:bottom w:val="nil"/>
              <w:right w:val="nil"/>
            </w:tcBorders>
            <w:shd w:val="clear" w:color="000000" w:fill="CCECFF"/>
            <w:vAlign w:val="center"/>
            <w:hideMark/>
          </w:tcPr>
          <w:p w14:paraId="71B44136"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46,799</w:t>
            </w:r>
          </w:p>
        </w:tc>
      </w:tr>
      <w:tr w:rsidR="008441E1" w:rsidRPr="004F54FD" w14:paraId="335C35D2" w14:textId="14ECFCBA" w:rsidTr="00AC30FC">
        <w:trPr>
          <w:trHeight w:val="318"/>
        </w:trPr>
        <w:tc>
          <w:tcPr>
            <w:tcW w:w="812" w:type="pct"/>
            <w:tcBorders>
              <w:top w:val="nil"/>
              <w:left w:val="nil"/>
              <w:bottom w:val="nil"/>
              <w:right w:val="nil"/>
            </w:tcBorders>
            <w:shd w:val="clear" w:color="000000" w:fill="FFFFFF"/>
            <w:vAlign w:val="center"/>
            <w:hideMark/>
          </w:tcPr>
          <w:p w14:paraId="6876BF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1,821</w:t>
            </w:r>
          </w:p>
        </w:tc>
        <w:tc>
          <w:tcPr>
            <w:tcW w:w="3376" w:type="pct"/>
            <w:tcBorders>
              <w:top w:val="nil"/>
              <w:left w:val="nil"/>
              <w:bottom w:val="nil"/>
              <w:right w:val="nil"/>
            </w:tcBorders>
            <w:shd w:val="clear" w:color="000000" w:fill="FFFFFF"/>
            <w:noWrap/>
            <w:vAlign w:val="center"/>
            <w:hideMark/>
          </w:tcPr>
          <w:p w14:paraId="2E9D23A2"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Precepts and Levies</w:t>
            </w:r>
          </w:p>
        </w:tc>
        <w:tc>
          <w:tcPr>
            <w:tcW w:w="812" w:type="pct"/>
            <w:tcBorders>
              <w:top w:val="nil"/>
              <w:left w:val="nil"/>
              <w:bottom w:val="nil"/>
              <w:right w:val="nil"/>
            </w:tcBorders>
            <w:shd w:val="clear" w:color="000000" w:fill="CCECFF"/>
            <w:vAlign w:val="center"/>
            <w:hideMark/>
          </w:tcPr>
          <w:p w14:paraId="5D6CD60A"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1C0F9FBF" w14:textId="68C149C0" w:rsidTr="00AC30FC">
        <w:trPr>
          <w:trHeight w:val="318"/>
        </w:trPr>
        <w:tc>
          <w:tcPr>
            <w:tcW w:w="812" w:type="pct"/>
            <w:tcBorders>
              <w:top w:val="nil"/>
              <w:left w:val="nil"/>
              <w:bottom w:val="nil"/>
              <w:right w:val="nil"/>
            </w:tcBorders>
            <w:shd w:val="clear" w:color="000000" w:fill="FFFFFF"/>
            <w:vAlign w:val="center"/>
            <w:hideMark/>
          </w:tcPr>
          <w:p w14:paraId="73897A40"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7C23D59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Gains/losses on the Disposal of Non-Current Assets</w:t>
            </w:r>
          </w:p>
        </w:tc>
        <w:tc>
          <w:tcPr>
            <w:tcW w:w="812" w:type="pct"/>
            <w:tcBorders>
              <w:top w:val="nil"/>
              <w:left w:val="nil"/>
              <w:bottom w:val="nil"/>
              <w:right w:val="nil"/>
            </w:tcBorders>
            <w:shd w:val="clear" w:color="000000" w:fill="CCECFF"/>
            <w:vAlign w:val="center"/>
            <w:hideMark/>
          </w:tcPr>
          <w:p w14:paraId="05C61B3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613988D3" w14:textId="14439B56"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1E7018C9"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231,217</w:t>
            </w:r>
          </w:p>
        </w:tc>
        <w:tc>
          <w:tcPr>
            <w:tcW w:w="3376" w:type="pct"/>
            <w:tcBorders>
              <w:top w:val="single" w:sz="4" w:space="0" w:color="auto"/>
              <w:left w:val="nil"/>
              <w:bottom w:val="single" w:sz="4" w:space="0" w:color="auto"/>
              <w:right w:val="nil"/>
            </w:tcBorders>
            <w:shd w:val="clear" w:color="000000" w:fill="FFFFFF"/>
            <w:noWrap/>
            <w:vAlign w:val="center"/>
            <w:hideMark/>
          </w:tcPr>
          <w:p w14:paraId="4D73ABEA"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Expenditure</w:t>
            </w:r>
          </w:p>
        </w:tc>
        <w:tc>
          <w:tcPr>
            <w:tcW w:w="812" w:type="pct"/>
            <w:tcBorders>
              <w:top w:val="single" w:sz="4" w:space="0" w:color="auto"/>
              <w:left w:val="nil"/>
              <w:bottom w:val="single" w:sz="4" w:space="0" w:color="auto"/>
              <w:right w:val="nil"/>
            </w:tcBorders>
            <w:shd w:val="clear" w:color="000000" w:fill="CCECFF"/>
            <w:vAlign w:val="center"/>
            <w:hideMark/>
          </w:tcPr>
          <w:p w14:paraId="69970221"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227,191</w:t>
            </w:r>
          </w:p>
        </w:tc>
      </w:tr>
      <w:tr w:rsidR="008441E1" w:rsidRPr="004F54FD" w14:paraId="32C76368" w14:textId="37DC8E46" w:rsidTr="00AC30FC">
        <w:trPr>
          <w:trHeight w:val="318"/>
        </w:trPr>
        <w:tc>
          <w:tcPr>
            <w:tcW w:w="812" w:type="pct"/>
            <w:tcBorders>
              <w:top w:val="nil"/>
              <w:left w:val="nil"/>
              <w:bottom w:val="nil"/>
              <w:right w:val="nil"/>
            </w:tcBorders>
            <w:shd w:val="clear" w:color="000000" w:fill="FFFFFF"/>
            <w:vAlign w:val="center"/>
            <w:hideMark/>
          </w:tcPr>
          <w:p w14:paraId="7742E28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5BF8AFF4"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Intra Company Adjustment (Expenditure)</w:t>
            </w:r>
          </w:p>
        </w:tc>
        <w:tc>
          <w:tcPr>
            <w:tcW w:w="812" w:type="pct"/>
            <w:tcBorders>
              <w:top w:val="nil"/>
              <w:left w:val="nil"/>
              <w:bottom w:val="nil"/>
              <w:right w:val="nil"/>
            </w:tcBorders>
            <w:shd w:val="clear" w:color="000000" w:fill="CCECFF"/>
            <w:vAlign w:val="center"/>
            <w:hideMark/>
          </w:tcPr>
          <w:p w14:paraId="6E8300E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65C0F992" w14:textId="0C550F04"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263D686C"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231,217</w:t>
            </w:r>
          </w:p>
        </w:tc>
        <w:tc>
          <w:tcPr>
            <w:tcW w:w="3376" w:type="pct"/>
            <w:tcBorders>
              <w:top w:val="single" w:sz="4" w:space="0" w:color="auto"/>
              <w:left w:val="nil"/>
              <w:bottom w:val="single" w:sz="4" w:space="0" w:color="auto"/>
              <w:right w:val="nil"/>
            </w:tcBorders>
            <w:shd w:val="clear" w:color="000000" w:fill="FFFFFF"/>
            <w:noWrap/>
            <w:vAlign w:val="center"/>
            <w:hideMark/>
          </w:tcPr>
          <w:p w14:paraId="1CDBB055"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Expenditure (Including Intra Company)</w:t>
            </w:r>
          </w:p>
        </w:tc>
        <w:tc>
          <w:tcPr>
            <w:tcW w:w="812" w:type="pct"/>
            <w:tcBorders>
              <w:top w:val="single" w:sz="4" w:space="0" w:color="auto"/>
              <w:left w:val="nil"/>
              <w:bottom w:val="single" w:sz="4" w:space="0" w:color="auto"/>
              <w:right w:val="nil"/>
            </w:tcBorders>
            <w:shd w:val="clear" w:color="000000" w:fill="CCECFF"/>
            <w:vAlign w:val="center"/>
            <w:hideMark/>
          </w:tcPr>
          <w:p w14:paraId="33087017"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227,191</w:t>
            </w:r>
          </w:p>
        </w:tc>
      </w:tr>
      <w:tr w:rsidR="008441E1" w:rsidRPr="004F54FD" w14:paraId="3F9CDF9B" w14:textId="15C9AC62" w:rsidTr="00AC30FC">
        <w:trPr>
          <w:trHeight w:val="318"/>
        </w:trPr>
        <w:tc>
          <w:tcPr>
            <w:tcW w:w="812" w:type="pct"/>
            <w:tcBorders>
              <w:top w:val="nil"/>
              <w:left w:val="nil"/>
              <w:bottom w:val="nil"/>
              <w:right w:val="nil"/>
            </w:tcBorders>
            <w:shd w:val="clear" w:color="000000" w:fill="FFFFFF"/>
            <w:vAlign w:val="center"/>
            <w:hideMark/>
          </w:tcPr>
          <w:p w14:paraId="3733405D"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c>
          <w:tcPr>
            <w:tcW w:w="3376" w:type="pct"/>
            <w:tcBorders>
              <w:top w:val="nil"/>
              <w:left w:val="nil"/>
              <w:bottom w:val="nil"/>
              <w:right w:val="nil"/>
            </w:tcBorders>
            <w:shd w:val="clear" w:color="000000" w:fill="FFFFFF"/>
            <w:noWrap/>
            <w:vAlign w:val="center"/>
            <w:hideMark/>
          </w:tcPr>
          <w:p w14:paraId="4438FFF5"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Income</w:t>
            </w:r>
          </w:p>
        </w:tc>
        <w:tc>
          <w:tcPr>
            <w:tcW w:w="812" w:type="pct"/>
            <w:tcBorders>
              <w:top w:val="nil"/>
              <w:left w:val="nil"/>
              <w:bottom w:val="nil"/>
              <w:right w:val="nil"/>
            </w:tcBorders>
            <w:shd w:val="clear" w:color="000000" w:fill="CCECFF"/>
            <w:vAlign w:val="center"/>
            <w:hideMark/>
          </w:tcPr>
          <w:p w14:paraId="59C0417B"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 </w:t>
            </w:r>
          </w:p>
        </w:tc>
      </w:tr>
      <w:tr w:rsidR="008441E1" w:rsidRPr="004F54FD" w14:paraId="27E23369" w14:textId="5A6758A6" w:rsidTr="00AC30FC">
        <w:trPr>
          <w:trHeight w:val="318"/>
        </w:trPr>
        <w:tc>
          <w:tcPr>
            <w:tcW w:w="812" w:type="pct"/>
            <w:tcBorders>
              <w:top w:val="nil"/>
              <w:left w:val="nil"/>
              <w:bottom w:val="nil"/>
              <w:right w:val="nil"/>
            </w:tcBorders>
            <w:shd w:val="clear" w:color="000000" w:fill="FFFFFF"/>
            <w:vAlign w:val="center"/>
            <w:hideMark/>
          </w:tcPr>
          <w:p w14:paraId="003B019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(14,223)</w:t>
            </w:r>
          </w:p>
        </w:tc>
        <w:tc>
          <w:tcPr>
            <w:tcW w:w="3376" w:type="pct"/>
            <w:tcBorders>
              <w:top w:val="nil"/>
              <w:left w:val="nil"/>
              <w:bottom w:val="nil"/>
              <w:right w:val="nil"/>
            </w:tcBorders>
            <w:shd w:val="clear" w:color="000000" w:fill="FFFFFF"/>
            <w:noWrap/>
            <w:vAlign w:val="center"/>
            <w:hideMark/>
          </w:tcPr>
          <w:p w14:paraId="72B803B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Fees, Charges and Other Service Income</w:t>
            </w:r>
          </w:p>
        </w:tc>
        <w:tc>
          <w:tcPr>
            <w:tcW w:w="812" w:type="pct"/>
            <w:tcBorders>
              <w:top w:val="nil"/>
              <w:left w:val="nil"/>
              <w:bottom w:val="nil"/>
              <w:right w:val="nil"/>
            </w:tcBorders>
            <w:shd w:val="clear" w:color="000000" w:fill="CCECFF"/>
            <w:vAlign w:val="center"/>
            <w:hideMark/>
          </w:tcPr>
          <w:p w14:paraId="1873A734" w14:textId="0AE1ABD6"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w:t>
            </w:r>
            <w:r w:rsidR="004A5641">
              <w:rPr>
                <w:rFonts w:eastAsia="Times New Roman" w:cs="Calibri"/>
                <w:color w:val="000000"/>
                <w:szCs w:val="20"/>
                <w:lang w:eastAsia="en-GB"/>
              </w:rPr>
              <w:t>1</w:t>
            </w:r>
            <w:r w:rsidR="0052280B">
              <w:rPr>
                <w:rFonts w:eastAsia="Times New Roman" w:cs="Calibri"/>
                <w:color w:val="000000"/>
                <w:szCs w:val="20"/>
                <w:lang w:eastAsia="en-GB"/>
              </w:rPr>
              <w:t>5</w:t>
            </w:r>
            <w:r w:rsidR="004A5641">
              <w:rPr>
                <w:rFonts w:eastAsia="Times New Roman" w:cs="Calibri"/>
                <w:color w:val="000000"/>
                <w:szCs w:val="20"/>
                <w:lang w:eastAsia="en-GB"/>
              </w:rPr>
              <w:t>,</w:t>
            </w:r>
            <w:r w:rsidR="0052280B">
              <w:rPr>
                <w:rFonts w:eastAsia="Times New Roman" w:cs="Calibri"/>
                <w:color w:val="000000"/>
                <w:szCs w:val="20"/>
                <w:lang w:eastAsia="en-GB"/>
              </w:rPr>
              <w:t>592</w:t>
            </w:r>
            <w:r w:rsidRPr="004F54FD">
              <w:rPr>
                <w:rFonts w:eastAsia="Times New Roman" w:cs="Calibri"/>
                <w:color w:val="000000"/>
                <w:szCs w:val="20"/>
                <w:lang w:eastAsia="en-GB"/>
              </w:rPr>
              <w:t>)</w:t>
            </w:r>
          </w:p>
        </w:tc>
      </w:tr>
      <w:tr w:rsidR="008441E1" w:rsidRPr="004F54FD" w14:paraId="518DA1E2" w14:textId="025C31A6" w:rsidTr="00AC30FC">
        <w:trPr>
          <w:trHeight w:val="318"/>
        </w:trPr>
        <w:tc>
          <w:tcPr>
            <w:tcW w:w="812" w:type="pct"/>
            <w:tcBorders>
              <w:top w:val="nil"/>
              <w:left w:val="nil"/>
              <w:bottom w:val="nil"/>
              <w:right w:val="nil"/>
            </w:tcBorders>
            <w:shd w:val="clear" w:color="000000" w:fill="FFFFFF"/>
            <w:vAlign w:val="center"/>
            <w:hideMark/>
          </w:tcPr>
          <w:p w14:paraId="2BDAFB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(133)</w:t>
            </w:r>
          </w:p>
        </w:tc>
        <w:tc>
          <w:tcPr>
            <w:tcW w:w="3376" w:type="pct"/>
            <w:tcBorders>
              <w:top w:val="nil"/>
              <w:left w:val="nil"/>
              <w:bottom w:val="nil"/>
              <w:right w:val="nil"/>
            </w:tcBorders>
            <w:shd w:val="clear" w:color="000000" w:fill="FFFFFF"/>
            <w:noWrap/>
            <w:vAlign w:val="center"/>
            <w:hideMark/>
          </w:tcPr>
          <w:p w14:paraId="0AEEDB08"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Interest and Investment Income</w:t>
            </w:r>
          </w:p>
        </w:tc>
        <w:tc>
          <w:tcPr>
            <w:tcW w:w="812" w:type="pct"/>
            <w:tcBorders>
              <w:top w:val="nil"/>
              <w:left w:val="nil"/>
              <w:bottom w:val="nil"/>
              <w:right w:val="nil"/>
            </w:tcBorders>
            <w:shd w:val="clear" w:color="000000" w:fill="CCECFF"/>
            <w:vAlign w:val="center"/>
            <w:hideMark/>
          </w:tcPr>
          <w:p w14:paraId="0855759C"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(681)</w:t>
            </w:r>
          </w:p>
        </w:tc>
      </w:tr>
      <w:tr w:rsidR="008441E1" w:rsidRPr="004F54FD" w14:paraId="5A7C6173" w14:textId="06189FFD" w:rsidTr="00AC30FC">
        <w:trPr>
          <w:trHeight w:val="318"/>
        </w:trPr>
        <w:tc>
          <w:tcPr>
            <w:tcW w:w="812" w:type="pct"/>
            <w:tcBorders>
              <w:top w:val="nil"/>
              <w:left w:val="nil"/>
              <w:bottom w:val="nil"/>
              <w:right w:val="nil"/>
            </w:tcBorders>
            <w:shd w:val="clear" w:color="000000" w:fill="FFFFFF"/>
            <w:vAlign w:val="center"/>
            <w:hideMark/>
          </w:tcPr>
          <w:p w14:paraId="41884E7E"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c>
          <w:tcPr>
            <w:tcW w:w="3376" w:type="pct"/>
            <w:tcBorders>
              <w:top w:val="nil"/>
              <w:left w:val="nil"/>
              <w:bottom w:val="nil"/>
              <w:right w:val="nil"/>
            </w:tcBorders>
            <w:shd w:val="clear" w:color="000000" w:fill="FFFFFF"/>
            <w:noWrap/>
            <w:vAlign w:val="center"/>
            <w:hideMark/>
          </w:tcPr>
          <w:p w14:paraId="25380720" w14:textId="77777777" w:rsidR="008441E1" w:rsidRPr="004F54FD" w:rsidRDefault="008441E1" w:rsidP="008441E1">
            <w:pPr>
              <w:spacing w:line="240" w:lineRule="auto"/>
              <w:jc w:val="left"/>
              <w:rPr>
                <w:rFonts w:eastAsia="Times New Roman" w:cs="Calibri"/>
                <w:color w:val="auto"/>
                <w:szCs w:val="20"/>
                <w:lang w:eastAsia="en-GB"/>
              </w:rPr>
            </w:pPr>
            <w:r w:rsidRPr="004F54FD">
              <w:rPr>
                <w:rFonts w:eastAsia="Times New Roman" w:cs="Calibri"/>
                <w:color w:val="auto"/>
                <w:szCs w:val="20"/>
                <w:lang w:eastAsia="en-GB"/>
              </w:rPr>
              <w:t>Income from Council Tax &amp; Non-Domestic Rates</w:t>
            </w:r>
          </w:p>
        </w:tc>
        <w:tc>
          <w:tcPr>
            <w:tcW w:w="812" w:type="pct"/>
            <w:tcBorders>
              <w:top w:val="nil"/>
              <w:left w:val="nil"/>
              <w:bottom w:val="nil"/>
              <w:right w:val="nil"/>
            </w:tcBorders>
            <w:shd w:val="clear" w:color="000000" w:fill="CCECFF"/>
            <w:vAlign w:val="center"/>
            <w:hideMark/>
          </w:tcPr>
          <w:p w14:paraId="717617CF"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w:t>
            </w:r>
          </w:p>
        </w:tc>
      </w:tr>
      <w:tr w:rsidR="008441E1" w:rsidRPr="004F54FD" w14:paraId="53208B28" w14:textId="177BE807" w:rsidTr="00AC30FC">
        <w:trPr>
          <w:trHeight w:val="318"/>
        </w:trPr>
        <w:tc>
          <w:tcPr>
            <w:tcW w:w="812" w:type="pct"/>
            <w:tcBorders>
              <w:top w:val="nil"/>
              <w:left w:val="nil"/>
              <w:bottom w:val="nil"/>
              <w:right w:val="nil"/>
            </w:tcBorders>
            <w:shd w:val="clear" w:color="000000" w:fill="FFFFFF"/>
            <w:vAlign w:val="center"/>
            <w:hideMark/>
          </w:tcPr>
          <w:p w14:paraId="70B35F5A"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(20,741)</w:t>
            </w:r>
          </w:p>
        </w:tc>
        <w:tc>
          <w:tcPr>
            <w:tcW w:w="3376" w:type="pct"/>
            <w:tcBorders>
              <w:top w:val="nil"/>
              <w:left w:val="nil"/>
              <w:bottom w:val="nil"/>
              <w:right w:val="nil"/>
            </w:tcBorders>
            <w:shd w:val="clear" w:color="000000" w:fill="FFFFFF"/>
            <w:noWrap/>
            <w:vAlign w:val="center"/>
            <w:hideMark/>
          </w:tcPr>
          <w:p w14:paraId="2C5DF316"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Government Grants and Contributions</w:t>
            </w:r>
          </w:p>
        </w:tc>
        <w:tc>
          <w:tcPr>
            <w:tcW w:w="812" w:type="pct"/>
            <w:tcBorders>
              <w:top w:val="nil"/>
              <w:left w:val="nil"/>
              <w:bottom w:val="nil"/>
              <w:right w:val="nil"/>
            </w:tcBorders>
            <w:shd w:val="clear" w:color="000000" w:fill="CCECFF"/>
            <w:vAlign w:val="center"/>
            <w:hideMark/>
          </w:tcPr>
          <w:p w14:paraId="2B436258" w14:textId="104A4B48"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(2</w:t>
            </w:r>
            <w:r w:rsidR="0052280B">
              <w:rPr>
                <w:rFonts w:eastAsia="Times New Roman" w:cs="Calibri"/>
                <w:color w:val="000000"/>
                <w:szCs w:val="20"/>
                <w:lang w:eastAsia="en-GB"/>
              </w:rPr>
              <w:t>5</w:t>
            </w:r>
            <w:r w:rsidRPr="004F54FD">
              <w:rPr>
                <w:rFonts w:eastAsia="Times New Roman" w:cs="Calibri"/>
                <w:color w:val="000000"/>
                <w:szCs w:val="20"/>
                <w:lang w:eastAsia="en-GB"/>
              </w:rPr>
              <w:t>,</w:t>
            </w:r>
            <w:r w:rsidR="0052280B">
              <w:rPr>
                <w:rFonts w:eastAsia="Times New Roman" w:cs="Calibri"/>
                <w:color w:val="000000"/>
                <w:szCs w:val="20"/>
                <w:lang w:eastAsia="en-GB"/>
              </w:rPr>
              <w:t>599</w:t>
            </w:r>
            <w:r w:rsidRPr="004F54FD">
              <w:rPr>
                <w:rFonts w:eastAsia="Times New Roman" w:cs="Calibri"/>
                <w:color w:val="000000"/>
                <w:szCs w:val="20"/>
                <w:lang w:eastAsia="en-GB"/>
              </w:rPr>
              <w:t>)</w:t>
            </w:r>
          </w:p>
        </w:tc>
      </w:tr>
      <w:tr w:rsidR="008441E1" w:rsidRPr="004F54FD" w14:paraId="648D8B4B" w14:textId="7DE964CB" w:rsidTr="00AC30FC">
        <w:trPr>
          <w:trHeight w:val="318"/>
        </w:trPr>
        <w:tc>
          <w:tcPr>
            <w:tcW w:w="812" w:type="pct"/>
            <w:tcBorders>
              <w:top w:val="single" w:sz="4" w:space="0" w:color="auto"/>
              <w:left w:val="nil"/>
              <w:bottom w:val="single" w:sz="4" w:space="0" w:color="auto"/>
              <w:right w:val="nil"/>
            </w:tcBorders>
            <w:shd w:val="clear" w:color="000000" w:fill="FFFFFF"/>
            <w:vAlign w:val="center"/>
            <w:hideMark/>
          </w:tcPr>
          <w:p w14:paraId="2287586C"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(35,097)</w:t>
            </w:r>
          </w:p>
        </w:tc>
        <w:tc>
          <w:tcPr>
            <w:tcW w:w="3376" w:type="pct"/>
            <w:tcBorders>
              <w:top w:val="single" w:sz="4" w:space="0" w:color="auto"/>
              <w:left w:val="nil"/>
              <w:bottom w:val="single" w:sz="4" w:space="0" w:color="auto"/>
              <w:right w:val="nil"/>
            </w:tcBorders>
            <w:shd w:val="clear" w:color="000000" w:fill="FFFFFF"/>
            <w:noWrap/>
            <w:vAlign w:val="center"/>
            <w:hideMark/>
          </w:tcPr>
          <w:p w14:paraId="3D57E760"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Income</w:t>
            </w:r>
          </w:p>
        </w:tc>
        <w:tc>
          <w:tcPr>
            <w:tcW w:w="812" w:type="pct"/>
            <w:tcBorders>
              <w:top w:val="single" w:sz="4" w:space="0" w:color="auto"/>
              <w:left w:val="nil"/>
              <w:bottom w:val="single" w:sz="4" w:space="0" w:color="auto"/>
              <w:right w:val="nil"/>
            </w:tcBorders>
            <w:shd w:val="clear" w:color="000000" w:fill="CCECFF"/>
            <w:vAlign w:val="center"/>
            <w:hideMark/>
          </w:tcPr>
          <w:p w14:paraId="705413EE"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(41,872)</w:t>
            </w:r>
          </w:p>
        </w:tc>
      </w:tr>
      <w:tr w:rsidR="008441E1" w:rsidRPr="004F54FD" w14:paraId="7AF4BE86" w14:textId="31C76C37" w:rsidTr="00AC30FC">
        <w:trPr>
          <w:trHeight w:val="318"/>
        </w:trPr>
        <w:tc>
          <w:tcPr>
            <w:tcW w:w="812" w:type="pct"/>
            <w:tcBorders>
              <w:top w:val="nil"/>
              <w:left w:val="nil"/>
              <w:bottom w:val="single" w:sz="4" w:space="0" w:color="auto"/>
              <w:right w:val="nil"/>
            </w:tcBorders>
            <w:shd w:val="clear" w:color="000000" w:fill="FFFFFF"/>
            <w:vAlign w:val="center"/>
            <w:hideMark/>
          </w:tcPr>
          <w:p w14:paraId="2525A393"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auto"/>
                <w:szCs w:val="20"/>
                <w:lang w:eastAsia="en-GB"/>
              </w:rPr>
              <w:t>(143,075)</w:t>
            </w:r>
          </w:p>
        </w:tc>
        <w:tc>
          <w:tcPr>
            <w:tcW w:w="3376" w:type="pct"/>
            <w:tcBorders>
              <w:top w:val="nil"/>
              <w:left w:val="nil"/>
              <w:bottom w:val="nil"/>
              <w:right w:val="nil"/>
            </w:tcBorders>
            <w:shd w:val="clear" w:color="000000" w:fill="FFFFFF"/>
            <w:noWrap/>
            <w:vAlign w:val="center"/>
            <w:hideMark/>
          </w:tcPr>
          <w:p w14:paraId="30010463" w14:textId="77777777" w:rsidR="008441E1" w:rsidRPr="004F54FD" w:rsidRDefault="008441E1" w:rsidP="008441E1">
            <w:pPr>
              <w:spacing w:line="240" w:lineRule="auto"/>
              <w:jc w:val="left"/>
              <w:rPr>
                <w:rFonts w:eastAsia="Times New Roman" w:cs="Calibri"/>
                <w:color w:val="000000"/>
                <w:szCs w:val="20"/>
                <w:lang w:eastAsia="en-GB"/>
              </w:rPr>
            </w:pPr>
            <w:r w:rsidRPr="004F54FD">
              <w:rPr>
                <w:rFonts w:eastAsia="Times New Roman" w:cs="Calibri"/>
                <w:color w:val="000000"/>
                <w:szCs w:val="20"/>
                <w:lang w:eastAsia="en-GB"/>
              </w:rPr>
              <w:t>Intra Company Adjustment (Income)</w:t>
            </w:r>
          </w:p>
        </w:tc>
        <w:tc>
          <w:tcPr>
            <w:tcW w:w="812" w:type="pct"/>
            <w:tcBorders>
              <w:top w:val="nil"/>
              <w:left w:val="nil"/>
              <w:bottom w:val="nil"/>
              <w:right w:val="nil"/>
            </w:tcBorders>
            <w:shd w:val="clear" w:color="000000" w:fill="CCECFF"/>
            <w:vAlign w:val="center"/>
            <w:hideMark/>
          </w:tcPr>
          <w:p w14:paraId="32121678" w14:textId="77777777" w:rsidR="008441E1" w:rsidRPr="004F54FD" w:rsidRDefault="008441E1" w:rsidP="008441E1">
            <w:pPr>
              <w:spacing w:line="240" w:lineRule="auto"/>
              <w:jc w:val="right"/>
              <w:rPr>
                <w:rFonts w:eastAsia="Times New Roman" w:cs="Calibri"/>
                <w:color w:val="auto"/>
                <w:szCs w:val="20"/>
                <w:lang w:eastAsia="en-GB"/>
              </w:rPr>
            </w:pPr>
            <w:r w:rsidRPr="004F54FD">
              <w:rPr>
                <w:rFonts w:eastAsia="Times New Roman" w:cs="Calibri"/>
                <w:color w:val="000000"/>
                <w:szCs w:val="20"/>
                <w:lang w:eastAsia="en-GB"/>
              </w:rPr>
              <w:t>(160,922)</w:t>
            </w:r>
          </w:p>
        </w:tc>
      </w:tr>
      <w:tr w:rsidR="008441E1" w:rsidRPr="004F54FD" w14:paraId="45A24742" w14:textId="784D286C" w:rsidTr="00AC30FC">
        <w:trPr>
          <w:trHeight w:val="318"/>
        </w:trPr>
        <w:tc>
          <w:tcPr>
            <w:tcW w:w="812" w:type="pct"/>
            <w:tcBorders>
              <w:top w:val="nil"/>
              <w:left w:val="nil"/>
              <w:bottom w:val="single" w:sz="4" w:space="0" w:color="auto"/>
              <w:right w:val="nil"/>
            </w:tcBorders>
            <w:shd w:val="clear" w:color="000000" w:fill="FFFFFF"/>
            <w:vAlign w:val="center"/>
            <w:hideMark/>
          </w:tcPr>
          <w:p w14:paraId="1A3E1F15"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(178,172)</w:t>
            </w:r>
          </w:p>
        </w:tc>
        <w:tc>
          <w:tcPr>
            <w:tcW w:w="3376" w:type="pct"/>
            <w:tcBorders>
              <w:top w:val="single" w:sz="4" w:space="0" w:color="auto"/>
              <w:left w:val="nil"/>
              <w:bottom w:val="single" w:sz="4" w:space="0" w:color="auto"/>
              <w:right w:val="nil"/>
            </w:tcBorders>
            <w:shd w:val="clear" w:color="000000" w:fill="FFFFFF"/>
            <w:noWrap/>
            <w:vAlign w:val="center"/>
            <w:hideMark/>
          </w:tcPr>
          <w:p w14:paraId="5C3B1A9B" w14:textId="77777777" w:rsidR="008441E1" w:rsidRPr="004F54FD" w:rsidRDefault="008441E1" w:rsidP="008441E1">
            <w:pPr>
              <w:spacing w:line="240" w:lineRule="auto"/>
              <w:jc w:val="left"/>
              <w:rPr>
                <w:rFonts w:eastAsia="Times New Roman" w:cs="Calibri"/>
                <w:b/>
                <w:bCs/>
                <w:color w:val="000000"/>
                <w:szCs w:val="20"/>
                <w:lang w:eastAsia="en-GB"/>
              </w:rPr>
            </w:pPr>
            <w:r w:rsidRPr="004F54FD">
              <w:rPr>
                <w:rFonts w:eastAsia="Times New Roman" w:cs="Calibri"/>
                <w:b/>
                <w:bCs/>
                <w:color w:val="000000"/>
                <w:szCs w:val="20"/>
                <w:lang w:eastAsia="en-GB"/>
              </w:rPr>
              <w:t>Total Income (Including Intra Company)</w:t>
            </w:r>
          </w:p>
        </w:tc>
        <w:tc>
          <w:tcPr>
            <w:tcW w:w="812" w:type="pct"/>
            <w:tcBorders>
              <w:top w:val="single" w:sz="4" w:space="0" w:color="auto"/>
              <w:left w:val="nil"/>
              <w:bottom w:val="single" w:sz="4" w:space="0" w:color="auto"/>
              <w:right w:val="nil"/>
            </w:tcBorders>
            <w:shd w:val="clear" w:color="000000" w:fill="CCECFF"/>
            <w:vAlign w:val="center"/>
            <w:hideMark/>
          </w:tcPr>
          <w:p w14:paraId="62788C11"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(202,794)</w:t>
            </w:r>
          </w:p>
        </w:tc>
      </w:tr>
      <w:tr w:rsidR="008441E1" w:rsidRPr="004F54FD" w14:paraId="34D993AA" w14:textId="0C389C2A" w:rsidTr="00AC30FC">
        <w:trPr>
          <w:trHeight w:val="318"/>
        </w:trPr>
        <w:tc>
          <w:tcPr>
            <w:tcW w:w="812" w:type="pct"/>
            <w:tcBorders>
              <w:top w:val="nil"/>
              <w:left w:val="nil"/>
              <w:bottom w:val="single" w:sz="4" w:space="0" w:color="auto"/>
              <w:right w:val="nil"/>
            </w:tcBorders>
            <w:shd w:val="clear" w:color="000000" w:fill="FFFFFF"/>
            <w:vAlign w:val="center"/>
            <w:hideMark/>
          </w:tcPr>
          <w:p w14:paraId="7D949C12"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53,045</w:t>
            </w:r>
          </w:p>
        </w:tc>
        <w:tc>
          <w:tcPr>
            <w:tcW w:w="3376" w:type="pct"/>
            <w:tcBorders>
              <w:top w:val="nil"/>
              <w:left w:val="nil"/>
              <w:bottom w:val="single" w:sz="4" w:space="0" w:color="auto"/>
              <w:right w:val="nil"/>
            </w:tcBorders>
            <w:shd w:val="clear" w:color="000000" w:fill="FFFFFF"/>
            <w:noWrap/>
            <w:vAlign w:val="center"/>
            <w:hideMark/>
          </w:tcPr>
          <w:p w14:paraId="49344A5C" w14:textId="180D85B9" w:rsidR="008441E1" w:rsidRPr="004F54FD" w:rsidRDefault="00090967" w:rsidP="008441E1">
            <w:pPr>
              <w:spacing w:line="240" w:lineRule="auto"/>
              <w:jc w:val="left"/>
              <w:rPr>
                <w:rFonts w:eastAsia="Times New Roman" w:cs="Calibri"/>
                <w:b/>
                <w:bCs/>
                <w:color w:val="000000"/>
                <w:szCs w:val="20"/>
                <w:lang w:eastAsia="en-GB"/>
              </w:rPr>
            </w:pPr>
            <w:r>
              <w:rPr>
                <w:rFonts w:eastAsia="Times New Roman" w:cs="Calibri"/>
                <w:b/>
                <w:bCs/>
                <w:color w:val="000000"/>
                <w:szCs w:val="20"/>
                <w:lang w:eastAsia="en-GB"/>
              </w:rPr>
              <w:t>(</w:t>
            </w:r>
            <w:r w:rsidR="008441E1" w:rsidRPr="004F54FD">
              <w:rPr>
                <w:rFonts w:eastAsia="Times New Roman" w:cs="Calibri"/>
                <w:b/>
                <w:bCs/>
                <w:color w:val="000000"/>
                <w:szCs w:val="20"/>
                <w:lang w:eastAsia="en-GB"/>
              </w:rPr>
              <w:t>Surplus</w:t>
            </w:r>
            <w:r>
              <w:rPr>
                <w:rFonts w:eastAsia="Times New Roman" w:cs="Calibri"/>
                <w:b/>
                <w:bCs/>
                <w:color w:val="000000"/>
                <w:szCs w:val="20"/>
                <w:lang w:eastAsia="en-GB"/>
              </w:rPr>
              <w:t>)</w:t>
            </w:r>
            <w:r w:rsidR="008441E1" w:rsidRPr="004F54FD">
              <w:rPr>
                <w:rFonts w:eastAsia="Times New Roman" w:cs="Calibri"/>
                <w:b/>
                <w:bCs/>
                <w:color w:val="000000"/>
                <w:szCs w:val="20"/>
                <w:lang w:eastAsia="en-GB"/>
              </w:rPr>
              <w:t xml:space="preserve"> or Deficit on the Provision of Services</w:t>
            </w:r>
          </w:p>
        </w:tc>
        <w:tc>
          <w:tcPr>
            <w:tcW w:w="812" w:type="pct"/>
            <w:tcBorders>
              <w:top w:val="nil"/>
              <w:left w:val="nil"/>
              <w:bottom w:val="single" w:sz="4" w:space="0" w:color="auto"/>
              <w:right w:val="nil"/>
            </w:tcBorders>
            <w:shd w:val="clear" w:color="000000" w:fill="CCECFF"/>
            <w:vAlign w:val="center"/>
            <w:hideMark/>
          </w:tcPr>
          <w:p w14:paraId="761593F2" w14:textId="77777777" w:rsidR="008441E1" w:rsidRPr="004F54FD" w:rsidRDefault="008441E1" w:rsidP="008441E1">
            <w:pPr>
              <w:spacing w:line="240" w:lineRule="auto"/>
              <w:jc w:val="right"/>
              <w:rPr>
                <w:rFonts w:eastAsia="Times New Roman" w:cs="Calibri"/>
                <w:b/>
                <w:bCs/>
                <w:color w:val="auto"/>
                <w:szCs w:val="20"/>
                <w:lang w:eastAsia="en-GB"/>
              </w:rPr>
            </w:pPr>
            <w:r w:rsidRPr="004F54FD">
              <w:rPr>
                <w:rFonts w:eastAsia="Times New Roman" w:cs="Calibri"/>
                <w:b/>
                <w:bCs/>
                <w:color w:val="auto"/>
                <w:szCs w:val="20"/>
                <w:lang w:eastAsia="en-GB"/>
              </w:rPr>
              <w:t>24,397</w:t>
            </w:r>
          </w:p>
        </w:tc>
      </w:tr>
      <w:bookmarkEnd w:id="108"/>
    </w:tbl>
    <w:p w14:paraId="307BF1A4" w14:textId="1150F601" w:rsidR="0016630F" w:rsidRPr="0043793E" w:rsidRDefault="0016630F" w:rsidP="00161E23"/>
    <w:p w14:paraId="7C7193D6" w14:textId="77777777" w:rsidR="004720F6" w:rsidRDefault="004720F6" w:rsidP="00161E23">
      <w:pPr>
        <w:spacing w:line="240" w:lineRule="auto"/>
        <w:jc w:val="left"/>
        <w:rPr>
          <w:rFonts w:asciiTheme="minorHAnsi" w:eastAsia="Times New Roman" w:hAnsiTheme="minorHAnsi" w:cs="Times New Roman"/>
          <w:b/>
          <w:bCs/>
          <w:color w:val="18235B"/>
          <w:sz w:val="24"/>
          <w:u w:val="single"/>
          <w:lang w:val="pt-BR"/>
        </w:rPr>
      </w:pPr>
      <w:r>
        <w:rPr>
          <w:lang w:val="pt-BR"/>
        </w:rPr>
        <w:br w:type="page"/>
      </w:r>
    </w:p>
    <w:p w14:paraId="2C417DBE" w14:textId="01588F87" w:rsidR="002522D4" w:rsidRPr="00105FDE" w:rsidRDefault="002522D4" w:rsidP="00161E23">
      <w:pPr>
        <w:pStyle w:val="NoteHeader"/>
        <w:rPr>
          <w:lang w:val="pt-BR"/>
        </w:rPr>
      </w:pPr>
      <w:bookmarkStart w:id="112" w:name="_Toc191457322"/>
      <w:r w:rsidRPr="00105FDE">
        <w:rPr>
          <w:lang w:val="pt-BR"/>
        </w:rPr>
        <w:lastRenderedPageBreak/>
        <w:t>Note 6 - Adjustments between Accounting Basis and Funding Basis under Regulations</w:t>
      </w:r>
      <w:bookmarkEnd w:id="109"/>
      <w:bookmarkEnd w:id="110"/>
      <w:bookmarkEnd w:id="111"/>
      <w:bookmarkEnd w:id="112"/>
    </w:p>
    <w:p w14:paraId="6781A562" w14:textId="77777777" w:rsidR="002522D4" w:rsidRPr="00E17F55" w:rsidRDefault="002522D4" w:rsidP="00161E23">
      <w:pPr>
        <w:rPr>
          <w:sz w:val="16"/>
          <w:szCs w:val="16"/>
          <w:lang w:val="pt-BR"/>
        </w:rPr>
      </w:pPr>
    </w:p>
    <w:p w14:paraId="73B285C0" w14:textId="1D2B0593" w:rsidR="002522D4" w:rsidRDefault="002522D4" w:rsidP="00161E23">
      <w:pPr>
        <w:rPr>
          <w:lang w:val="pt-BR"/>
        </w:rPr>
      </w:pPr>
      <w:r w:rsidRPr="00105FDE">
        <w:rPr>
          <w:lang w:val="pt-BR"/>
        </w:rPr>
        <w:t xml:space="preserve">This note details the adjustments that are made to the total comprehensive income and expenditure recognised by the </w:t>
      </w:r>
      <w:r w:rsidR="004720F6">
        <w:rPr>
          <w:lang w:val="pt-BR"/>
        </w:rPr>
        <w:t>OCC</w:t>
      </w:r>
      <w:r w:rsidRPr="00105FDE">
        <w:rPr>
          <w:lang w:val="pt-BR"/>
        </w:rPr>
        <w:t xml:space="preserve"> in the year, in accordance with proper accounting practice</w:t>
      </w:r>
      <w:r w:rsidR="00105FDE" w:rsidRPr="00105FDE">
        <w:rPr>
          <w:lang w:val="pt-BR"/>
        </w:rPr>
        <w:t>,</w:t>
      </w:r>
      <w:r w:rsidRPr="00105FDE">
        <w:rPr>
          <w:lang w:val="pt-BR"/>
        </w:rPr>
        <w:t xml:space="preserve"> to the resources that are specified by statutory provisions as being available to the </w:t>
      </w:r>
      <w:r w:rsidR="004720F6">
        <w:rPr>
          <w:lang w:val="pt-BR"/>
        </w:rPr>
        <w:t>O</w:t>
      </w:r>
      <w:r w:rsidR="00C75713" w:rsidRPr="00105FDE">
        <w:rPr>
          <w:lang w:val="pt-BR"/>
        </w:rPr>
        <w:t>CC</w:t>
      </w:r>
      <w:r w:rsidRPr="00105FDE">
        <w:rPr>
          <w:lang w:val="pt-BR"/>
        </w:rPr>
        <w:t>, to meet future capital and revenue expenditure.</w:t>
      </w:r>
    </w:p>
    <w:p w14:paraId="16818EF4" w14:textId="77777777" w:rsidR="003C1837" w:rsidRPr="00E17F55" w:rsidRDefault="003C1837" w:rsidP="009063E8">
      <w:pPr>
        <w:rPr>
          <w:sz w:val="16"/>
          <w:szCs w:val="16"/>
          <w:lang w:val="pt-BR"/>
        </w:rPr>
      </w:pPr>
    </w:p>
    <w:tbl>
      <w:tblPr>
        <w:tblW w:w="5000" w:type="pct"/>
        <w:tblLook w:val="04A0" w:firstRow="1" w:lastRow="0" w:firstColumn="1" w:lastColumn="0" w:noHBand="0" w:noVBand="1"/>
      </w:tblPr>
      <w:tblGrid>
        <w:gridCol w:w="6803"/>
        <w:gridCol w:w="1417"/>
        <w:gridCol w:w="1419"/>
      </w:tblGrid>
      <w:tr w:rsidR="00083390" w:rsidRPr="002164E0" w14:paraId="5C5CF587" w14:textId="77777777" w:rsidTr="00BC5C33">
        <w:trPr>
          <w:trHeight w:val="60"/>
        </w:trPr>
        <w:tc>
          <w:tcPr>
            <w:tcW w:w="3529" w:type="pct"/>
            <w:tcBorders>
              <w:top w:val="nil"/>
              <w:left w:val="nil"/>
              <w:bottom w:val="nil"/>
              <w:right w:val="nil"/>
            </w:tcBorders>
            <w:shd w:val="clear" w:color="000000" w:fill="000099"/>
            <w:vAlign w:val="center"/>
            <w:hideMark/>
          </w:tcPr>
          <w:p w14:paraId="268BA9FD"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c>
          <w:tcPr>
            <w:tcW w:w="735" w:type="pct"/>
            <w:tcBorders>
              <w:top w:val="nil"/>
              <w:left w:val="nil"/>
              <w:bottom w:val="nil"/>
              <w:right w:val="nil"/>
            </w:tcBorders>
            <w:shd w:val="clear" w:color="000000" w:fill="000099"/>
            <w:vAlign w:val="center"/>
            <w:hideMark/>
          </w:tcPr>
          <w:p w14:paraId="570524B4"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c>
          <w:tcPr>
            <w:tcW w:w="736" w:type="pct"/>
            <w:tcBorders>
              <w:top w:val="nil"/>
              <w:left w:val="nil"/>
              <w:bottom w:val="nil"/>
              <w:right w:val="nil"/>
            </w:tcBorders>
            <w:shd w:val="clear" w:color="000000" w:fill="000099"/>
            <w:vAlign w:val="center"/>
            <w:hideMark/>
          </w:tcPr>
          <w:p w14:paraId="7B5DE667" w14:textId="77777777" w:rsidR="00083390" w:rsidRPr="002164E0" w:rsidRDefault="00083390" w:rsidP="00083390">
            <w:pPr>
              <w:spacing w:line="240" w:lineRule="auto"/>
              <w:jc w:val="center"/>
              <w:rPr>
                <w:rFonts w:eastAsia="Times New Roman" w:cs="Calibri"/>
                <w:b/>
                <w:bCs/>
                <w:color w:val="FFFFFF"/>
                <w:sz w:val="4"/>
                <w:szCs w:val="4"/>
                <w:lang w:eastAsia="en-GB"/>
              </w:rPr>
            </w:pPr>
            <w:r w:rsidRPr="002164E0">
              <w:rPr>
                <w:rFonts w:eastAsia="Times New Roman" w:cs="Calibri"/>
                <w:b/>
                <w:bCs/>
                <w:color w:val="FFFFFF"/>
                <w:sz w:val="4"/>
                <w:szCs w:val="4"/>
                <w:lang w:eastAsia="en-GB"/>
              </w:rPr>
              <w:t> </w:t>
            </w:r>
          </w:p>
        </w:tc>
      </w:tr>
      <w:tr w:rsidR="00083390" w:rsidRPr="00083390" w14:paraId="15218A9A" w14:textId="77777777" w:rsidTr="00BC5C33">
        <w:trPr>
          <w:trHeight w:val="1035"/>
        </w:trPr>
        <w:tc>
          <w:tcPr>
            <w:tcW w:w="3529" w:type="pct"/>
            <w:tcBorders>
              <w:top w:val="nil"/>
              <w:left w:val="nil"/>
              <w:bottom w:val="nil"/>
              <w:right w:val="nil"/>
            </w:tcBorders>
            <w:shd w:val="clear" w:color="000000" w:fill="000099"/>
            <w:vAlign w:val="center"/>
            <w:hideMark/>
          </w:tcPr>
          <w:p w14:paraId="75441C79" w14:textId="77777777" w:rsidR="00083390" w:rsidRPr="00083390" w:rsidRDefault="00083390" w:rsidP="00083390">
            <w:pPr>
              <w:spacing w:line="240" w:lineRule="auto"/>
              <w:jc w:val="left"/>
              <w:rPr>
                <w:rFonts w:eastAsia="Times New Roman" w:cs="Calibri"/>
                <w:b/>
                <w:bCs/>
                <w:color w:val="FFFFFF"/>
                <w:szCs w:val="20"/>
                <w:lang w:eastAsia="en-GB"/>
              </w:rPr>
            </w:pPr>
            <w:r w:rsidRPr="00083390">
              <w:rPr>
                <w:rFonts w:eastAsia="Times New Roman" w:cs="Calibri"/>
                <w:b/>
                <w:bCs/>
                <w:color w:val="FFFFFF"/>
                <w:szCs w:val="20"/>
                <w:lang w:eastAsia="en-GB"/>
              </w:rPr>
              <w:t>2023/24</w:t>
            </w:r>
          </w:p>
        </w:tc>
        <w:tc>
          <w:tcPr>
            <w:tcW w:w="735" w:type="pct"/>
            <w:tcBorders>
              <w:top w:val="nil"/>
              <w:left w:val="nil"/>
              <w:bottom w:val="nil"/>
              <w:right w:val="nil"/>
            </w:tcBorders>
            <w:shd w:val="clear" w:color="000000" w:fill="000099"/>
            <w:vAlign w:val="center"/>
            <w:hideMark/>
          </w:tcPr>
          <w:p w14:paraId="5105456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General Fund Balance</w:t>
            </w:r>
            <w:r w:rsidRPr="00083390">
              <w:rPr>
                <w:rFonts w:eastAsia="Times New Roman" w:cs="Calibri"/>
                <w:b/>
                <w:bCs/>
                <w:color w:val="FFFFFF"/>
                <w:szCs w:val="20"/>
                <w:lang w:eastAsia="en-GB"/>
              </w:rPr>
              <w:br/>
              <w:t>£000</w:t>
            </w:r>
          </w:p>
        </w:tc>
        <w:tc>
          <w:tcPr>
            <w:tcW w:w="736" w:type="pct"/>
            <w:tcBorders>
              <w:top w:val="nil"/>
              <w:left w:val="nil"/>
              <w:bottom w:val="nil"/>
              <w:right w:val="nil"/>
            </w:tcBorders>
            <w:shd w:val="clear" w:color="000000" w:fill="000099"/>
            <w:vAlign w:val="center"/>
            <w:hideMark/>
          </w:tcPr>
          <w:p w14:paraId="5243FBD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Movement in Unusable Reserves</w:t>
            </w:r>
            <w:r w:rsidRPr="00083390">
              <w:rPr>
                <w:rFonts w:eastAsia="Times New Roman" w:cs="Calibri"/>
                <w:b/>
                <w:bCs/>
                <w:color w:val="FFFFFF"/>
                <w:szCs w:val="20"/>
                <w:lang w:eastAsia="en-GB"/>
              </w:rPr>
              <w:br/>
              <w:t>£000</w:t>
            </w:r>
          </w:p>
        </w:tc>
      </w:tr>
      <w:tr w:rsidR="00083390" w:rsidRPr="00083390" w14:paraId="23E279B9" w14:textId="77777777" w:rsidTr="00BC5C33">
        <w:trPr>
          <w:trHeight w:val="315"/>
        </w:trPr>
        <w:tc>
          <w:tcPr>
            <w:tcW w:w="3529" w:type="pct"/>
            <w:tcBorders>
              <w:top w:val="nil"/>
              <w:left w:val="nil"/>
              <w:bottom w:val="nil"/>
              <w:right w:val="nil"/>
            </w:tcBorders>
            <w:shd w:val="clear" w:color="000000" w:fill="FFFFFF"/>
            <w:vAlign w:val="center"/>
            <w:hideMark/>
          </w:tcPr>
          <w:p w14:paraId="6FFDB613"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Adjustment to the Revenue Resources</w:t>
            </w:r>
          </w:p>
        </w:tc>
        <w:tc>
          <w:tcPr>
            <w:tcW w:w="735" w:type="pct"/>
            <w:tcBorders>
              <w:top w:val="nil"/>
              <w:left w:val="nil"/>
              <w:bottom w:val="nil"/>
              <w:right w:val="nil"/>
            </w:tcBorders>
            <w:shd w:val="clear" w:color="000000" w:fill="CCECFF"/>
            <w:vAlign w:val="center"/>
            <w:hideMark/>
          </w:tcPr>
          <w:p w14:paraId="733ED7C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c>
          <w:tcPr>
            <w:tcW w:w="736" w:type="pct"/>
            <w:tcBorders>
              <w:top w:val="nil"/>
              <w:left w:val="nil"/>
              <w:bottom w:val="nil"/>
              <w:right w:val="nil"/>
            </w:tcBorders>
            <w:shd w:val="clear" w:color="000000" w:fill="CCECFF"/>
            <w:vAlign w:val="center"/>
            <w:hideMark/>
          </w:tcPr>
          <w:p w14:paraId="4CE90E9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083390" w14:paraId="51EB7398" w14:textId="77777777" w:rsidTr="00DE74BB">
        <w:trPr>
          <w:trHeight w:val="1071"/>
        </w:trPr>
        <w:tc>
          <w:tcPr>
            <w:tcW w:w="3529" w:type="pct"/>
            <w:tcBorders>
              <w:top w:val="nil"/>
              <w:left w:val="nil"/>
              <w:bottom w:val="nil"/>
              <w:right w:val="nil"/>
            </w:tcBorders>
            <w:shd w:val="clear" w:color="000000" w:fill="FFFFFF"/>
            <w:vAlign w:val="center"/>
            <w:hideMark/>
          </w:tcPr>
          <w:p w14:paraId="42647C2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735" w:type="pct"/>
            <w:tcBorders>
              <w:top w:val="nil"/>
              <w:left w:val="nil"/>
              <w:bottom w:val="nil"/>
              <w:right w:val="nil"/>
            </w:tcBorders>
            <w:shd w:val="clear" w:color="000000" w:fill="CCECFF"/>
            <w:vAlign w:val="center"/>
            <w:hideMark/>
          </w:tcPr>
          <w:p w14:paraId="23FAFA9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6E6C75AE"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28BAF3D2" w14:textId="77777777" w:rsidTr="00BC5C33">
        <w:trPr>
          <w:trHeight w:val="60"/>
        </w:trPr>
        <w:tc>
          <w:tcPr>
            <w:tcW w:w="3529" w:type="pct"/>
            <w:tcBorders>
              <w:top w:val="nil"/>
              <w:left w:val="nil"/>
              <w:bottom w:val="nil"/>
              <w:right w:val="nil"/>
            </w:tcBorders>
            <w:shd w:val="clear" w:color="000000" w:fill="FFFFFF"/>
            <w:vAlign w:val="center"/>
            <w:hideMark/>
          </w:tcPr>
          <w:p w14:paraId="50BE70E6"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4FE09DD"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0CD22C1"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43650C90" w14:textId="77777777" w:rsidTr="00DE74BB">
        <w:trPr>
          <w:trHeight w:val="378"/>
        </w:trPr>
        <w:tc>
          <w:tcPr>
            <w:tcW w:w="3529" w:type="pct"/>
            <w:tcBorders>
              <w:top w:val="nil"/>
              <w:left w:val="nil"/>
              <w:bottom w:val="nil"/>
              <w:right w:val="nil"/>
            </w:tcBorders>
            <w:shd w:val="clear" w:color="000000" w:fill="FFFFFF"/>
            <w:vAlign w:val="center"/>
            <w:hideMark/>
          </w:tcPr>
          <w:p w14:paraId="2728917D"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Pension Cost (transferred to (or from) the pensions reserve)</w:t>
            </w:r>
          </w:p>
        </w:tc>
        <w:tc>
          <w:tcPr>
            <w:tcW w:w="735" w:type="pct"/>
            <w:tcBorders>
              <w:top w:val="nil"/>
              <w:left w:val="nil"/>
              <w:bottom w:val="nil"/>
              <w:right w:val="nil"/>
            </w:tcBorders>
            <w:shd w:val="clear" w:color="000000" w:fill="CCECFF"/>
            <w:vAlign w:val="center"/>
            <w:hideMark/>
          </w:tcPr>
          <w:p w14:paraId="5A6225D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(22,871)</w:t>
            </w:r>
          </w:p>
        </w:tc>
        <w:tc>
          <w:tcPr>
            <w:tcW w:w="736" w:type="pct"/>
            <w:tcBorders>
              <w:top w:val="nil"/>
              <w:left w:val="nil"/>
              <w:bottom w:val="nil"/>
              <w:right w:val="nil"/>
            </w:tcBorders>
            <w:shd w:val="clear" w:color="000000" w:fill="CCECFF"/>
            <w:vAlign w:val="center"/>
            <w:hideMark/>
          </w:tcPr>
          <w:p w14:paraId="0252F3F1"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22,871</w:t>
            </w:r>
          </w:p>
        </w:tc>
      </w:tr>
      <w:tr w:rsidR="00083390" w:rsidRPr="002164E0" w14:paraId="47380264" w14:textId="77777777" w:rsidTr="00BC5C33">
        <w:trPr>
          <w:trHeight w:val="60"/>
        </w:trPr>
        <w:tc>
          <w:tcPr>
            <w:tcW w:w="3529" w:type="pct"/>
            <w:tcBorders>
              <w:top w:val="nil"/>
              <w:left w:val="nil"/>
              <w:bottom w:val="nil"/>
              <w:right w:val="nil"/>
            </w:tcBorders>
            <w:shd w:val="clear" w:color="000000" w:fill="FFFFFF"/>
            <w:vAlign w:val="center"/>
            <w:hideMark/>
          </w:tcPr>
          <w:p w14:paraId="169FCA02"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0B15631B"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4E87B503"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5AB0E12D" w14:textId="77777777" w:rsidTr="00BC5C33">
        <w:trPr>
          <w:trHeight w:val="60"/>
        </w:trPr>
        <w:tc>
          <w:tcPr>
            <w:tcW w:w="3529" w:type="pct"/>
            <w:tcBorders>
              <w:top w:val="nil"/>
              <w:left w:val="nil"/>
              <w:bottom w:val="nil"/>
              <w:right w:val="nil"/>
            </w:tcBorders>
            <w:shd w:val="clear" w:color="000000" w:fill="FFFFFF"/>
            <w:vAlign w:val="center"/>
            <w:hideMark/>
          </w:tcPr>
          <w:p w14:paraId="4AC0890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Financial Instruments (transferred to the Financial Instruments Adjustments Account)</w:t>
            </w:r>
          </w:p>
        </w:tc>
        <w:tc>
          <w:tcPr>
            <w:tcW w:w="735" w:type="pct"/>
            <w:tcBorders>
              <w:top w:val="nil"/>
              <w:left w:val="nil"/>
              <w:bottom w:val="nil"/>
              <w:right w:val="nil"/>
            </w:tcBorders>
            <w:shd w:val="clear" w:color="000000" w:fill="CCECFF"/>
            <w:vAlign w:val="center"/>
            <w:hideMark/>
          </w:tcPr>
          <w:p w14:paraId="57567F9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2C69320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05E81A3E" w14:textId="77777777" w:rsidTr="00DE74BB">
        <w:trPr>
          <w:trHeight w:val="151"/>
        </w:trPr>
        <w:tc>
          <w:tcPr>
            <w:tcW w:w="3529" w:type="pct"/>
            <w:tcBorders>
              <w:top w:val="nil"/>
              <w:left w:val="nil"/>
              <w:bottom w:val="nil"/>
              <w:right w:val="nil"/>
            </w:tcBorders>
            <w:shd w:val="clear" w:color="000000" w:fill="FFFFFF"/>
            <w:vAlign w:val="center"/>
            <w:hideMark/>
          </w:tcPr>
          <w:p w14:paraId="4EBB62C0"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05C82CB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6B67BDC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7BF98DA0" w14:textId="77777777" w:rsidTr="00BC5C33">
        <w:trPr>
          <w:trHeight w:val="315"/>
        </w:trPr>
        <w:tc>
          <w:tcPr>
            <w:tcW w:w="3529" w:type="pct"/>
            <w:tcBorders>
              <w:top w:val="nil"/>
              <w:left w:val="nil"/>
              <w:bottom w:val="nil"/>
              <w:right w:val="nil"/>
            </w:tcBorders>
            <w:shd w:val="clear" w:color="000000" w:fill="FFFFFF"/>
            <w:vAlign w:val="center"/>
            <w:hideMark/>
          </w:tcPr>
          <w:p w14:paraId="344370C0" w14:textId="45E4D5DA"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Council Tax and N</w:t>
            </w:r>
            <w:r w:rsidR="00E17F55">
              <w:rPr>
                <w:rFonts w:eastAsia="Times New Roman" w:cs="Calibri"/>
                <w:color w:val="000000"/>
                <w:szCs w:val="20"/>
                <w:lang w:eastAsia="en-GB"/>
              </w:rPr>
              <w:t>N</w:t>
            </w:r>
            <w:r w:rsidRPr="00083390">
              <w:rPr>
                <w:rFonts w:eastAsia="Times New Roman" w:cs="Calibri"/>
                <w:color w:val="000000"/>
                <w:szCs w:val="20"/>
                <w:lang w:eastAsia="en-GB"/>
              </w:rPr>
              <w:t xml:space="preserve">DR (transfers to or from the </w:t>
            </w:r>
            <w:r w:rsidR="009E7D01">
              <w:rPr>
                <w:rFonts w:eastAsia="Times New Roman" w:cs="Calibri"/>
                <w:color w:val="000000"/>
                <w:szCs w:val="20"/>
                <w:lang w:eastAsia="en-GB"/>
              </w:rPr>
              <w:t>C</w:t>
            </w:r>
            <w:r w:rsidRPr="00083390">
              <w:rPr>
                <w:rFonts w:eastAsia="Times New Roman" w:cs="Calibri"/>
                <w:color w:val="000000"/>
                <w:szCs w:val="20"/>
                <w:lang w:eastAsia="en-GB"/>
              </w:rPr>
              <w:t>ollection Fund)</w:t>
            </w:r>
          </w:p>
        </w:tc>
        <w:tc>
          <w:tcPr>
            <w:tcW w:w="735" w:type="pct"/>
            <w:tcBorders>
              <w:top w:val="nil"/>
              <w:left w:val="nil"/>
              <w:bottom w:val="nil"/>
              <w:right w:val="nil"/>
            </w:tcBorders>
            <w:shd w:val="clear" w:color="000000" w:fill="CCECFF"/>
            <w:vAlign w:val="center"/>
            <w:hideMark/>
          </w:tcPr>
          <w:p w14:paraId="1A494062"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07379FC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4FEB8887" w14:textId="77777777" w:rsidTr="00DE74BB">
        <w:trPr>
          <w:trHeight w:val="115"/>
        </w:trPr>
        <w:tc>
          <w:tcPr>
            <w:tcW w:w="3529" w:type="pct"/>
            <w:tcBorders>
              <w:top w:val="nil"/>
              <w:left w:val="nil"/>
              <w:bottom w:val="nil"/>
              <w:right w:val="nil"/>
            </w:tcBorders>
            <w:shd w:val="clear" w:color="000000" w:fill="FFFFFF"/>
            <w:vAlign w:val="center"/>
            <w:hideMark/>
          </w:tcPr>
          <w:p w14:paraId="2FBB2864"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A09422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03B59AA"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534670AD" w14:textId="77777777" w:rsidTr="00DE74BB">
        <w:trPr>
          <w:trHeight w:val="415"/>
        </w:trPr>
        <w:tc>
          <w:tcPr>
            <w:tcW w:w="3529" w:type="pct"/>
            <w:tcBorders>
              <w:top w:val="nil"/>
              <w:left w:val="nil"/>
              <w:bottom w:val="nil"/>
              <w:right w:val="nil"/>
            </w:tcBorders>
            <w:shd w:val="clear" w:color="000000" w:fill="FFFFFF"/>
            <w:vAlign w:val="center"/>
            <w:hideMark/>
          </w:tcPr>
          <w:p w14:paraId="19E17E9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Holiday Pay (transferred to the Accumulated Absences Reserve)</w:t>
            </w:r>
          </w:p>
        </w:tc>
        <w:tc>
          <w:tcPr>
            <w:tcW w:w="735" w:type="pct"/>
            <w:tcBorders>
              <w:top w:val="nil"/>
              <w:left w:val="nil"/>
              <w:bottom w:val="nil"/>
              <w:right w:val="nil"/>
            </w:tcBorders>
            <w:shd w:val="clear" w:color="000000" w:fill="CCECFF"/>
            <w:vAlign w:val="center"/>
            <w:hideMark/>
          </w:tcPr>
          <w:p w14:paraId="7AC2D8C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(1,526)</w:t>
            </w:r>
          </w:p>
        </w:tc>
        <w:tc>
          <w:tcPr>
            <w:tcW w:w="736" w:type="pct"/>
            <w:tcBorders>
              <w:top w:val="nil"/>
              <w:left w:val="nil"/>
              <w:bottom w:val="nil"/>
              <w:right w:val="nil"/>
            </w:tcBorders>
            <w:shd w:val="clear" w:color="000000" w:fill="CCECFF"/>
            <w:vAlign w:val="center"/>
            <w:hideMark/>
          </w:tcPr>
          <w:p w14:paraId="2003F7CF"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1,526</w:t>
            </w:r>
          </w:p>
        </w:tc>
      </w:tr>
      <w:tr w:rsidR="00083390" w:rsidRPr="002164E0" w14:paraId="7061B32C" w14:textId="77777777" w:rsidTr="00DE74BB">
        <w:trPr>
          <w:trHeight w:val="138"/>
        </w:trPr>
        <w:tc>
          <w:tcPr>
            <w:tcW w:w="3529" w:type="pct"/>
            <w:tcBorders>
              <w:top w:val="nil"/>
              <w:left w:val="nil"/>
              <w:bottom w:val="nil"/>
              <w:right w:val="nil"/>
            </w:tcBorders>
            <w:shd w:val="clear" w:color="000000" w:fill="FFFFFF"/>
            <w:vAlign w:val="center"/>
            <w:hideMark/>
          </w:tcPr>
          <w:p w14:paraId="505D8AB1"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2F9E8D1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70971DDE"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0C2A2E48" w14:textId="77777777" w:rsidTr="00BC5C33">
        <w:trPr>
          <w:trHeight w:val="810"/>
        </w:trPr>
        <w:tc>
          <w:tcPr>
            <w:tcW w:w="3529" w:type="pct"/>
            <w:tcBorders>
              <w:top w:val="nil"/>
              <w:left w:val="nil"/>
              <w:bottom w:val="nil"/>
              <w:right w:val="nil"/>
            </w:tcBorders>
            <w:shd w:val="clear" w:color="000000" w:fill="FFFFFF"/>
            <w:vAlign w:val="center"/>
            <w:hideMark/>
          </w:tcPr>
          <w:p w14:paraId="6F23A3FB"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Reversal of entries included in the Surplus or Deficit on the Provision of Services in relation to capital expenditure (these items are charged to the Capital Adjustment Account)</w:t>
            </w:r>
          </w:p>
        </w:tc>
        <w:tc>
          <w:tcPr>
            <w:tcW w:w="735" w:type="pct"/>
            <w:tcBorders>
              <w:top w:val="nil"/>
              <w:left w:val="nil"/>
              <w:bottom w:val="single" w:sz="4" w:space="0" w:color="auto"/>
              <w:right w:val="nil"/>
            </w:tcBorders>
            <w:shd w:val="clear" w:color="000000" w:fill="CCECFF"/>
            <w:vAlign w:val="center"/>
            <w:hideMark/>
          </w:tcPr>
          <w:p w14:paraId="4556BDE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single" w:sz="4" w:space="0" w:color="auto"/>
              <w:right w:val="nil"/>
            </w:tcBorders>
            <w:shd w:val="clear" w:color="000000" w:fill="CCECFF"/>
            <w:vAlign w:val="center"/>
            <w:hideMark/>
          </w:tcPr>
          <w:p w14:paraId="2BC0528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5624A8F" w14:textId="77777777" w:rsidTr="00BC5C33">
        <w:trPr>
          <w:trHeight w:val="300"/>
        </w:trPr>
        <w:tc>
          <w:tcPr>
            <w:tcW w:w="3529" w:type="pct"/>
            <w:tcBorders>
              <w:top w:val="single" w:sz="4" w:space="0" w:color="auto"/>
              <w:left w:val="nil"/>
              <w:bottom w:val="nil"/>
              <w:right w:val="nil"/>
            </w:tcBorders>
            <w:shd w:val="clear" w:color="000000" w:fill="FFFFFF"/>
            <w:vAlign w:val="center"/>
            <w:hideMark/>
          </w:tcPr>
          <w:p w14:paraId="493E2698"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 to Revenue Resources)</w:t>
            </w:r>
          </w:p>
        </w:tc>
        <w:tc>
          <w:tcPr>
            <w:tcW w:w="735" w:type="pct"/>
            <w:tcBorders>
              <w:top w:val="nil"/>
              <w:left w:val="nil"/>
              <w:bottom w:val="nil"/>
              <w:right w:val="nil"/>
            </w:tcBorders>
            <w:shd w:val="clear" w:color="000000" w:fill="CCECFF"/>
            <w:vAlign w:val="center"/>
            <w:hideMark/>
          </w:tcPr>
          <w:p w14:paraId="705B760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(24,397)</w:t>
            </w:r>
          </w:p>
        </w:tc>
        <w:tc>
          <w:tcPr>
            <w:tcW w:w="736" w:type="pct"/>
            <w:tcBorders>
              <w:top w:val="nil"/>
              <w:left w:val="nil"/>
              <w:bottom w:val="nil"/>
              <w:right w:val="nil"/>
            </w:tcBorders>
            <w:shd w:val="clear" w:color="000000" w:fill="CCECFF"/>
            <w:vAlign w:val="center"/>
            <w:hideMark/>
          </w:tcPr>
          <w:p w14:paraId="7FCBB81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24,397</w:t>
            </w:r>
          </w:p>
        </w:tc>
      </w:tr>
      <w:tr w:rsidR="00083390" w:rsidRPr="002164E0" w14:paraId="563F06A5" w14:textId="77777777" w:rsidTr="00BC5C33">
        <w:trPr>
          <w:trHeight w:val="60"/>
        </w:trPr>
        <w:tc>
          <w:tcPr>
            <w:tcW w:w="3529" w:type="pct"/>
            <w:tcBorders>
              <w:top w:val="nil"/>
              <w:left w:val="nil"/>
              <w:bottom w:val="nil"/>
              <w:right w:val="nil"/>
            </w:tcBorders>
            <w:shd w:val="clear" w:color="000000" w:fill="FFFFFF"/>
            <w:vAlign w:val="center"/>
            <w:hideMark/>
          </w:tcPr>
          <w:p w14:paraId="66D321B2"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4CC08A05"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117BD249"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078AFD49" w14:textId="77777777" w:rsidTr="00BC5C33">
        <w:trPr>
          <w:trHeight w:val="255"/>
        </w:trPr>
        <w:tc>
          <w:tcPr>
            <w:tcW w:w="3529" w:type="pct"/>
            <w:tcBorders>
              <w:top w:val="nil"/>
              <w:left w:val="nil"/>
              <w:bottom w:val="nil"/>
              <w:right w:val="nil"/>
            </w:tcBorders>
            <w:shd w:val="clear" w:color="000000" w:fill="FFFFFF"/>
            <w:vAlign w:val="center"/>
            <w:hideMark/>
          </w:tcPr>
          <w:p w14:paraId="4AEED6C3"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Adjustments between Revenue and Capital Resources</w:t>
            </w:r>
          </w:p>
        </w:tc>
        <w:tc>
          <w:tcPr>
            <w:tcW w:w="735" w:type="pct"/>
            <w:tcBorders>
              <w:top w:val="nil"/>
              <w:left w:val="nil"/>
              <w:bottom w:val="nil"/>
              <w:right w:val="nil"/>
            </w:tcBorders>
            <w:shd w:val="clear" w:color="000000" w:fill="CCECFF"/>
            <w:vAlign w:val="center"/>
            <w:hideMark/>
          </w:tcPr>
          <w:p w14:paraId="47B1C31E"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c>
          <w:tcPr>
            <w:tcW w:w="736" w:type="pct"/>
            <w:tcBorders>
              <w:top w:val="nil"/>
              <w:left w:val="nil"/>
              <w:bottom w:val="nil"/>
              <w:right w:val="nil"/>
            </w:tcBorders>
            <w:shd w:val="clear" w:color="000000" w:fill="CCECFF"/>
            <w:vAlign w:val="center"/>
            <w:hideMark/>
          </w:tcPr>
          <w:p w14:paraId="09972C4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083390" w14:paraId="327DAD06" w14:textId="77777777" w:rsidTr="00BC5C33">
        <w:trPr>
          <w:trHeight w:val="510"/>
        </w:trPr>
        <w:tc>
          <w:tcPr>
            <w:tcW w:w="3529" w:type="pct"/>
            <w:tcBorders>
              <w:top w:val="nil"/>
              <w:left w:val="nil"/>
              <w:bottom w:val="nil"/>
              <w:right w:val="nil"/>
            </w:tcBorders>
            <w:shd w:val="clear" w:color="000000" w:fill="FFFFFF"/>
            <w:vAlign w:val="center"/>
            <w:hideMark/>
          </w:tcPr>
          <w:p w14:paraId="7A238A4B"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Statutory Provision for the repayment of debt (transfer to the Capital Adjustment Account)</w:t>
            </w:r>
          </w:p>
        </w:tc>
        <w:tc>
          <w:tcPr>
            <w:tcW w:w="735" w:type="pct"/>
            <w:tcBorders>
              <w:top w:val="nil"/>
              <w:left w:val="nil"/>
              <w:bottom w:val="nil"/>
              <w:right w:val="nil"/>
            </w:tcBorders>
            <w:shd w:val="clear" w:color="000000" w:fill="CCECFF"/>
            <w:vAlign w:val="center"/>
            <w:hideMark/>
          </w:tcPr>
          <w:p w14:paraId="407D68F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2630A02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3075A3FB" w14:textId="77777777" w:rsidTr="00BC5C33">
        <w:trPr>
          <w:trHeight w:val="570"/>
        </w:trPr>
        <w:tc>
          <w:tcPr>
            <w:tcW w:w="3529" w:type="pct"/>
            <w:tcBorders>
              <w:top w:val="nil"/>
              <w:left w:val="nil"/>
              <w:bottom w:val="nil"/>
              <w:right w:val="nil"/>
            </w:tcBorders>
            <w:shd w:val="clear" w:color="000000" w:fill="FFFFFF"/>
            <w:vAlign w:val="center"/>
            <w:hideMark/>
          </w:tcPr>
          <w:p w14:paraId="1A638E6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Capital Expenditure financed from revenue balances (transfer to the Capital Adjustment Account)</w:t>
            </w:r>
          </w:p>
        </w:tc>
        <w:tc>
          <w:tcPr>
            <w:tcW w:w="735" w:type="pct"/>
            <w:tcBorders>
              <w:top w:val="nil"/>
              <w:left w:val="nil"/>
              <w:bottom w:val="single" w:sz="4" w:space="0" w:color="auto"/>
              <w:right w:val="nil"/>
            </w:tcBorders>
            <w:shd w:val="clear" w:color="000000" w:fill="CCECFF"/>
            <w:vAlign w:val="center"/>
            <w:hideMark/>
          </w:tcPr>
          <w:p w14:paraId="7859F8D9"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single" w:sz="4" w:space="0" w:color="auto"/>
              <w:right w:val="nil"/>
            </w:tcBorders>
            <w:shd w:val="clear" w:color="000000" w:fill="CCECFF"/>
            <w:vAlign w:val="center"/>
            <w:hideMark/>
          </w:tcPr>
          <w:p w14:paraId="2EACA65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3C3321A" w14:textId="77777777" w:rsidTr="00BC5C33">
        <w:trPr>
          <w:trHeight w:val="255"/>
        </w:trPr>
        <w:tc>
          <w:tcPr>
            <w:tcW w:w="3529" w:type="pct"/>
            <w:tcBorders>
              <w:top w:val="single" w:sz="4" w:space="0" w:color="auto"/>
              <w:left w:val="nil"/>
              <w:bottom w:val="nil"/>
              <w:right w:val="nil"/>
            </w:tcBorders>
            <w:shd w:val="clear" w:color="000000" w:fill="FFFFFF"/>
            <w:vAlign w:val="center"/>
            <w:hideMark/>
          </w:tcPr>
          <w:p w14:paraId="2C20A841"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 between Revenue and Capital Resources</w:t>
            </w:r>
          </w:p>
        </w:tc>
        <w:tc>
          <w:tcPr>
            <w:tcW w:w="735" w:type="pct"/>
            <w:tcBorders>
              <w:top w:val="nil"/>
              <w:left w:val="nil"/>
              <w:bottom w:val="nil"/>
              <w:right w:val="nil"/>
            </w:tcBorders>
            <w:shd w:val="clear" w:color="000000" w:fill="CCECFF"/>
            <w:vAlign w:val="center"/>
            <w:hideMark/>
          </w:tcPr>
          <w:p w14:paraId="7BE397C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c>
          <w:tcPr>
            <w:tcW w:w="736" w:type="pct"/>
            <w:tcBorders>
              <w:top w:val="nil"/>
              <w:left w:val="nil"/>
              <w:bottom w:val="nil"/>
              <w:right w:val="nil"/>
            </w:tcBorders>
            <w:shd w:val="clear" w:color="000000" w:fill="CCECFF"/>
            <w:vAlign w:val="center"/>
            <w:hideMark/>
          </w:tcPr>
          <w:p w14:paraId="6543C400"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r>
      <w:tr w:rsidR="00083390" w:rsidRPr="002164E0" w14:paraId="50281E9A" w14:textId="77777777" w:rsidTr="00BC5C33">
        <w:trPr>
          <w:trHeight w:val="60"/>
        </w:trPr>
        <w:tc>
          <w:tcPr>
            <w:tcW w:w="3529" w:type="pct"/>
            <w:tcBorders>
              <w:top w:val="nil"/>
              <w:left w:val="nil"/>
              <w:bottom w:val="nil"/>
              <w:right w:val="nil"/>
            </w:tcBorders>
            <w:shd w:val="clear" w:color="000000" w:fill="FFFFFF"/>
            <w:vAlign w:val="center"/>
            <w:hideMark/>
          </w:tcPr>
          <w:p w14:paraId="22660430"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nil"/>
              <w:right w:val="nil"/>
            </w:tcBorders>
            <w:shd w:val="clear" w:color="000000" w:fill="CCECFF"/>
            <w:vAlign w:val="center"/>
            <w:hideMark/>
          </w:tcPr>
          <w:p w14:paraId="3EBB58EA"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nil"/>
              <w:right w:val="nil"/>
            </w:tcBorders>
            <w:shd w:val="clear" w:color="000000" w:fill="CCECFF"/>
            <w:vAlign w:val="center"/>
            <w:hideMark/>
          </w:tcPr>
          <w:p w14:paraId="344EDAAE"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2DEED719" w14:textId="77777777" w:rsidTr="00BC5C33">
        <w:trPr>
          <w:trHeight w:val="255"/>
        </w:trPr>
        <w:tc>
          <w:tcPr>
            <w:tcW w:w="3529" w:type="pct"/>
            <w:tcBorders>
              <w:top w:val="nil"/>
              <w:left w:val="nil"/>
              <w:bottom w:val="nil"/>
              <w:right w:val="nil"/>
            </w:tcBorders>
            <w:shd w:val="clear" w:color="000000" w:fill="FFFFFF"/>
            <w:vAlign w:val="center"/>
            <w:hideMark/>
          </w:tcPr>
          <w:p w14:paraId="2E2AC82C"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Other Adjustments</w:t>
            </w:r>
          </w:p>
        </w:tc>
        <w:tc>
          <w:tcPr>
            <w:tcW w:w="735" w:type="pct"/>
            <w:tcBorders>
              <w:top w:val="nil"/>
              <w:left w:val="nil"/>
              <w:bottom w:val="nil"/>
              <w:right w:val="nil"/>
            </w:tcBorders>
            <w:shd w:val="clear" w:color="000000" w:fill="CCECFF"/>
            <w:vAlign w:val="center"/>
            <w:hideMark/>
          </w:tcPr>
          <w:p w14:paraId="3A4E0BB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736" w:type="pct"/>
            <w:tcBorders>
              <w:top w:val="nil"/>
              <w:left w:val="nil"/>
              <w:bottom w:val="nil"/>
              <w:right w:val="nil"/>
            </w:tcBorders>
            <w:shd w:val="clear" w:color="000000" w:fill="CCECFF"/>
            <w:vAlign w:val="center"/>
            <w:hideMark/>
          </w:tcPr>
          <w:p w14:paraId="5F251DA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2164E0" w14:paraId="7DD0E0CF" w14:textId="77777777" w:rsidTr="00BC5C33">
        <w:trPr>
          <w:trHeight w:val="60"/>
        </w:trPr>
        <w:tc>
          <w:tcPr>
            <w:tcW w:w="3529" w:type="pct"/>
            <w:tcBorders>
              <w:top w:val="nil"/>
              <w:left w:val="nil"/>
              <w:bottom w:val="nil"/>
              <w:right w:val="nil"/>
            </w:tcBorders>
            <w:shd w:val="clear" w:color="000000" w:fill="FFFFFF"/>
            <w:vAlign w:val="center"/>
            <w:hideMark/>
          </w:tcPr>
          <w:p w14:paraId="3EBEAE9A" w14:textId="77777777" w:rsidR="00083390" w:rsidRPr="002164E0" w:rsidRDefault="00083390" w:rsidP="00083390">
            <w:pPr>
              <w:spacing w:line="240" w:lineRule="auto"/>
              <w:jc w:val="left"/>
              <w:rPr>
                <w:rFonts w:eastAsia="Times New Roman" w:cs="Calibri"/>
                <w:color w:val="000000"/>
                <w:sz w:val="4"/>
                <w:szCs w:val="4"/>
                <w:lang w:eastAsia="en-GB"/>
              </w:rPr>
            </w:pPr>
            <w:r w:rsidRPr="002164E0">
              <w:rPr>
                <w:rFonts w:eastAsia="Times New Roman" w:cs="Calibri"/>
                <w:color w:val="000000"/>
                <w:sz w:val="4"/>
                <w:szCs w:val="4"/>
                <w:lang w:eastAsia="en-GB"/>
              </w:rPr>
              <w:t> </w:t>
            </w:r>
          </w:p>
        </w:tc>
        <w:tc>
          <w:tcPr>
            <w:tcW w:w="735" w:type="pct"/>
            <w:tcBorders>
              <w:top w:val="nil"/>
              <w:left w:val="nil"/>
              <w:bottom w:val="single" w:sz="4" w:space="0" w:color="auto"/>
              <w:right w:val="nil"/>
            </w:tcBorders>
            <w:shd w:val="clear" w:color="000000" w:fill="CCECFF"/>
            <w:vAlign w:val="center"/>
            <w:hideMark/>
          </w:tcPr>
          <w:p w14:paraId="343D1F97"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c>
          <w:tcPr>
            <w:tcW w:w="736" w:type="pct"/>
            <w:tcBorders>
              <w:top w:val="nil"/>
              <w:left w:val="nil"/>
              <w:bottom w:val="single" w:sz="4" w:space="0" w:color="auto"/>
              <w:right w:val="nil"/>
            </w:tcBorders>
            <w:shd w:val="clear" w:color="000000" w:fill="CCECFF"/>
            <w:vAlign w:val="center"/>
            <w:hideMark/>
          </w:tcPr>
          <w:p w14:paraId="27F1AEEF" w14:textId="77777777" w:rsidR="00083390" w:rsidRPr="002164E0" w:rsidRDefault="00083390" w:rsidP="00083390">
            <w:pPr>
              <w:spacing w:line="240" w:lineRule="auto"/>
              <w:jc w:val="right"/>
              <w:rPr>
                <w:rFonts w:eastAsia="Times New Roman" w:cs="Calibri"/>
                <w:color w:val="auto"/>
                <w:sz w:val="4"/>
                <w:szCs w:val="4"/>
                <w:lang w:eastAsia="en-GB"/>
              </w:rPr>
            </w:pPr>
            <w:r w:rsidRPr="002164E0">
              <w:rPr>
                <w:rFonts w:eastAsia="Times New Roman" w:cs="Calibri"/>
                <w:color w:val="auto"/>
                <w:sz w:val="4"/>
                <w:szCs w:val="4"/>
                <w:lang w:eastAsia="en-GB"/>
              </w:rPr>
              <w:t> </w:t>
            </w:r>
          </w:p>
        </w:tc>
      </w:tr>
      <w:tr w:rsidR="00083390" w:rsidRPr="00083390" w14:paraId="49C1CE39" w14:textId="77777777" w:rsidTr="00BC5C33">
        <w:trPr>
          <w:trHeight w:val="255"/>
        </w:trPr>
        <w:tc>
          <w:tcPr>
            <w:tcW w:w="3529" w:type="pct"/>
            <w:tcBorders>
              <w:top w:val="single" w:sz="4" w:space="0" w:color="auto"/>
              <w:left w:val="nil"/>
              <w:bottom w:val="single" w:sz="4" w:space="0" w:color="auto"/>
              <w:right w:val="nil"/>
            </w:tcBorders>
            <w:shd w:val="clear" w:color="000000" w:fill="FFFFFF"/>
            <w:vAlign w:val="center"/>
            <w:hideMark/>
          </w:tcPr>
          <w:p w14:paraId="514D6B2C" w14:textId="77777777" w:rsidR="00083390" w:rsidRPr="00083390" w:rsidRDefault="00083390" w:rsidP="00083390">
            <w:pPr>
              <w:spacing w:line="240" w:lineRule="auto"/>
              <w:jc w:val="left"/>
              <w:rPr>
                <w:rFonts w:eastAsia="Times New Roman" w:cs="Calibri"/>
                <w:b/>
                <w:bCs/>
                <w:color w:val="000000"/>
                <w:szCs w:val="20"/>
                <w:lang w:eastAsia="en-GB"/>
              </w:rPr>
            </w:pPr>
            <w:r w:rsidRPr="00083390">
              <w:rPr>
                <w:rFonts w:eastAsia="Times New Roman" w:cs="Calibri"/>
                <w:b/>
                <w:bCs/>
                <w:color w:val="000000"/>
                <w:szCs w:val="20"/>
                <w:lang w:eastAsia="en-GB"/>
              </w:rPr>
              <w:t>Total Adjustments</w:t>
            </w:r>
          </w:p>
        </w:tc>
        <w:tc>
          <w:tcPr>
            <w:tcW w:w="735" w:type="pct"/>
            <w:tcBorders>
              <w:top w:val="nil"/>
              <w:left w:val="nil"/>
              <w:bottom w:val="single" w:sz="4" w:space="0" w:color="auto"/>
              <w:right w:val="nil"/>
            </w:tcBorders>
            <w:shd w:val="clear" w:color="000000" w:fill="CCECFF"/>
            <w:vAlign w:val="center"/>
            <w:hideMark/>
          </w:tcPr>
          <w:p w14:paraId="22154822"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(24,397)</w:t>
            </w:r>
          </w:p>
        </w:tc>
        <w:tc>
          <w:tcPr>
            <w:tcW w:w="736" w:type="pct"/>
            <w:tcBorders>
              <w:top w:val="nil"/>
              <w:left w:val="nil"/>
              <w:bottom w:val="single" w:sz="4" w:space="0" w:color="auto"/>
              <w:right w:val="nil"/>
            </w:tcBorders>
            <w:shd w:val="clear" w:color="000000" w:fill="CCECFF"/>
            <w:vAlign w:val="center"/>
            <w:hideMark/>
          </w:tcPr>
          <w:p w14:paraId="257D0F54"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24,397</w:t>
            </w:r>
          </w:p>
        </w:tc>
      </w:tr>
    </w:tbl>
    <w:p w14:paraId="5394779D" w14:textId="560978B7" w:rsidR="00F37427" w:rsidRDefault="00F37427" w:rsidP="009063E8">
      <w:pPr>
        <w:rPr>
          <w:lang w:val="pt-BR"/>
        </w:rPr>
      </w:pPr>
    </w:p>
    <w:p w14:paraId="2D92BA78" w14:textId="77777777" w:rsidR="00083390" w:rsidRDefault="00083390" w:rsidP="009063E8">
      <w:pPr>
        <w:rPr>
          <w:lang w:val="pt-BR"/>
        </w:rPr>
      </w:pPr>
    </w:p>
    <w:p w14:paraId="689A9455" w14:textId="77777777" w:rsidR="00083390" w:rsidRDefault="00083390" w:rsidP="009063E8">
      <w:pPr>
        <w:rPr>
          <w:lang w:val="pt-BR"/>
        </w:rPr>
      </w:pPr>
    </w:p>
    <w:p w14:paraId="7076272E" w14:textId="77777777" w:rsidR="00083390" w:rsidRDefault="00083390" w:rsidP="009063E8">
      <w:pPr>
        <w:rPr>
          <w:lang w:val="pt-BR"/>
        </w:rPr>
      </w:pPr>
    </w:p>
    <w:p w14:paraId="03EE6B7C" w14:textId="77777777" w:rsidR="00083390" w:rsidRDefault="00083390" w:rsidP="009063E8">
      <w:pPr>
        <w:rPr>
          <w:lang w:val="pt-BR"/>
        </w:rPr>
      </w:pPr>
    </w:p>
    <w:p w14:paraId="0BA102DF" w14:textId="77777777" w:rsidR="00083390" w:rsidRDefault="00083390" w:rsidP="009063E8">
      <w:pPr>
        <w:rPr>
          <w:lang w:val="pt-BR"/>
        </w:rPr>
      </w:pPr>
    </w:p>
    <w:p w14:paraId="50FF87AB" w14:textId="77777777" w:rsidR="00083390" w:rsidRDefault="00083390" w:rsidP="009063E8">
      <w:pPr>
        <w:rPr>
          <w:lang w:val="pt-BR"/>
        </w:rPr>
      </w:pPr>
    </w:p>
    <w:p w14:paraId="31C3F29A" w14:textId="678541D4" w:rsidR="00083390" w:rsidRDefault="00083390" w:rsidP="009063E8">
      <w:pPr>
        <w:rPr>
          <w:lang w:val="pt-BR"/>
        </w:rPr>
      </w:pPr>
    </w:p>
    <w:p w14:paraId="7E3B45AB" w14:textId="42ECA14A" w:rsidR="00E17F55" w:rsidRDefault="00E17F55" w:rsidP="009063E8">
      <w:pPr>
        <w:rPr>
          <w:lang w:val="pt-BR"/>
        </w:rPr>
      </w:pPr>
    </w:p>
    <w:p w14:paraId="0AF46A94" w14:textId="5DA9694F" w:rsidR="00E17F55" w:rsidRDefault="00E17F55" w:rsidP="009063E8">
      <w:pPr>
        <w:rPr>
          <w:lang w:val="pt-BR"/>
        </w:rPr>
      </w:pPr>
    </w:p>
    <w:p w14:paraId="4739E8B8" w14:textId="13A1BFB3" w:rsidR="00E17F55" w:rsidRDefault="00E17F55" w:rsidP="009063E8">
      <w:pPr>
        <w:rPr>
          <w:lang w:val="pt-BR"/>
        </w:rPr>
      </w:pPr>
    </w:p>
    <w:p w14:paraId="3F43FC3C" w14:textId="2E306B34" w:rsidR="00E17F55" w:rsidRDefault="00E17F55" w:rsidP="009063E8">
      <w:pPr>
        <w:rPr>
          <w:lang w:val="pt-BR"/>
        </w:rPr>
      </w:pPr>
    </w:p>
    <w:p w14:paraId="128D88D4" w14:textId="5AC6E5CF" w:rsidR="00E17F55" w:rsidRDefault="00E17F55" w:rsidP="009063E8">
      <w:pPr>
        <w:rPr>
          <w:lang w:val="pt-BR"/>
        </w:rPr>
      </w:pPr>
    </w:p>
    <w:p w14:paraId="1B6B2A44" w14:textId="7941340A" w:rsidR="00E17F55" w:rsidRDefault="00E17F55" w:rsidP="009063E8">
      <w:pPr>
        <w:rPr>
          <w:lang w:val="pt-BR"/>
        </w:rPr>
      </w:pPr>
    </w:p>
    <w:p w14:paraId="55764C75" w14:textId="77777777" w:rsidR="00E17F55" w:rsidRDefault="00E17F55" w:rsidP="009063E8">
      <w:pPr>
        <w:rPr>
          <w:lang w:val="pt-BR"/>
        </w:rPr>
      </w:pPr>
    </w:p>
    <w:p w14:paraId="125FBFF1" w14:textId="77777777" w:rsidR="00083390" w:rsidRPr="00105FDE" w:rsidRDefault="00083390" w:rsidP="009063E8">
      <w:pPr>
        <w:rPr>
          <w:lang w:val="pt-BR"/>
        </w:rPr>
      </w:pPr>
    </w:p>
    <w:tbl>
      <w:tblPr>
        <w:tblW w:w="5131" w:type="pct"/>
        <w:tblLook w:val="04A0" w:firstRow="1" w:lastRow="0" w:firstColumn="1" w:lastColumn="0" w:noHBand="0" w:noVBand="1"/>
      </w:tblPr>
      <w:tblGrid>
        <w:gridCol w:w="6608"/>
        <w:gridCol w:w="1529"/>
        <w:gridCol w:w="1529"/>
        <w:gridCol w:w="226"/>
      </w:tblGrid>
      <w:tr w:rsidR="00083390" w:rsidRPr="00083390" w14:paraId="7D16D9A7" w14:textId="77777777" w:rsidTr="00BC5C33">
        <w:trPr>
          <w:gridAfter w:val="1"/>
          <w:wAfter w:w="114" w:type="pct"/>
          <w:trHeight w:val="1032"/>
        </w:trPr>
        <w:tc>
          <w:tcPr>
            <w:tcW w:w="3340" w:type="pct"/>
            <w:tcBorders>
              <w:top w:val="nil"/>
              <w:left w:val="nil"/>
              <w:bottom w:val="nil"/>
              <w:right w:val="nil"/>
            </w:tcBorders>
            <w:shd w:val="clear" w:color="000000" w:fill="000099"/>
            <w:vAlign w:val="center"/>
            <w:hideMark/>
          </w:tcPr>
          <w:p w14:paraId="385976F2" w14:textId="77777777" w:rsidR="00083390" w:rsidRPr="00083390" w:rsidRDefault="00083390" w:rsidP="00083390">
            <w:pPr>
              <w:spacing w:line="240" w:lineRule="auto"/>
              <w:jc w:val="left"/>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773" w:type="pct"/>
            <w:tcBorders>
              <w:top w:val="nil"/>
              <w:left w:val="nil"/>
              <w:bottom w:val="nil"/>
              <w:right w:val="nil"/>
            </w:tcBorders>
            <w:shd w:val="clear" w:color="000000" w:fill="000099"/>
            <w:vAlign w:val="center"/>
            <w:hideMark/>
          </w:tcPr>
          <w:p w14:paraId="5B34F82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General Fund Balance</w:t>
            </w:r>
            <w:r w:rsidRPr="00083390">
              <w:rPr>
                <w:rFonts w:eastAsia="Times New Roman" w:cs="Calibri"/>
                <w:b/>
                <w:bCs/>
                <w:color w:val="FFFFFF"/>
                <w:szCs w:val="20"/>
                <w:lang w:eastAsia="en-GB"/>
              </w:rPr>
              <w:br/>
              <w:t>£000</w:t>
            </w:r>
          </w:p>
        </w:tc>
        <w:tc>
          <w:tcPr>
            <w:tcW w:w="773" w:type="pct"/>
            <w:tcBorders>
              <w:top w:val="nil"/>
              <w:left w:val="nil"/>
              <w:bottom w:val="nil"/>
              <w:right w:val="nil"/>
            </w:tcBorders>
            <w:shd w:val="clear" w:color="000000" w:fill="000099"/>
            <w:vAlign w:val="center"/>
            <w:hideMark/>
          </w:tcPr>
          <w:p w14:paraId="1A20F2F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Movement in Unusable Reserves</w:t>
            </w:r>
            <w:r w:rsidRPr="00083390">
              <w:rPr>
                <w:rFonts w:eastAsia="Times New Roman" w:cs="Calibri"/>
                <w:b/>
                <w:bCs/>
                <w:color w:val="FFFFFF"/>
                <w:szCs w:val="20"/>
                <w:lang w:eastAsia="en-GB"/>
              </w:rPr>
              <w:br/>
              <w:t>£000</w:t>
            </w:r>
          </w:p>
        </w:tc>
      </w:tr>
      <w:tr w:rsidR="00083390" w:rsidRPr="00083390" w14:paraId="23F0468D" w14:textId="77777777" w:rsidTr="00BC5C33">
        <w:trPr>
          <w:gridAfter w:val="1"/>
          <w:wAfter w:w="114" w:type="pct"/>
          <w:trHeight w:val="257"/>
        </w:trPr>
        <w:tc>
          <w:tcPr>
            <w:tcW w:w="3340" w:type="pct"/>
            <w:tcBorders>
              <w:top w:val="nil"/>
              <w:left w:val="nil"/>
              <w:bottom w:val="nil"/>
              <w:right w:val="nil"/>
            </w:tcBorders>
            <w:shd w:val="clear" w:color="000000" w:fill="FFFFFF"/>
            <w:vAlign w:val="bottom"/>
            <w:hideMark/>
          </w:tcPr>
          <w:p w14:paraId="70A8E4A2" w14:textId="77777777" w:rsidR="00083390" w:rsidRPr="00083390" w:rsidRDefault="00083390" w:rsidP="00083390">
            <w:pPr>
              <w:spacing w:line="240" w:lineRule="auto"/>
              <w:jc w:val="left"/>
              <w:rPr>
                <w:rFonts w:eastAsia="Times New Roman" w:cs="Calibri"/>
                <w:color w:val="000000"/>
                <w:szCs w:val="20"/>
                <w:lang w:eastAsia="en-GB"/>
              </w:rPr>
            </w:pPr>
            <w:r w:rsidRPr="00083390">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bottom"/>
            <w:hideMark/>
          </w:tcPr>
          <w:p w14:paraId="1A581C8E"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w:t>
            </w:r>
          </w:p>
        </w:tc>
        <w:tc>
          <w:tcPr>
            <w:tcW w:w="773" w:type="pct"/>
            <w:tcBorders>
              <w:top w:val="nil"/>
              <w:left w:val="nil"/>
              <w:bottom w:val="nil"/>
              <w:right w:val="nil"/>
            </w:tcBorders>
            <w:shd w:val="clear" w:color="000000" w:fill="FFFFFF"/>
            <w:vAlign w:val="bottom"/>
            <w:hideMark/>
          </w:tcPr>
          <w:p w14:paraId="414C373F"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w:t>
            </w:r>
          </w:p>
        </w:tc>
      </w:tr>
      <w:tr w:rsidR="00083390" w:rsidRPr="009E7D01" w14:paraId="70B4529B" w14:textId="77777777" w:rsidTr="00BC5C33">
        <w:trPr>
          <w:gridAfter w:val="1"/>
          <w:wAfter w:w="114" w:type="pct"/>
          <w:trHeight w:val="257"/>
        </w:trPr>
        <w:tc>
          <w:tcPr>
            <w:tcW w:w="3340" w:type="pct"/>
            <w:tcBorders>
              <w:top w:val="nil"/>
              <w:left w:val="nil"/>
              <w:bottom w:val="nil"/>
              <w:right w:val="nil"/>
            </w:tcBorders>
            <w:shd w:val="clear" w:color="000000" w:fill="FFFFFF"/>
            <w:vAlign w:val="bottom"/>
            <w:hideMark/>
          </w:tcPr>
          <w:p w14:paraId="53CF60D2"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Adjustment to the Revenue Resources</w:t>
            </w:r>
          </w:p>
        </w:tc>
        <w:tc>
          <w:tcPr>
            <w:tcW w:w="773" w:type="pct"/>
            <w:tcBorders>
              <w:top w:val="nil"/>
              <w:left w:val="single" w:sz="4" w:space="0" w:color="auto"/>
              <w:bottom w:val="nil"/>
              <w:right w:val="nil"/>
            </w:tcBorders>
            <w:shd w:val="clear" w:color="000000" w:fill="FFFFFF"/>
            <w:vAlign w:val="bottom"/>
            <w:hideMark/>
          </w:tcPr>
          <w:p w14:paraId="55C22AB6"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773" w:type="pct"/>
            <w:tcBorders>
              <w:top w:val="nil"/>
              <w:left w:val="nil"/>
              <w:bottom w:val="nil"/>
              <w:right w:val="nil"/>
            </w:tcBorders>
            <w:shd w:val="clear" w:color="000000" w:fill="FFFFFF"/>
            <w:vAlign w:val="bottom"/>
            <w:hideMark/>
          </w:tcPr>
          <w:p w14:paraId="14ED5A77"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r>
      <w:tr w:rsidR="00083390" w:rsidRPr="00083390" w14:paraId="00E9D812" w14:textId="77777777" w:rsidTr="00BC5C33">
        <w:trPr>
          <w:gridAfter w:val="1"/>
          <w:wAfter w:w="114" w:type="pct"/>
          <w:trHeight w:val="774"/>
        </w:trPr>
        <w:tc>
          <w:tcPr>
            <w:tcW w:w="3340" w:type="pct"/>
            <w:tcBorders>
              <w:top w:val="nil"/>
              <w:left w:val="nil"/>
              <w:bottom w:val="nil"/>
              <w:right w:val="nil"/>
            </w:tcBorders>
            <w:shd w:val="clear" w:color="000000" w:fill="FFFFFF"/>
            <w:vAlign w:val="center"/>
            <w:hideMark/>
          </w:tcPr>
          <w:p w14:paraId="50D1FA2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773" w:type="pct"/>
            <w:tcBorders>
              <w:top w:val="nil"/>
              <w:left w:val="single" w:sz="4" w:space="0" w:color="auto"/>
              <w:bottom w:val="nil"/>
              <w:right w:val="nil"/>
            </w:tcBorders>
            <w:shd w:val="clear" w:color="000000" w:fill="FFFFFF"/>
            <w:vAlign w:val="center"/>
            <w:hideMark/>
          </w:tcPr>
          <w:p w14:paraId="2277393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52D999B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r>
      <w:tr w:rsidR="00083390" w:rsidRPr="00083390" w14:paraId="0D69BE08"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2612E9E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3EA51C9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5F45A221"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r>
      <w:tr w:rsidR="00083390" w:rsidRPr="00083390" w14:paraId="76BCB8F5"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2CABFDE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Pension Cost (transferred to (or from) the pensions reserve)</w:t>
            </w:r>
          </w:p>
        </w:tc>
        <w:tc>
          <w:tcPr>
            <w:tcW w:w="773" w:type="pct"/>
            <w:tcBorders>
              <w:top w:val="nil"/>
              <w:left w:val="single" w:sz="4" w:space="0" w:color="auto"/>
              <w:bottom w:val="nil"/>
              <w:right w:val="nil"/>
            </w:tcBorders>
            <w:shd w:val="clear" w:color="000000" w:fill="FFFFFF"/>
            <w:vAlign w:val="center"/>
            <w:hideMark/>
          </w:tcPr>
          <w:p w14:paraId="5D38DF02"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(52,152)</w:t>
            </w:r>
          </w:p>
        </w:tc>
        <w:tc>
          <w:tcPr>
            <w:tcW w:w="773" w:type="pct"/>
            <w:tcBorders>
              <w:top w:val="nil"/>
              <w:left w:val="nil"/>
              <w:bottom w:val="nil"/>
              <w:right w:val="nil"/>
            </w:tcBorders>
            <w:shd w:val="clear" w:color="000000" w:fill="FFFFFF"/>
            <w:vAlign w:val="center"/>
            <w:hideMark/>
          </w:tcPr>
          <w:p w14:paraId="69D04A3B"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52,152</w:t>
            </w:r>
          </w:p>
        </w:tc>
      </w:tr>
      <w:tr w:rsidR="00083390" w:rsidRPr="00083390" w14:paraId="7F974957" w14:textId="77777777" w:rsidTr="00BC5C33">
        <w:trPr>
          <w:gridAfter w:val="1"/>
          <w:wAfter w:w="114" w:type="pct"/>
          <w:trHeight w:val="257"/>
        </w:trPr>
        <w:tc>
          <w:tcPr>
            <w:tcW w:w="3340" w:type="pct"/>
            <w:tcBorders>
              <w:top w:val="nil"/>
              <w:left w:val="nil"/>
              <w:bottom w:val="nil"/>
              <w:right w:val="nil"/>
            </w:tcBorders>
            <w:shd w:val="clear" w:color="000000" w:fill="FFFFFF"/>
            <w:vAlign w:val="center"/>
            <w:hideMark/>
          </w:tcPr>
          <w:p w14:paraId="4110950D"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3432EBEA"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09141D5"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r>
      <w:tr w:rsidR="00083390" w:rsidRPr="00083390" w14:paraId="1A658BB2" w14:textId="77777777" w:rsidTr="00BC5C33">
        <w:trPr>
          <w:gridAfter w:val="1"/>
          <w:wAfter w:w="114" w:type="pct"/>
          <w:trHeight w:val="515"/>
        </w:trPr>
        <w:tc>
          <w:tcPr>
            <w:tcW w:w="3340" w:type="pct"/>
            <w:vMerge w:val="restart"/>
            <w:tcBorders>
              <w:top w:val="nil"/>
              <w:left w:val="nil"/>
              <w:bottom w:val="nil"/>
              <w:right w:val="single" w:sz="4" w:space="0" w:color="auto"/>
            </w:tcBorders>
            <w:shd w:val="clear" w:color="000000" w:fill="FFFFFF"/>
            <w:vAlign w:val="center"/>
            <w:hideMark/>
          </w:tcPr>
          <w:p w14:paraId="69E57AF3"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Financial Instruments (transferred to the Financial Instruments Adjustments Account)</w:t>
            </w:r>
          </w:p>
        </w:tc>
        <w:tc>
          <w:tcPr>
            <w:tcW w:w="773" w:type="pct"/>
            <w:vMerge w:val="restart"/>
            <w:tcBorders>
              <w:top w:val="nil"/>
              <w:left w:val="single" w:sz="4" w:space="0" w:color="auto"/>
              <w:bottom w:val="nil"/>
              <w:right w:val="nil"/>
            </w:tcBorders>
            <w:shd w:val="clear" w:color="000000" w:fill="FFFFFF"/>
            <w:vAlign w:val="center"/>
            <w:hideMark/>
          </w:tcPr>
          <w:p w14:paraId="23AAAF4B"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vMerge w:val="restart"/>
            <w:tcBorders>
              <w:top w:val="nil"/>
              <w:left w:val="nil"/>
              <w:bottom w:val="nil"/>
              <w:right w:val="nil"/>
            </w:tcBorders>
            <w:shd w:val="clear" w:color="000000" w:fill="FFFFFF"/>
            <w:vAlign w:val="center"/>
            <w:hideMark/>
          </w:tcPr>
          <w:p w14:paraId="6613A31D"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r>
      <w:tr w:rsidR="00083390" w:rsidRPr="00083390" w14:paraId="4CD4B607" w14:textId="77777777" w:rsidTr="00BC5C33">
        <w:trPr>
          <w:trHeight w:val="257"/>
        </w:trPr>
        <w:tc>
          <w:tcPr>
            <w:tcW w:w="3340" w:type="pct"/>
            <w:vMerge/>
            <w:tcBorders>
              <w:top w:val="nil"/>
              <w:left w:val="nil"/>
              <w:bottom w:val="nil"/>
              <w:right w:val="single" w:sz="4" w:space="0" w:color="auto"/>
            </w:tcBorders>
            <w:vAlign w:val="center"/>
            <w:hideMark/>
          </w:tcPr>
          <w:p w14:paraId="44ACDE51" w14:textId="77777777" w:rsidR="00083390" w:rsidRPr="00E17F55" w:rsidRDefault="00083390" w:rsidP="00083390">
            <w:pPr>
              <w:spacing w:line="240" w:lineRule="auto"/>
              <w:jc w:val="left"/>
              <w:rPr>
                <w:rFonts w:eastAsia="Times New Roman" w:cs="Calibri"/>
                <w:color w:val="000000"/>
                <w:szCs w:val="20"/>
                <w:lang w:eastAsia="en-GB"/>
              </w:rPr>
            </w:pPr>
          </w:p>
        </w:tc>
        <w:tc>
          <w:tcPr>
            <w:tcW w:w="773" w:type="pct"/>
            <w:vMerge/>
            <w:tcBorders>
              <w:top w:val="nil"/>
              <w:left w:val="single" w:sz="4" w:space="0" w:color="auto"/>
              <w:bottom w:val="nil"/>
              <w:right w:val="nil"/>
            </w:tcBorders>
            <w:vAlign w:val="center"/>
            <w:hideMark/>
          </w:tcPr>
          <w:p w14:paraId="36D99B2C" w14:textId="77777777" w:rsidR="00083390" w:rsidRPr="00E17F55" w:rsidRDefault="00083390" w:rsidP="00083390">
            <w:pPr>
              <w:spacing w:line="240" w:lineRule="auto"/>
              <w:jc w:val="left"/>
              <w:rPr>
                <w:rFonts w:eastAsia="Times New Roman" w:cs="Calibri"/>
                <w:color w:val="000000"/>
                <w:szCs w:val="20"/>
                <w:lang w:eastAsia="en-GB"/>
              </w:rPr>
            </w:pPr>
          </w:p>
        </w:tc>
        <w:tc>
          <w:tcPr>
            <w:tcW w:w="773" w:type="pct"/>
            <w:vMerge/>
            <w:tcBorders>
              <w:top w:val="nil"/>
              <w:left w:val="nil"/>
              <w:bottom w:val="nil"/>
              <w:right w:val="nil"/>
            </w:tcBorders>
            <w:vAlign w:val="center"/>
            <w:hideMark/>
          </w:tcPr>
          <w:p w14:paraId="5522C757" w14:textId="77777777" w:rsidR="00083390" w:rsidRPr="00E17F55" w:rsidRDefault="00083390" w:rsidP="00083390">
            <w:pPr>
              <w:spacing w:line="240" w:lineRule="auto"/>
              <w:jc w:val="left"/>
              <w:rPr>
                <w:rFonts w:eastAsia="Times New Roman" w:cs="Calibri"/>
                <w:color w:val="000000"/>
                <w:szCs w:val="20"/>
                <w:lang w:eastAsia="en-GB"/>
              </w:rPr>
            </w:pPr>
          </w:p>
        </w:tc>
        <w:tc>
          <w:tcPr>
            <w:tcW w:w="114" w:type="pct"/>
            <w:tcBorders>
              <w:top w:val="nil"/>
              <w:left w:val="nil"/>
              <w:bottom w:val="nil"/>
              <w:right w:val="nil"/>
            </w:tcBorders>
            <w:shd w:val="clear" w:color="auto" w:fill="auto"/>
            <w:noWrap/>
            <w:vAlign w:val="bottom"/>
            <w:hideMark/>
          </w:tcPr>
          <w:p w14:paraId="32464513" w14:textId="77777777" w:rsidR="00083390" w:rsidRPr="00083390" w:rsidRDefault="00083390" w:rsidP="00083390">
            <w:pPr>
              <w:spacing w:line="240" w:lineRule="auto"/>
              <w:jc w:val="right"/>
              <w:rPr>
                <w:rFonts w:eastAsia="Times New Roman" w:cs="Calibri"/>
                <w:color w:val="auto"/>
                <w:szCs w:val="20"/>
                <w:lang w:eastAsia="en-GB"/>
              </w:rPr>
            </w:pPr>
          </w:p>
        </w:tc>
      </w:tr>
      <w:tr w:rsidR="00083390" w:rsidRPr="00083390" w14:paraId="461EE006" w14:textId="77777777" w:rsidTr="00BC5C33">
        <w:trPr>
          <w:trHeight w:val="303"/>
        </w:trPr>
        <w:tc>
          <w:tcPr>
            <w:tcW w:w="3340" w:type="pct"/>
            <w:tcBorders>
              <w:top w:val="nil"/>
              <w:left w:val="nil"/>
              <w:bottom w:val="nil"/>
              <w:right w:val="nil"/>
            </w:tcBorders>
            <w:shd w:val="clear" w:color="000000" w:fill="FFFFFF"/>
            <w:vAlign w:val="center"/>
            <w:hideMark/>
          </w:tcPr>
          <w:p w14:paraId="1758195D" w14:textId="7AB76820"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xml:space="preserve">Council Tax and NDR (transfers to or from the </w:t>
            </w:r>
            <w:r w:rsidR="009E7D01">
              <w:rPr>
                <w:rFonts w:eastAsia="Times New Roman" w:cs="Calibri"/>
                <w:color w:val="000000"/>
                <w:szCs w:val="20"/>
                <w:lang w:eastAsia="en-GB"/>
              </w:rPr>
              <w:t>C</w:t>
            </w:r>
            <w:r w:rsidRPr="00E17F55">
              <w:rPr>
                <w:rFonts w:eastAsia="Times New Roman" w:cs="Calibri"/>
                <w:color w:val="000000"/>
                <w:szCs w:val="20"/>
                <w:lang w:eastAsia="en-GB"/>
              </w:rPr>
              <w:t>ollection Fund)</w:t>
            </w:r>
          </w:p>
        </w:tc>
        <w:tc>
          <w:tcPr>
            <w:tcW w:w="773" w:type="pct"/>
            <w:tcBorders>
              <w:top w:val="nil"/>
              <w:left w:val="single" w:sz="4" w:space="0" w:color="auto"/>
              <w:bottom w:val="nil"/>
              <w:right w:val="nil"/>
            </w:tcBorders>
            <w:shd w:val="clear" w:color="000000" w:fill="FFFFFF"/>
            <w:vAlign w:val="center"/>
            <w:hideMark/>
          </w:tcPr>
          <w:p w14:paraId="29D1D11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714E2934"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5E8F9A4A"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5AD04DA4" w14:textId="77777777" w:rsidTr="00BC5C33">
        <w:trPr>
          <w:trHeight w:val="303"/>
        </w:trPr>
        <w:tc>
          <w:tcPr>
            <w:tcW w:w="3340" w:type="pct"/>
            <w:tcBorders>
              <w:top w:val="nil"/>
              <w:left w:val="nil"/>
              <w:bottom w:val="nil"/>
              <w:right w:val="nil"/>
            </w:tcBorders>
            <w:shd w:val="clear" w:color="000000" w:fill="FFFFFF"/>
            <w:vAlign w:val="center"/>
            <w:hideMark/>
          </w:tcPr>
          <w:p w14:paraId="29852989"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7497411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69A7E9E9"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69C58D72"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4A235F7E" w14:textId="77777777" w:rsidTr="00BC5C33">
        <w:trPr>
          <w:trHeight w:val="303"/>
        </w:trPr>
        <w:tc>
          <w:tcPr>
            <w:tcW w:w="3340" w:type="pct"/>
            <w:tcBorders>
              <w:top w:val="nil"/>
              <w:left w:val="nil"/>
              <w:bottom w:val="nil"/>
              <w:right w:val="nil"/>
            </w:tcBorders>
            <w:shd w:val="clear" w:color="000000" w:fill="FFFFFF"/>
            <w:vAlign w:val="center"/>
            <w:hideMark/>
          </w:tcPr>
          <w:p w14:paraId="043F76C1"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Holiday Pay (transferred to the Accumulated Absences Reserve)</w:t>
            </w:r>
          </w:p>
        </w:tc>
        <w:tc>
          <w:tcPr>
            <w:tcW w:w="773" w:type="pct"/>
            <w:tcBorders>
              <w:top w:val="nil"/>
              <w:left w:val="single" w:sz="4" w:space="0" w:color="auto"/>
              <w:bottom w:val="nil"/>
              <w:right w:val="nil"/>
            </w:tcBorders>
            <w:shd w:val="clear" w:color="000000" w:fill="FFFFFF"/>
            <w:vAlign w:val="center"/>
            <w:hideMark/>
          </w:tcPr>
          <w:p w14:paraId="11BB8C5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(893)</w:t>
            </w:r>
          </w:p>
        </w:tc>
        <w:tc>
          <w:tcPr>
            <w:tcW w:w="773" w:type="pct"/>
            <w:tcBorders>
              <w:top w:val="nil"/>
              <w:left w:val="nil"/>
              <w:bottom w:val="nil"/>
              <w:right w:val="nil"/>
            </w:tcBorders>
            <w:shd w:val="clear" w:color="000000" w:fill="FFFFFF"/>
            <w:vAlign w:val="center"/>
            <w:hideMark/>
          </w:tcPr>
          <w:p w14:paraId="6304220C"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893</w:t>
            </w:r>
          </w:p>
        </w:tc>
        <w:tc>
          <w:tcPr>
            <w:tcW w:w="114" w:type="pct"/>
            <w:vAlign w:val="center"/>
            <w:hideMark/>
          </w:tcPr>
          <w:p w14:paraId="309B1FE5"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78E7FE8F" w14:textId="77777777" w:rsidTr="00BC5C33">
        <w:trPr>
          <w:trHeight w:val="303"/>
        </w:trPr>
        <w:tc>
          <w:tcPr>
            <w:tcW w:w="3340" w:type="pct"/>
            <w:tcBorders>
              <w:top w:val="nil"/>
              <w:left w:val="nil"/>
              <w:bottom w:val="nil"/>
              <w:right w:val="nil"/>
            </w:tcBorders>
            <w:shd w:val="clear" w:color="000000" w:fill="FFFFFF"/>
            <w:vAlign w:val="center"/>
            <w:hideMark/>
          </w:tcPr>
          <w:p w14:paraId="4A1353A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627D9A5D"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0797DA6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67A325A4"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30064B05" w14:textId="77777777" w:rsidTr="00BC5C33">
        <w:trPr>
          <w:trHeight w:val="804"/>
        </w:trPr>
        <w:tc>
          <w:tcPr>
            <w:tcW w:w="3340" w:type="pct"/>
            <w:tcBorders>
              <w:top w:val="nil"/>
              <w:left w:val="nil"/>
              <w:bottom w:val="nil"/>
              <w:right w:val="nil"/>
            </w:tcBorders>
            <w:shd w:val="clear" w:color="000000" w:fill="FFFFFF"/>
            <w:vAlign w:val="center"/>
            <w:hideMark/>
          </w:tcPr>
          <w:p w14:paraId="771DA90F"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Reversal of entries included in the Surplus or Deficit on the Provision of Services in relation to capital expenditure (these items are charged to the Capital Adjustment Account)</w:t>
            </w:r>
          </w:p>
        </w:tc>
        <w:tc>
          <w:tcPr>
            <w:tcW w:w="773" w:type="pct"/>
            <w:tcBorders>
              <w:top w:val="nil"/>
              <w:left w:val="single" w:sz="4" w:space="0" w:color="auto"/>
              <w:bottom w:val="nil"/>
              <w:right w:val="nil"/>
            </w:tcBorders>
            <w:shd w:val="clear" w:color="000000" w:fill="FFFFFF"/>
            <w:vAlign w:val="center"/>
            <w:hideMark/>
          </w:tcPr>
          <w:p w14:paraId="47EBA10E"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358E72A0"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34D0241D"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1B243A1F" w14:textId="77777777" w:rsidTr="00BC5C33">
        <w:trPr>
          <w:trHeight w:val="303"/>
        </w:trPr>
        <w:tc>
          <w:tcPr>
            <w:tcW w:w="3340" w:type="pct"/>
            <w:tcBorders>
              <w:top w:val="single" w:sz="4" w:space="0" w:color="auto"/>
              <w:left w:val="nil"/>
              <w:bottom w:val="nil"/>
              <w:right w:val="nil"/>
            </w:tcBorders>
            <w:shd w:val="clear" w:color="000000" w:fill="FFFFFF"/>
            <w:vAlign w:val="center"/>
            <w:hideMark/>
          </w:tcPr>
          <w:p w14:paraId="7C78DA86" w14:textId="613172CB"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 to Revenue Resources</w:t>
            </w:r>
          </w:p>
        </w:tc>
        <w:tc>
          <w:tcPr>
            <w:tcW w:w="773" w:type="pct"/>
            <w:tcBorders>
              <w:top w:val="single" w:sz="4" w:space="0" w:color="auto"/>
              <w:left w:val="single" w:sz="4" w:space="0" w:color="auto"/>
              <w:bottom w:val="nil"/>
              <w:right w:val="nil"/>
            </w:tcBorders>
            <w:shd w:val="clear" w:color="000000" w:fill="FFFFFF"/>
            <w:vAlign w:val="center"/>
            <w:hideMark/>
          </w:tcPr>
          <w:p w14:paraId="43645378"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773" w:type="pct"/>
            <w:tcBorders>
              <w:top w:val="single" w:sz="4" w:space="0" w:color="auto"/>
              <w:left w:val="nil"/>
              <w:bottom w:val="nil"/>
              <w:right w:val="nil"/>
            </w:tcBorders>
            <w:shd w:val="clear" w:color="000000" w:fill="FFFFFF"/>
            <w:vAlign w:val="center"/>
            <w:hideMark/>
          </w:tcPr>
          <w:p w14:paraId="7AE3081E"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114" w:type="pct"/>
            <w:vAlign w:val="center"/>
            <w:hideMark/>
          </w:tcPr>
          <w:p w14:paraId="72BB6BD2"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4DEFE0B2" w14:textId="77777777" w:rsidTr="00BC5C33">
        <w:trPr>
          <w:trHeight w:val="303"/>
        </w:trPr>
        <w:tc>
          <w:tcPr>
            <w:tcW w:w="3340" w:type="pct"/>
            <w:tcBorders>
              <w:top w:val="nil"/>
              <w:left w:val="nil"/>
              <w:bottom w:val="nil"/>
              <w:right w:val="nil"/>
            </w:tcBorders>
            <w:shd w:val="clear" w:color="000000" w:fill="FFFFFF"/>
            <w:vAlign w:val="center"/>
            <w:hideMark/>
          </w:tcPr>
          <w:p w14:paraId="57D68137"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5B27FF88"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882FB78"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43F5F61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1FA34996" w14:textId="77777777" w:rsidTr="00BC5C33">
        <w:trPr>
          <w:trHeight w:val="303"/>
        </w:trPr>
        <w:tc>
          <w:tcPr>
            <w:tcW w:w="3340" w:type="pct"/>
            <w:tcBorders>
              <w:top w:val="nil"/>
              <w:left w:val="nil"/>
              <w:bottom w:val="nil"/>
              <w:right w:val="nil"/>
            </w:tcBorders>
            <w:shd w:val="clear" w:color="000000" w:fill="FFFFFF"/>
            <w:vAlign w:val="center"/>
            <w:hideMark/>
          </w:tcPr>
          <w:p w14:paraId="068BF9EA"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Adjustments between Revenue and Capital Resources</w:t>
            </w:r>
          </w:p>
        </w:tc>
        <w:tc>
          <w:tcPr>
            <w:tcW w:w="773" w:type="pct"/>
            <w:tcBorders>
              <w:top w:val="nil"/>
              <w:left w:val="single" w:sz="4" w:space="0" w:color="auto"/>
              <w:bottom w:val="nil"/>
              <w:right w:val="nil"/>
            </w:tcBorders>
            <w:shd w:val="clear" w:color="000000" w:fill="FFFFFF"/>
            <w:vAlign w:val="center"/>
            <w:hideMark/>
          </w:tcPr>
          <w:p w14:paraId="42FF330A"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773" w:type="pct"/>
            <w:tcBorders>
              <w:top w:val="nil"/>
              <w:left w:val="nil"/>
              <w:bottom w:val="nil"/>
              <w:right w:val="nil"/>
            </w:tcBorders>
            <w:shd w:val="clear" w:color="000000" w:fill="FFFFFF"/>
            <w:vAlign w:val="center"/>
            <w:hideMark/>
          </w:tcPr>
          <w:p w14:paraId="5355E6D7"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 </w:t>
            </w:r>
          </w:p>
        </w:tc>
        <w:tc>
          <w:tcPr>
            <w:tcW w:w="114" w:type="pct"/>
            <w:vAlign w:val="center"/>
            <w:hideMark/>
          </w:tcPr>
          <w:p w14:paraId="2185A8A3"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39F558CC" w14:textId="77777777" w:rsidTr="00BC5C33">
        <w:trPr>
          <w:trHeight w:val="515"/>
        </w:trPr>
        <w:tc>
          <w:tcPr>
            <w:tcW w:w="3340" w:type="pct"/>
            <w:tcBorders>
              <w:top w:val="nil"/>
              <w:left w:val="nil"/>
              <w:bottom w:val="nil"/>
              <w:right w:val="nil"/>
            </w:tcBorders>
            <w:shd w:val="clear" w:color="000000" w:fill="FFFFFF"/>
            <w:vAlign w:val="center"/>
            <w:hideMark/>
          </w:tcPr>
          <w:p w14:paraId="564AC733"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Statutory Provision for the repayment of debt (transfer to the Capital Adjustment Account)</w:t>
            </w:r>
          </w:p>
        </w:tc>
        <w:tc>
          <w:tcPr>
            <w:tcW w:w="773" w:type="pct"/>
            <w:tcBorders>
              <w:top w:val="nil"/>
              <w:left w:val="single" w:sz="4" w:space="0" w:color="auto"/>
              <w:bottom w:val="nil"/>
              <w:right w:val="nil"/>
            </w:tcBorders>
            <w:shd w:val="clear" w:color="000000" w:fill="FFFFFF"/>
            <w:vAlign w:val="center"/>
            <w:hideMark/>
          </w:tcPr>
          <w:p w14:paraId="0DC8C2D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69E7D812"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7E591130"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25F57780" w14:textId="77777777" w:rsidTr="00BC5C33">
        <w:trPr>
          <w:trHeight w:val="546"/>
        </w:trPr>
        <w:tc>
          <w:tcPr>
            <w:tcW w:w="3340" w:type="pct"/>
            <w:tcBorders>
              <w:top w:val="nil"/>
              <w:left w:val="nil"/>
              <w:bottom w:val="nil"/>
              <w:right w:val="nil"/>
            </w:tcBorders>
            <w:shd w:val="clear" w:color="000000" w:fill="FFFFFF"/>
            <w:vAlign w:val="center"/>
            <w:hideMark/>
          </w:tcPr>
          <w:p w14:paraId="145C556A"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Capital Expenditure financed from revenue balances (transfer to the Capital Adjustment Account)</w:t>
            </w:r>
          </w:p>
        </w:tc>
        <w:tc>
          <w:tcPr>
            <w:tcW w:w="773" w:type="pct"/>
            <w:tcBorders>
              <w:top w:val="nil"/>
              <w:left w:val="single" w:sz="4" w:space="0" w:color="auto"/>
              <w:bottom w:val="nil"/>
              <w:right w:val="nil"/>
            </w:tcBorders>
            <w:shd w:val="clear" w:color="000000" w:fill="FFFFFF"/>
            <w:vAlign w:val="center"/>
            <w:hideMark/>
          </w:tcPr>
          <w:p w14:paraId="35458C0A"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481A2EE1"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2F854003"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2AB3761A" w14:textId="77777777" w:rsidTr="00BC5C33">
        <w:trPr>
          <w:trHeight w:val="303"/>
        </w:trPr>
        <w:tc>
          <w:tcPr>
            <w:tcW w:w="3340" w:type="pct"/>
            <w:tcBorders>
              <w:top w:val="single" w:sz="4" w:space="0" w:color="auto"/>
              <w:left w:val="nil"/>
              <w:bottom w:val="nil"/>
              <w:right w:val="nil"/>
            </w:tcBorders>
            <w:shd w:val="clear" w:color="000000" w:fill="FFFFFF"/>
            <w:vAlign w:val="center"/>
            <w:hideMark/>
          </w:tcPr>
          <w:p w14:paraId="54F63D1E"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 between Revenue and Capital Resources</w:t>
            </w:r>
          </w:p>
        </w:tc>
        <w:tc>
          <w:tcPr>
            <w:tcW w:w="773" w:type="pct"/>
            <w:tcBorders>
              <w:top w:val="single" w:sz="4" w:space="0" w:color="auto"/>
              <w:left w:val="single" w:sz="4" w:space="0" w:color="auto"/>
              <w:bottom w:val="nil"/>
              <w:right w:val="nil"/>
            </w:tcBorders>
            <w:shd w:val="clear" w:color="000000" w:fill="FFFFFF"/>
            <w:vAlign w:val="center"/>
            <w:hideMark/>
          </w:tcPr>
          <w:p w14:paraId="05939D04"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w:t>
            </w:r>
          </w:p>
        </w:tc>
        <w:tc>
          <w:tcPr>
            <w:tcW w:w="773" w:type="pct"/>
            <w:tcBorders>
              <w:top w:val="single" w:sz="4" w:space="0" w:color="auto"/>
              <w:left w:val="nil"/>
              <w:bottom w:val="nil"/>
              <w:right w:val="nil"/>
            </w:tcBorders>
            <w:shd w:val="clear" w:color="000000" w:fill="FFFFFF"/>
            <w:vAlign w:val="center"/>
            <w:hideMark/>
          </w:tcPr>
          <w:p w14:paraId="0AFB5243"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w:t>
            </w:r>
          </w:p>
        </w:tc>
        <w:tc>
          <w:tcPr>
            <w:tcW w:w="114" w:type="pct"/>
            <w:vAlign w:val="center"/>
            <w:hideMark/>
          </w:tcPr>
          <w:p w14:paraId="668F8378"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r w:rsidR="00083390" w:rsidRPr="00083390" w14:paraId="07157292" w14:textId="77777777" w:rsidTr="00BC5C33">
        <w:trPr>
          <w:trHeight w:val="303"/>
        </w:trPr>
        <w:tc>
          <w:tcPr>
            <w:tcW w:w="3340" w:type="pct"/>
            <w:tcBorders>
              <w:top w:val="nil"/>
              <w:left w:val="nil"/>
              <w:bottom w:val="nil"/>
              <w:right w:val="nil"/>
            </w:tcBorders>
            <w:shd w:val="clear" w:color="000000" w:fill="FFFFFF"/>
            <w:vAlign w:val="center"/>
            <w:hideMark/>
          </w:tcPr>
          <w:p w14:paraId="41C67F50"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770EFEE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15567BE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31DD04F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2704BB50" w14:textId="77777777" w:rsidTr="00BC5C33">
        <w:trPr>
          <w:trHeight w:val="303"/>
        </w:trPr>
        <w:tc>
          <w:tcPr>
            <w:tcW w:w="3340" w:type="pct"/>
            <w:tcBorders>
              <w:top w:val="nil"/>
              <w:left w:val="nil"/>
              <w:bottom w:val="nil"/>
              <w:right w:val="nil"/>
            </w:tcBorders>
            <w:shd w:val="clear" w:color="000000" w:fill="FFFFFF"/>
            <w:vAlign w:val="center"/>
            <w:hideMark/>
          </w:tcPr>
          <w:p w14:paraId="5CD90CE6"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Other Adjustments</w:t>
            </w:r>
          </w:p>
        </w:tc>
        <w:tc>
          <w:tcPr>
            <w:tcW w:w="773" w:type="pct"/>
            <w:tcBorders>
              <w:top w:val="nil"/>
              <w:left w:val="single" w:sz="4" w:space="0" w:color="auto"/>
              <w:bottom w:val="nil"/>
              <w:right w:val="nil"/>
            </w:tcBorders>
            <w:shd w:val="clear" w:color="000000" w:fill="FFFFFF"/>
            <w:vAlign w:val="center"/>
            <w:hideMark/>
          </w:tcPr>
          <w:p w14:paraId="0DD0C6CC"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773" w:type="pct"/>
            <w:tcBorders>
              <w:top w:val="nil"/>
              <w:left w:val="nil"/>
              <w:bottom w:val="nil"/>
              <w:right w:val="nil"/>
            </w:tcBorders>
            <w:shd w:val="clear" w:color="000000" w:fill="FFFFFF"/>
            <w:vAlign w:val="center"/>
            <w:hideMark/>
          </w:tcPr>
          <w:p w14:paraId="1D674186" w14:textId="77777777" w:rsidR="00083390" w:rsidRPr="00E17F55" w:rsidRDefault="00083390" w:rsidP="00083390">
            <w:pPr>
              <w:spacing w:line="240" w:lineRule="auto"/>
              <w:jc w:val="right"/>
              <w:rPr>
                <w:rFonts w:eastAsia="Times New Roman" w:cs="Calibri"/>
                <w:color w:val="000000"/>
                <w:szCs w:val="20"/>
                <w:lang w:eastAsia="en-GB"/>
              </w:rPr>
            </w:pPr>
            <w:r w:rsidRPr="00E17F55">
              <w:rPr>
                <w:rFonts w:eastAsia="Times New Roman" w:cs="Calibri"/>
                <w:color w:val="000000"/>
                <w:szCs w:val="20"/>
                <w:lang w:eastAsia="en-GB"/>
              </w:rPr>
              <w:t>-</w:t>
            </w:r>
          </w:p>
        </w:tc>
        <w:tc>
          <w:tcPr>
            <w:tcW w:w="114" w:type="pct"/>
            <w:vAlign w:val="center"/>
            <w:hideMark/>
          </w:tcPr>
          <w:p w14:paraId="1D497B1D"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083390" w14:paraId="64FCC04C" w14:textId="77777777" w:rsidTr="00BC5C33">
        <w:trPr>
          <w:trHeight w:val="303"/>
        </w:trPr>
        <w:tc>
          <w:tcPr>
            <w:tcW w:w="3340" w:type="pct"/>
            <w:tcBorders>
              <w:top w:val="nil"/>
              <w:left w:val="nil"/>
              <w:bottom w:val="nil"/>
              <w:right w:val="nil"/>
            </w:tcBorders>
            <w:shd w:val="clear" w:color="000000" w:fill="FFFFFF"/>
            <w:vAlign w:val="center"/>
            <w:hideMark/>
          </w:tcPr>
          <w:p w14:paraId="7B92B33E"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single" w:sz="4" w:space="0" w:color="auto"/>
              <w:bottom w:val="nil"/>
              <w:right w:val="nil"/>
            </w:tcBorders>
            <w:shd w:val="clear" w:color="000000" w:fill="FFFFFF"/>
            <w:vAlign w:val="center"/>
            <w:hideMark/>
          </w:tcPr>
          <w:p w14:paraId="45F340CB"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773" w:type="pct"/>
            <w:tcBorders>
              <w:top w:val="nil"/>
              <w:left w:val="nil"/>
              <w:bottom w:val="nil"/>
              <w:right w:val="nil"/>
            </w:tcBorders>
            <w:shd w:val="clear" w:color="000000" w:fill="FFFFFF"/>
            <w:vAlign w:val="center"/>
            <w:hideMark/>
          </w:tcPr>
          <w:p w14:paraId="20097B8C" w14:textId="77777777" w:rsidR="00083390" w:rsidRPr="00E17F55" w:rsidRDefault="00083390" w:rsidP="00083390">
            <w:pPr>
              <w:spacing w:line="240" w:lineRule="auto"/>
              <w:jc w:val="left"/>
              <w:rPr>
                <w:rFonts w:eastAsia="Times New Roman" w:cs="Calibri"/>
                <w:color w:val="000000"/>
                <w:szCs w:val="20"/>
                <w:lang w:eastAsia="en-GB"/>
              </w:rPr>
            </w:pPr>
            <w:r w:rsidRPr="00E17F55">
              <w:rPr>
                <w:rFonts w:eastAsia="Times New Roman" w:cs="Calibri"/>
                <w:color w:val="000000"/>
                <w:szCs w:val="20"/>
                <w:lang w:eastAsia="en-GB"/>
              </w:rPr>
              <w:t> </w:t>
            </w:r>
          </w:p>
        </w:tc>
        <w:tc>
          <w:tcPr>
            <w:tcW w:w="114" w:type="pct"/>
            <w:vAlign w:val="center"/>
            <w:hideMark/>
          </w:tcPr>
          <w:p w14:paraId="26D56E7F" w14:textId="77777777" w:rsidR="00083390" w:rsidRPr="00083390" w:rsidRDefault="00083390" w:rsidP="00083390">
            <w:pPr>
              <w:spacing w:line="240" w:lineRule="auto"/>
              <w:jc w:val="left"/>
              <w:rPr>
                <w:rFonts w:ascii="Times New Roman" w:eastAsia="Times New Roman" w:hAnsi="Times New Roman" w:cs="Times New Roman"/>
                <w:color w:val="auto"/>
                <w:szCs w:val="20"/>
                <w:lang w:eastAsia="en-GB"/>
              </w:rPr>
            </w:pPr>
          </w:p>
        </w:tc>
      </w:tr>
      <w:tr w:rsidR="00083390" w:rsidRPr="009E7D01" w14:paraId="71BCE903" w14:textId="77777777" w:rsidTr="00BC5C33">
        <w:trPr>
          <w:trHeight w:val="303"/>
        </w:trPr>
        <w:tc>
          <w:tcPr>
            <w:tcW w:w="3340" w:type="pct"/>
            <w:tcBorders>
              <w:top w:val="single" w:sz="4" w:space="0" w:color="auto"/>
              <w:left w:val="nil"/>
              <w:bottom w:val="single" w:sz="4" w:space="0" w:color="auto"/>
              <w:right w:val="nil"/>
            </w:tcBorders>
            <w:shd w:val="clear" w:color="000000" w:fill="FFFFFF"/>
            <w:vAlign w:val="center"/>
            <w:hideMark/>
          </w:tcPr>
          <w:p w14:paraId="4F6A0C5C" w14:textId="77777777" w:rsidR="00083390" w:rsidRPr="009E7D01" w:rsidRDefault="00083390" w:rsidP="00083390">
            <w:pPr>
              <w:spacing w:line="240" w:lineRule="auto"/>
              <w:jc w:val="left"/>
              <w:rPr>
                <w:rFonts w:eastAsia="Times New Roman" w:cs="Calibri"/>
                <w:b/>
                <w:bCs/>
                <w:color w:val="000000"/>
                <w:szCs w:val="20"/>
                <w:lang w:eastAsia="en-GB"/>
              </w:rPr>
            </w:pPr>
            <w:r w:rsidRPr="009E7D01">
              <w:rPr>
                <w:rFonts w:eastAsia="Times New Roman" w:cs="Calibri"/>
                <w:b/>
                <w:bCs/>
                <w:color w:val="000000"/>
                <w:szCs w:val="20"/>
                <w:lang w:eastAsia="en-GB"/>
              </w:rPr>
              <w:t>Total Adjustments</w:t>
            </w:r>
          </w:p>
        </w:tc>
        <w:tc>
          <w:tcPr>
            <w:tcW w:w="773" w:type="pct"/>
            <w:tcBorders>
              <w:top w:val="single" w:sz="4" w:space="0" w:color="auto"/>
              <w:left w:val="single" w:sz="4" w:space="0" w:color="auto"/>
              <w:bottom w:val="single" w:sz="4" w:space="0" w:color="auto"/>
              <w:right w:val="nil"/>
            </w:tcBorders>
            <w:shd w:val="clear" w:color="000000" w:fill="FFFFFF"/>
            <w:vAlign w:val="center"/>
            <w:hideMark/>
          </w:tcPr>
          <w:p w14:paraId="3268FCB7"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773" w:type="pct"/>
            <w:tcBorders>
              <w:top w:val="single" w:sz="4" w:space="0" w:color="auto"/>
              <w:left w:val="nil"/>
              <w:bottom w:val="single" w:sz="4" w:space="0" w:color="auto"/>
              <w:right w:val="nil"/>
            </w:tcBorders>
            <w:shd w:val="clear" w:color="000000" w:fill="FFFFFF"/>
            <w:vAlign w:val="center"/>
            <w:hideMark/>
          </w:tcPr>
          <w:p w14:paraId="00B3C36A" w14:textId="77777777" w:rsidR="00083390" w:rsidRPr="009E7D01" w:rsidRDefault="00083390" w:rsidP="00083390">
            <w:pPr>
              <w:spacing w:line="240" w:lineRule="auto"/>
              <w:jc w:val="right"/>
              <w:rPr>
                <w:rFonts w:eastAsia="Times New Roman" w:cs="Calibri"/>
                <w:b/>
                <w:bCs/>
                <w:color w:val="000000"/>
                <w:szCs w:val="20"/>
                <w:lang w:eastAsia="en-GB"/>
              </w:rPr>
            </w:pPr>
            <w:r w:rsidRPr="009E7D01">
              <w:rPr>
                <w:rFonts w:eastAsia="Times New Roman" w:cs="Calibri"/>
                <w:b/>
                <w:bCs/>
                <w:color w:val="000000"/>
                <w:szCs w:val="20"/>
                <w:lang w:eastAsia="en-GB"/>
              </w:rPr>
              <w:t>53,045</w:t>
            </w:r>
          </w:p>
        </w:tc>
        <w:tc>
          <w:tcPr>
            <w:tcW w:w="114" w:type="pct"/>
            <w:vAlign w:val="center"/>
            <w:hideMark/>
          </w:tcPr>
          <w:p w14:paraId="0B5C5F33" w14:textId="77777777" w:rsidR="00083390" w:rsidRPr="009E7D01" w:rsidRDefault="00083390" w:rsidP="00083390">
            <w:pPr>
              <w:spacing w:line="240" w:lineRule="auto"/>
              <w:jc w:val="left"/>
              <w:rPr>
                <w:rFonts w:ascii="Times New Roman" w:eastAsia="Times New Roman" w:hAnsi="Times New Roman" w:cs="Times New Roman"/>
                <w:b/>
                <w:bCs/>
                <w:color w:val="auto"/>
                <w:szCs w:val="20"/>
                <w:lang w:eastAsia="en-GB"/>
              </w:rPr>
            </w:pPr>
          </w:p>
        </w:tc>
      </w:tr>
    </w:tbl>
    <w:p w14:paraId="22C21F32" w14:textId="64001B6F" w:rsidR="00310E16" w:rsidRPr="00105FDE" w:rsidRDefault="00310E16" w:rsidP="009063E8">
      <w:pPr>
        <w:rPr>
          <w:rFonts w:ascii="Verdana" w:hAnsi="Verdana"/>
          <w:lang w:val="pt-BR"/>
        </w:rPr>
      </w:pPr>
    </w:p>
    <w:p w14:paraId="2AA8BE5A" w14:textId="77777777" w:rsidR="00E6150A" w:rsidRDefault="00E6150A" w:rsidP="009063E8">
      <w:pPr>
        <w:rPr>
          <w:lang w:val="pt-BR"/>
        </w:rPr>
      </w:pPr>
    </w:p>
    <w:p w14:paraId="2CEE12B2" w14:textId="7E61C429" w:rsidR="002522D4" w:rsidRPr="00912B24" w:rsidRDefault="002522D4" w:rsidP="00EB49F7">
      <w:pPr>
        <w:pStyle w:val="NoteHeader"/>
      </w:pPr>
      <w:bookmarkStart w:id="113" w:name="_Toc517077283"/>
      <w:bookmarkStart w:id="114" w:name="_Toc9272508"/>
      <w:bookmarkStart w:id="115" w:name="_Toc9592055"/>
      <w:bookmarkStart w:id="116" w:name="_Toc191457323"/>
      <w:r w:rsidRPr="00912B24">
        <w:t>Note 7 - Other Operating Expenditure</w:t>
      </w:r>
      <w:bookmarkEnd w:id="113"/>
      <w:bookmarkEnd w:id="114"/>
      <w:bookmarkEnd w:id="115"/>
      <w:bookmarkEnd w:id="116"/>
    </w:p>
    <w:p w14:paraId="444FFBF9" w14:textId="77777777" w:rsidR="002522D4" w:rsidRPr="00912B24" w:rsidRDefault="002522D4" w:rsidP="009063E8"/>
    <w:p w14:paraId="2AA1CF5A" w14:textId="7D12A2B0" w:rsidR="003C1837" w:rsidRPr="00FD27BE" w:rsidRDefault="002522D4" w:rsidP="002522D4">
      <w:r w:rsidRPr="00912B24">
        <w:t>Other Operating Expenditure</w:t>
      </w:r>
      <w:r w:rsidR="00912B24" w:rsidRPr="00912B24">
        <w:t xml:space="preserve"> includes:</w:t>
      </w:r>
    </w:p>
    <w:tbl>
      <w:tblPr>
        <w:tblW w:w="5000" w:type="pct"/>
        <w:tblLook w:val="04A0" w:firstRow="1" w:lastRow="0" w:firstColumn="1" w:lastColumn="0" w:noHBand="0" w:noVBand="1"/>
      </w:tblPr>
      <w:tblGrid>
        <w:gridCol w:w="1582"/>
        <w:gridCol w:w="6474"/>
        <w:gridCol w:w="1583"/>
      </w:tblGrid>
      <w:tr w:rsidR="00083390" w:rsidRPr="00083390" w14:paraId="28CFCDE3" w14:textId="77777777" w:rsidTr="00BC5C33">
        <w:trPr>
          <w:trHeight w:val="255"/>
        </w:trPr>
        <w:tc>
          <w:tcPr>
            <w:tcW w:w="821" w:type="pct"/>
            <w:tcBorders>
              <w:top w:val="nil"/>
              <w:left w:val="nil"/>
              <w:bottom w:val="nil"/>
              <w:right w:val="nil"/>
            </w:tcBorders>
            <w:shd w:val="clear" w:color="000000" w:fill="000099"/>
            <w:vAlign w:val="center"/>
            <w:hideMark/>
          </w:tcPr>
          <w:p w14:paraId="262A037A"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3358" w:type="pct"/>
            <w:tcBorders>
              <w:top w:val="nil"/>
              <w:left w:val="nil"/>
              <w:bottom w:val="nil"/>
              <w:right w:val="nil"/>
            </w:tcBorders>
            <w:shd w:val="clear" w:color="000000" w:fill="000099"/>
            <w:vAlign w:val="center"/>
            <w:hideMark/>
          </w:tcPr>
          <w:p w14:paraId="34D4282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21" w:type="pct"/>
            <w:tcBorders>
              <w:top w:val="nil"/>
              <w:left w:val="nil"/>
              <w:bottom w:val="nil"/>
              <w:right w:val="nil"/>
            </w:tcBorders>
            <w:shd w:val="clear" w:color="000000" w:fill="000099"/>
            <w:vAlign w:val="center"/>
            <w:hideMark/>
          </w:tcPr>
          <w:p w14:paraId="4A1528EC"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7DE48A2F" w14:textId="77777777" w:rsidTr="00BC5C33">
        <w:trPr>
          <w:trHeight w:val="255"/>
        </w:trPr>
        <w:tc>
          <w:tcPr>
            <w:tcW w:w="821" w:type="pct"/>
            <w:tcBorders>
              <w:top w:val="nil"/>
              <w:left w:val="nil"/>
              <w:bottom w:val="nil"/>
              <w:right w:val="nil"/>
            </w:tcBorders>
            <w:shd w:val="clear" w:color="000000" w:fill="000099"/>
            <w:vAlign w:val="center"/>
            <w:hideMark/>
          </w:tcPr>
          <w:p w14:paraId="471A435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3358" w:type="pct"/>
            <w:tcBorders>
              <w:top w:val="nil"/>
              <w:left w:val="nil"/>
              <w:bottom w:val="nil"/>
              <w:right w:val="nil"/>
            </w:tcBorders>
            <w:shd w:val="clear" w:color="000000" w:fill="000099"/>
            <w:vAlign w:val="center"/>
            <w:hideMark/>
          </w:tcPr>
          <w:p w14:paraId="55977F6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21" w:type="pct"/>
            <w:tcBorders>
              <w:top w:val="nil"/>
              <w:left w:val="nil"/>
              <w:bottom w:val="nil"/>
              <w:right w:val="nil"/>
            </w:tcBorders>
            <w:shd w:val="clear" w:color="000000" w:fill="000099"/>
            <w:vAlign w:val="center"/>
            <w:hideMark/>
          </w:tcPr>
          <w:p w14:paraId="2FFFA83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65072526" w14:textId="77777777" w:rsidTr="00BC5C33">
        <w:trPr>
          <w:trHeight w:val="255"/>
        </w:trPr>
        <w:tc>
          <w:tcPr>
            <w:tcW w:w="821" w:type="pct"/>
            <w:tcBorders>
              <w:top w:val="nil"/>
              <w:left w:val="nil"/>
              <w:bottom w:val="nil"/>
              <w:right w:val="nil"/>
            </w:tcBorders>
            <w:shd w:val="clear" w:color="000000" w:fill="FFFFFF"/>
            <w:vAlign w:val="bottom"/>
            <w:hideMark/>
          </w:tcPr>
          <w:p w14:paraId="43962F3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1,821</w:t>
            </w:r>
          </w:p>
        </w:tc>
        <w:tc>
          <w:tcPr>
            <w:tcW w:w="3358" w:type="pct"/>
            <w:tcBorders>
              <w:top w:val="nil"/>
              <w:left w:val="nil"/>
              <w:bottom w:val="nil"/>
              <w:right w:val="nil"/>
            </w:tcBorders>
            <w:shd w:val="clear" w:color="000000" w:fill="FFFFFF"/>
            <w:vAlign w:val="bottom"/>
            <w:hideMark/>
          </w:tcPr>
          <w:p w14:paraId="739E8B2D"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Levies</w:t>
            </w:r>
          </w:p>
        </w:tc>
        <w:tc>
          <w:tcPr>
            <w:tcW w:w="821" w:type="pct"/>
            <w:tcBorders>
              <w:top w:val="nil"/>
              <w:left w:val="nil"/>
              <w:bottom w:val="nil"/>
              <w:right w:val="nil"/>
            </w:tcBorders>
            <w:shd w:val="clear" w:color="000000" w:fill="CCECFF"/>
            <w:vAlign w:val="bottom"/>
            <w:hideMark/>
          </w:tcPr>
          <w:p w14:paraId="244E25A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5A671D62" w14:textId="77777777" w:rsidTr="00BC5C33">
        <w:trPr>
          <w:trHeight w:val="255"/>
        </w:trPr>
        <w:tc>
          <w:tcPr>
            <w:tcW w:w="821" w:type="pct"/>
            <w:tcBorders>
              <w:top w:val="nil"/>
              <w:left w:val="nil"/>
              <w:bottom w:val="nil"/>
              <w:right w:val="nil"/>
            </w:tcBorders>
            <w:shd w:val="clear" w:color="000000" w:fill="FFFFFF"/>
            <w:vAlign w:val="bottom"/>
            <w:hideMark/>
          </w:tcPr>
          <w:p w14:paraId="5E29067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3358" w:type="pct"/>
            <w:tcBorders>
              <w:top w:val="nil"/>
              <w:left w:val="nil"/>
              <w:bottom w:val="nil"/>
              <w:right w:val="nil"/>
            </w:tcBorders>
            <w:shd w:val="clear" w:color="000000" w:fill="FFFFFF"/>
            <w:noWrap/>
            <w:vAlign w:val="center"/>
            <w:hideMark/>
          </w:tcPr>
          <w:p w14:paraId="66E9A6AB"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Gains/losses on the Disposal of Non-Current Assets</w:t>
            </w:r>
          </w:p>
        </w:tc>
        <w:tc>
          <w:tcPr>
            <w:tcW w:w="821" w:type="pct"/>
            <w:tcBorders>
              <w:top w:val="nil"/>
              <w:left w:val="nil"/>
              <w:bottom w:val="nil"/>
              <w:right w:val="nil"/>
            </w:tcBorders>
            <w:shd w:val="clear" w:color="000000" w:fill="CCECFF"/>
            <w:vAlign w:val="bottom"/>
            <w:hideMark/>
          </w:tcPr>
          <w:p w14:paraId="2CABEB1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61C94EDE" w14:textId="77777777" w:rsidTr="00BC5C33">
        <w:trPr>
          <w:trHeight w:val="255"/>
        </w:trPr>
        <w:tc>
          <w:tcPr>
            <w:tcW w:w="821" w:type="pct"/>
            <w:tcBorders>
              <w:top w:val="nil"/>
              <w:left w:val="nil"/>
              <w:bottom w:val="nil"/>
              <w:right w:val="nil"/>
            </w:tcBorders>
            <w:shd w:val="clear" w:color="000000" w:fill="FFFFFF"/>
            <w:vAlign w:val="bottom"/>
            <w:hideMark/>
          </w:tcPr>
          <w:p w14:paraId="40DF29BE" w14:textId="379C312E"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(13</w:t>
            </w:r>
            <w:r w:rsidR="006F5DC3">
              <w:rPr>
                <w:rFonts w:eastAsia="Times New Roman" w:cs="Calibri"/>
                <w:color w:val="000000"/>
                <w:szCs w:val="20"/>
                <w:lang w:eastAsia="en-GB"/>
              </w:rPr>
              <w:t>7</w:t>
            </w:r>
            <w:r w:rsidRPr="00083390">
              <w:rPr>
                <w:rFonts w:eastAsia="Times New Roman" w:cs="Calibri"/>
                <w:color w:val="000000"/>
                <w:szCs w:val="20"/>
                <w:lang w:eastAsia="en-GB"/>
              </w:rPr>
              <w:t>)</w:t>
            </w:r>
          </w:p>
        </w:tc>
        <w:tc>
          <w:tcPr>
            <w:tcW w:w="3358" w:type="pct"/>
            <w:tcBorders>
              <w:top w:val="nil"/>
              <w:left w:val="nil"/>
              <w:bottom w:val="nil"/>
              <w:right w:val="nil"/>
            </w:tcBorders>
            <w:shd w:val="clear" w:color="000000" w:fill="FFFFFF"/>
            <w:noWrap/>
            <w:vAlign w:val="center"/>
            <w:hideMark/>
          </w:tcPr>
          <w:p w14:paraId="4C514280"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Other</w:t>
            </w:r>
          </w:p>
        </w:tc>
        <w:tc>
          <w:tcPr>
            <w:tcW w:w="821" w:type="pct"/>
            <w:tcBorders>
              <w:top w:val="nil"/>
              <w:left w:val="nil"/>
              <w:bottom w:val="nil"/>
              <w:right w:val="nil"/>
            </w:tcBorders>
            <w:shd w:val="clear" w:color="000000" w:fill="CCECFF"/>
            <w:vAlign w:val="bottom"/>
            <w:hideMark/>
          </w:tcPr>
          <w:p w14:paraId="6471189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0478B9D8" w14:textId="77777777" w:rsidTr="00BC5C33">
        <w:trPr>
          <w:trHeight w:val="255"/>
        </w:trPr>
        <w:tc>
          <w:tcPr>
            <w:tcW w:w="821" w:type="pct"/>
            <w:tcBorders>
              <w:top w:val="single" w:sz="4" w:space="0" w:color="auto"/>
              <w:left w:val="nil"/>
              <w:bottom w:val="single" w:sz="4" w:space="0" w:color="auto"/>
              <w:right w:val="nil"/>
            </w:tcBorders>
            <w:shd w:val="clear" w:color="000000" w:fill="FFFFFF"/>
            <w:vAlign w:val="bottom"/>
            <w:hideMark/>
          </w:tcPr>
          <w:p w14:paraId="02E377B7" w14:textId="71BFF87D"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1,68</w:t>
            </w:r>
            <w:r w:rsidR="007E5183">
              <w:rPr>
                <w:rFonts w:eastAsia="Times New Roman" w:cs="Calibri"/>
                <w:b/>
                <w:bCs/>
                <w:color w:val="auto"/>
                <w:szCs w:val="20"/>
                <w:lang w:eastAsia="en-GB"/>
              </w:rPr>
              <w:t>5</w:t>
            </w:r>
          </w:p>
        </w:tc>
        <w:tc>
          <w:tcPr>
            <w:tcW w:w="3358" w:type="pct"/>
            <w:tcBorders>
              <w:top w:val="single" w:sz="4" w:space="0" w:color="auto"/>
              <w:left w:val="nil"/>
              <w:bottom w:val="single" w:sz="4" w:space="0" w:color="auto"/>
              <w:right w:val="nil"/>
            </w:tcBorders>
            <w:shd w:val="clear" w:color="000000" w:fill="FFFFFF"/>
            <w:noWrap/>
            <w:vAlign w:val="center"/>
            <w:hideMark/>
          </w:tcPr>
          <w:p w14:paraId="6B744B85"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Total </w:t>
            </w:r>
          </w:p>
        </w:tc>
        <w:tc>
          <w:tcPr>
            <w:tcW w:w="821" w:type="pct"/>
            <w:tcBorders>
              <w:top w:val="single" w:sz="4" w:space="0" w:color="auto"/>
              <w:left w:val="nil"/>
              <w:bottom w:val="single" w:sz="4" w:space="0" w:color="auto"/>
              <w:right w:val="nil"/>
            </w:tcBorders>
            <w:shd w:val="clear" w:color="000000" w:fill="CCECFF"/>
            <w:vAlign w:val="bottom"/>
            <w:hideMark/>
          </w:tcPr>
          <w:p w14:paraId="6782155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w:t>
            </w:r>
          </w:p>
        </w:tc>
      </w:tr>
    </w:tbl>
    <w:p w14:paraId="6AF3B338" w14:textId="7E5342DC" w:rsidR="003C1837" w:rsidRDefault="003C1837" w:rsidP="002522D4"/>
    <w:p w14:paraId="7803E030" w14:textId="77777777" w:rsidR="00FD27BE" w:rsidRDefault="00FD27BE" w:rsidP="002522D4"/>
    <w:p w14:paraId="37450F6F" w14:textId="77777777" w:rsidR="00327904" w:rsidRDefault="00327904" w:rsidP="002522D4"/>
    <w:p w14:paraId="4D9A78AB" w14:textId="77777777" w:rsidR="008441E1" w:rsidRDefault="008441E1" w:rsidP="002522D4"/>
    <w:p w14:paraId="07DCCA87" w14:textId="1BDB55ED" w:rsidR="002522D4" w:rsidRDefault="002522D4" w:rsidP="00EB49F7">
      <w:pPr>
        <w:pStyle w:val="NoteHeader"/>
      </w:pPr>
      <w:bookmarkStart w:id="117" w:name="_Toc517077284"/>
      <w:bookmarkStart w:id="118" w:name="_Toc9272509"/>
      <w:bookmarkStart w:id="119" w:name="_Toc9592056"/>
      <w:bookmarkStart w:id="120" w:name="_Toc191457324"/>
      <w:r w:rsidRPr="00912B24">
        <w:lastRenderedPageBreak/>
        <w:t>Note 8 - Financing and Investment Income and Expenditure</w:t>
      </w:r>
      <w:bookmarkEnd w:id="117"/>
      <w:bookmarkEnd w:id="118"/>
      <w:bookmarkEnd w:id="119"/>
      <w:bookmarkEnd w:id="120"/>
    </w:p>
    <w:p w14:paraId="282919C4" w14:textId="77777777" w:rsidR="009E7D01" w:rsidRPr="00912B24" w:rsidRDefault="009E7D01" w:rsidP="009E7D01">
      <w:pPr>
        <w:pStyle w:val="Normal0"/>
      </w:pPr>
    </w:p>
    <w:tbl>
      <w:tblPr>
        <w:tblW w:w="5000" w:type="pct"/>
        <w:tblLook w:val="04A0" w:firstRow="1" w:lastRow="0" w:firstColumn="1" w:lastColumn="0" w:noHBand="0" w:noVBand="1"/>
      </w:tblPr>
      <w:tblGrid>
        <w:gridCol w:w="1593"/>
        <w:gridCol w:w="6454"/>
        <w:gridCol w:w="1592"/>
      </w:tblGrid>
      <w:tr w:rsidR="00C83D47" w:rsidRPr="00C83D47" w14:paraId="462A8A23" w14:textId="77777777" w:rsidTr="00BC5C33">
        <w:trPr>
          <w:trHeight w:val="260"/>
        </w:trPr>
        <w:tc>
          <w:tcPr>
            <w:tcW w:w="826" w:type="pct"/>
            <w:tcBorders>
              <w:top w:val="nil"/>
              <w:left w:val="nil"/>
              <w:bottom w:val="nil"/>
              <w:right w:val="nil"/>
            </w:tcBorders>
            <w:shd w:val="clear" w:color="000000" w:fill="000099"/>
            <w:vAlign w:val="center"/>
            <w:hideMark/>
          </w:tcPr>
          <w:p w14:paraId="018B3B25"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2022/23</w:t>
            </w:r>
          </w:p>
        </w:tc>
        <w:tc>
          <w:tcPr>
            <w:tcW w:w="3348" w:type="pct"/>
            <w:tcBorders>
              <w:top w:val="nil"/>
              <w:left w:val="nil"/>
              <w:bottom w:val="nil"/>
              <w:right w:val="nil"/>
            </w:tcBorders>
            <w:shd w:val="clear" w:color="000000" w:fill="000099"/>
            <w:vAlign w:val="center"/>
            <w:hideMark/>
          </w:tcPr>
          <w:p w14:paraId="55689DF5"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29809D98"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2023/24</w:t>
            </w:r>
          </w:p>
        </w:tc>
      </w:tr>
      <w:tr w:rsidR="00C83D47" w:rsidRPr="00C83D47" w14:paraId="3D4ECAC1" w14:textId="77777777" w:rsidTr="00BC5C33">
        <w:trPr>
          <w:trHeight w:val="260"/>
        </w:trPr>
        <w:tc>
          <w:tcPr>
            <w:tcW w:w="826" w:type="pct"/>
            <w:tcBorders>
              <w:top w:val="nil"/>
              <w:left w:val="nil"/>
              <w:bottom w:val="nil"/>
              <w:right w:val="nil"/>
            </w:tcBorders>
            <w:shd w:val="clear" w:color="000000" w:fill="000099"/>
            <w:vAlign w:val="center"/>
            <w:hideMark/>
          </w:tcPr>
          <w:p w14:paraId="69024A36"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£000</w:t>
            </w:r>
          </w:p>
        </w:tc>
        <w:tc>
          <w:tcPr>
            <w:tcW w:w="3348" w:type="pct"/>
            <w:tcBorders>
              <w:top w:val="nil"/>
              <w:left w:val="nil"/>
              <w:bottom w:val="nil"/>
              <w:right w:val="nil"/>
            </w:tcBorders>
            <w:shd w:val="clear" w:color="000000" w:fill="000099"/>
            <w:vAlign w:val="center"/>
            <w:hideMark/>
          </w:tcPr>
          <w:p w14:paraId="17E5F03B"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6B3DCF83" w14:textId="77777777" w:rsidR="00C83D47" w:rsidRPr="00C83D47" w:rsidRDefault="00C83D47" w:rsidP="00C83D47">
            <w:pPr>
              <w:spacing w:line="240" w:lineRule="auto"/>
              <w:jc w:val="center"/>
              <w:rPr>
                <w:rFonts w:eastAsia="Times New Roman" w:cs="Calibri"/>
                <w:b/>
                <w:bCs/>
                <w:color w:val="FFFFFF"/>
                <w:szCs w:val="20"/>
                <w:lang w:eastAsia="en-GB"/>
              </w:rPr>
            </w:pPr>
            <w:r w:rsidRPr="00C83D47">
              <w:rPr>
                <w:rFonts w:eastAsia="Times New Roman" w:cs="Calibri"/>
                <w:b/>
                <w:bCs/>
                <w:color w:val="FFFFFF"/>
                <w:szCs w:val="20"/>
                <w:lang w:eastAsia="en-GB"/>
              </w:rPr>
              <w:t>£000</w:t>
            </w:r>
          </w:p>
        </w:tc>
      </w:tr>
      <w:tr w:rsidR="00C83D47" w:rsidRPr="00C83D47" w14:paraId="77494A2F" w14:textId="77777777" w:rsidTr="00BC5C33">
        <w:trPr>
          <w:trHeight w:val="260"/>
        </w:trPr>
        <w:tc>
          <w:tcPr>
            <w:tcW w:w="826" w:type="pct"/>
            <w:tcBorders>
              <w:top w:val="nil"/>
              <w:left w:val="nil"/>
              <w:bottom w:val="nil"/>
              <w:right w:val="nil"/>
            </w:tcBorders>
            <w:shd w:val="clear" w:color="000000" w:fill="FFFFFF"/>
            <w:vAlign w:val="bottom"/>
            <w:hideMark/>
          </w:tcPr>
          <w:p w14:paraId="12C512D3"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w:t>
            </w:r>
          </w:p>
        </w:tc>
        <w:tc>
          <w:tcPr>
            <w:tcW w:w="3348" w:type="pct"/>
            <w:tcBorders>
              <w:top w:val="nil"/>
              <w:left w:val="nil"/>
              <w:bottom w:val="nil"/>
              <w:right w:val="nil"/>
            </w:tcBorders>
            <w:shd w:val="clear" w:color="000000" w:fill="FFFFFF"/>
            <w:vAlign w:val="bottom"/>
            <w:hideMark/>
          </w:tcPr>
          <w:p w14:paraId="2D6FF1C9"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Interest payable and similar charges</w:t>
            </w:r>
          </w:p>
        </w:tc>
        <w:tc>
          <w:tcPr>
            <w:tcW w:w="826" w:type="pct"/>
            <w:tcBorders>
              <w:top w:val="nil"/>
              <w:left w:val="nil"/>
              <w:bottom w:val="nil"/>
              <w:right w:val="nil"/>
            </w:tcBorders>
            <w:shd w:val="clear" w:color="000000" w:fill="CCECFF"/>
            <w:vAlign w:val="bottom"/>
            <w:hideMark/>
          </w:tcPr>
          <w:p w14:paraId="3A9B6A49"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w:t>
            </w:r>
          </w:p>
        </w:tc>
      </w:tr>
      <w:tr w:rsidR="00C83D47" w:rsidRPr="00C83D47" w14:paraId="0872AE00" w14:textId="77777777" w:rsidTr="00BC5C33">
        <w:trPr>
          <w:trHeight w:val="260"/>
        </w:trPr>
        <w:tc>
          <w:tcPr>
            <w:tcW w:w="826" w:type="pct"/>
            <w:tcBorders>
              <w:top w:val="nil"/>
              <w:left w:val="nil"/>
              <w:bottom w:val="nil"/>
              <w:right w:val="nil"/>
            </w:tcBorders>
            <w:shd w:val="clear" w:color="000000" w:fill="FFFFFF"/>
            <w:vAlign w:val="bottom"/>
            <w:hideMark/>
          </w:tcPr>
          <w:p w14:paraId="51AFDAD8"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40,020</w:t>
            </w:r>
          </w:p>
        </w:tc>
        <w:tc>
          <w:tcPr>
            <w:tcW w:w="3348" w:type="pct"/>
            <w:tcBorders>
              <w:top w:val="nil"/>
              <w:left w:val="nil"/>
              <w:bottom w:val="nil"/>
              <w:right w:val="nil"/>
            </w:tcBorders>
            <w:shd w:val="clear" w:color="000000" w:fill="FFFFFF"/>
            <w:noWrap/>
            <w:vAlign w:val="center"/>
            <w:hideMark/>
          </w:tcPr>
          <w:p w14:paraId="626B6E5A"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Net interest on the net defined benefit liability (asset)</w:t>
            </w:r>
          </w:p>
        </w:tc>
        <w:tc>
          <w:tcPr>
            <w:tcW w:w="826" w:type="pct"/>
            <w:tcBorders>
              <w:top w:val="nil"/>
              <w:left w:val="nil"/>
              <w:bottom w:val="nil"/>
              <w:right w:val="nil"/>
            </w:tcBorders>
            <w:shd w:val="clear" w:color="000000" w:fill="CCECFF"/>
            <w:vAlign w:val="bottom"/>
            <w:hideMark/>
          </w:tcPr>
          <w:p w14:paraId="4E756363"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auto"/>
                <w:szCs w:val="20"/>
                <w:lang w:eastAsia="en-GB"/>
              </w:rPr>
              <w:t>46,799</w:t>
            </w:r>
          </w:p>
        </w:tc>
      </w:tr>
      <w:tr w:rsidR="00C83D47" w:rsidRPr="00C83D47" w14:paraId="341C224D" w14:textId="77777777" w:rsidTr="00BC5C33">
        <w:trPr>
          <w:trHeight w:val="260"/>
        </w:trPr>
        <w:tc>
          <w:tcPr>
            <w:tcW w:w="826" w:type="pct"/>
            <w:tcBorders>
              <w:top w:val="nil"/>
              <w:left w:val="nil"/>
              <w:bottom w:val="nil"/>
              <w:right w:val="nil"/>
            </w:tcBorders>
            <w:shd w:val="clear" w:color="000000" w:fill="FFFFFF"/>
            <w:vAlign w:val="bottom"/>
            <w:hideMark/>
          </w:tcPr>
          <w:p w14:paraId="3289F218"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000000"/>
                <w:szCs w:val="20"/>
                <w:lang w:eastAsia="en-GB"/>
              </w:rPr>
              <w:t>(133)</w:t>
            </w:r>
          </w:p>
        </w:tc>
        <w:tc>
          <w:tcPr>
            <w:tcW w:w="3348" w:type="pct"/>
            <w:tcBorders>
              <w:top w:val="nil"/>
              <w:left w:val="nil"/>
              <w:bottom w:val="nil"/>
              <w:right w:val="nil"/>
            </w:tcBorders>
            <w:shd w:val="clear" w:color="000000" w:fill="FFFFFF"/>
            <w:noWrap/>
            <w:vAlign w:val="center"/>
            <w:hideMark/>
          </w:tcPr>
          <w:p w14:paraId="7119501E" w14:textId="77777777" w:rsidR="00C83D47" w:rsidRPr="00C83D47" w:rsidRDefault="00C83D47" w:rsidP="00C83D47">
            <w:pPr>
              <w:spacing w:line="240" w:lineRule="auto"/>
              <w:jc w:val="left"/>
              <w:rPr>
                <w:rFonts w:eastAsia="Times New Roman" w:cs="Calibri"/>
                <w:color w:val="auto"/>
                <w:szCs w:val="20"/>
                <w:lang w:eastAsia="en-GB"/>
              </w:rPr>
            </w:pPr>
            <w:r w:rsidRPr="00C83D47">
              <w:rPr>
                <w:rFonts w:eastAsia="Times New Roman" w:cs="Calibri"/>
                <w:color w:val="auto"/>
                <w:szCs w:val="20"/>
                <w:lang w:eastAsia="en-GB"/>
              </w:rPr>
              <w:t>Interest receivable and similar income</w:t>
            </w:r>
          </w:p>
        </w:tc>
        <w:tc>
          <w:tcPr>
            <w:tcW w:w="826" w:type="pct"/>
            <w:tcBorders>
              <w:top w:val="nil"/>
              <w:left w:val="nil"/>
              <w:bottom w:val="nil"/>
              <w:right w:val="nil"/>
            </w:tcBorders>
            <w:shd w:val="clear" w:color="000000" w:fill="CCECFF"/>
            <w:vAlign w:val="bottom"/>
            <w:hideMark/>
          </w:tcPr>
          <w:p w14:paraId="73238116" w14:textId="77777777" w:rsidR="00C83D47" w:rsidRPr="00C83D47" w:rsidRDefault="00C83D47" w:rsidP="00C83D47">
            <w:pPr>
              <w:spacing w:line="240" w:lineRule="auto"/>
              <w:jc w:val="right"/>
              <w:rPr>
                <w:rFonts w:eastAsia="Times New Roman" w:cs="Calibri"/>
                <w:color w:val="auto"/>
                <w:szCs w:val="20"/>
                <w:lang w:eastAsia="en-GB"/>
              </w:rPr>
            </w:pPr>
            <w:r w:rsidRPr="00C83D47">
              <w:rPr>
                <w:rFonts w:eastAsia="Times New Roman" w:cs="Calibri"/>
                <w:color w:val="000000"/>
                <w:szCs w:val="20"/>
                <w:lang w:eastAsia="en-GB"/>
              </w:rPr>
              <w:t>(681)</w:t>
            </w:r>
          </w:p>
        </w:tc>
      </w:tr>
      <w:tr w:rsidR="00C83D47" w:rsidRPr="00C83D47" w14:paraId="10A3F8C7" w14:textId="77777777" w:rsidTr="00BC5C33">
        <w:trPr>
          <w:trHeight w:val="260"/>
        </w:trPr>
        <w:tc>
          <w:tcPr>
            <w:tcW w:w="826" w:type="pct"/>
            <w:tcBorders>
              <w:top w:val="single" w:sz="4" w:space="0" w:color="auto"/>
              <w:left w:val="nil"/>
              <w:bottom w:val="single" w:sz="4" w:space="0" w:color="auto"/>
              <w:right w:val="nil"/>
            </w:tcBorders>
            <w:shd w:val="clear" w:color="000000" w:fill="FFFFFF"/>
            <w:vAlign w:val="bottom"/>
            <w:hideMark/>
          </w:tcPr>
          <w:p w14:paraId="365CC0CF" w14:textId="77777777" w:rsidR="00C83D47" w:rsidRPr="00C83D47" w:rsidRDefault="00C83D47" w:rsidP="00C83D47">
            <w:pPr>
              <w:spacing w:line="240" w:lineRule="auto"/>
              <w:jc w:val="right"/>
              <w:rPr>
                <w:rFonts w:eastAsia="Times New Roman" w:cs="Calibri"/>
                <w:b/>
                <w:bCs/>
                <w:color w:val="auto"/>
                <w:szCs w:val="20"/>
                <w:lang w:eastAsia="en-GB"/>
              </w:rPr>
            </w:pPr>
            <w:r w:rsidRPr="00C83D47">
              <w:rPr>
                <w:rFonts w:eastAsia="Times New Roman" w:cs="Calibri"/>
                <w:b/>
                <w:bCs/>
                <w:color w:val="auto"/>
                <w:szCs w:val="20"/>
                <w:lang w:eastAsia="en-GB"/>
              </w:rPr>
              <w:t>39,887</w:t>
            </w:r>
          </w:p>
        </w:tc>
        <w:tc>
          <w:tcPr>
            <w:tcW w:w="3348" w:type="pct"/>
            <w:tcBorders>
              <w:top w:val="single" w:sz="4" w:space="0" w:color="auto"/>
              <w:left w:val="nil"/>
              <w:bottom w:val="single" w:sz="4" w:space="0" w:color="auto"/>
              <w:right w:val="nil"/>
            </w:tcBorders>
            <w:shd w:val="clear" w:color="000000" w:fill="FFFFFF"/>
            <w:noWrap/>
            <w:vAlign w:val="center"/>
            <w:hideMark/>
          </w:tcPr>
          <w:p w14:paraId="1F5DA110" w14:textId="77777777" w:rsidR="00C83D47" w:rsidRPr="00C83D47" w:rsidRDefault="00C83D47" w:rsidP="00C83D47">
            <w:pPr>
              <w:spacing w:line="240" w:lineRule="auto"/>
              <w:jc w:val="left"/>
              <w:rPr>
                <w:rFonts w:eastAsia="Times New Roman" w:cs="Calibri"/>
                <w:b/>
                <w:bCs/>
                <w:color w:val="auto"/>
                <w:szCs w:val="20"/>
                <w:lang w:eastAsia="en-GB"/>
              </w:rPr>
            </w:pPr>
            <w:r w:rsidRPr="00C83D47">
              <w:rPr>
                <w:rFonts w:eastAsia="Times New Roman" w:cs="Calibri"/>
                <w:b/>
                <w:bCs/>
                <w:color w:val="auto"/>
                <w:szCs w:val="20"/>
                <w:lang w:eastAsia="en-GB"/>
              </w:rPr>
              <w:t>Total</w:t>
            </w:r>
          </w:p>
        </w:tc>
        <w:tc>
          <w:tcPr>
            <w:tcW w:w="826" w:type="pct"/>
            <w:tcBorders>
              <w:top w:val="single" w:sz="4" w:space="0" w:color="auto"/>
              <w:left w:val="nil"/>
              <w:bottom w:val="single" w:sz="4" w:space="0" w:color="auto"/>
              <w:right w:val="nil"/>
            </w:tcBorders>
            <w:shd w:val="clear" w:color="000000" w:fill="CCECFF"/>
            <w:vAlign w:val="bottom"/>
            <w:hideMark/>
          </w:tcPr>
          <w:p w14:paraId="65F8B0D0" w14:textId="77777777" w:rsidR="00C83D47" w:rsidRPr="00C83D47" w:rsidRDefault="00C83D47" w:rsidP="00C83D47">
            <w:pPr>
              <w:spacing w:line="240" w:lineRule="auto"/>
              <w:jc w:val="right"/>
              <w:rPr>
                <w:rFonts w:eastAsia="Times New Roman" w:cs="Calibri"/>
                <w:b/>
                <w:bCs/>
                <w:color w:val="auto"/>
                <w:szCs w:val="20"/>
                <w:lang w:eastAsia="en-GB"/>
              </w:rPr>
            </w:pPr>
            <w:r w:rsidRPr="00C83D47">
              <w:rPr>
                <w:rFonts w:eastAsia="Times New Roman" w:cs="Calibri"/>
                <w:b/>
                <w:bCs/>
                <w:color w:val="auto"/>
                <w:szCs w:val="20"/>
                <w:lang w:eastAsia="en-GB"/>
              </w:rPr>
              <w:t>46,118</w:t>
            </w:r>
          </w:p>
        </w:tc>
      </w:tr>
    </w:tbl>
    <w:p w14:paraId="47B17B61" w14:textId="1D30900D" w:rsidR="00161E23" w:rsidRPr="00354E03" w:rsidRDefault="00161E23" w:rsidP="009063E8"/>
    <w:p w14:paraId="6FC73F10" w14:textId="1EA12764" w:rsidR="002522D4" w:rsidRPr="00653D20" w:rsidRDefault="002522D4" w:rsidP="00EB49F7">
      <w:pPr>
        <w:pStyle w:val="NoteHeader"/>
        <w:rPr>
          <w:lang w:val="pt-BR"/>
        </w:rPr>
      </w:pPr>
      <w:bookmarkStart w:id="121" w:name="_Toc517077285"/>
      <w:bookmarkStart w:id="122" w:name="_Toc9272510"/>
      <w:bookmarkStart w:id="123" w:name="_Toc9592057"/>
      <w:bookmarkStart w:id="124" w:name="_Toc191457325"/>
      <w:r w:rsidRPr="00653D20">
        <w:rPr>
          <w:lang w:val="pt-BR"/>
        </w:rPr>
        <w:t>Note 9 - Taxation and Non-Specific Grant Income</w:t>
      </w:r>
      <w:bookmarkEnd w:id="121"/>
      <w:bookmarkEnd w:id="122"/>
      <w:bookmarkEnd w:id="123"/>
      <w:bookmarkEnd w:id="124"/>
    </w:p>
    <w:p w14:paraId="49CB3011" w14:textId="77777777" w:rsidR="002522D4" w:rsidRPr="00653D20" w:rsidRDefault="002522D4" w:rsidP="00354E03">
      <w:pPr>
        <w:rPr>
          <w:lang w:val="pt-BR"/>
        </w:rPr>
      </w:pPr>
    </w:p>
    <w:p w14:paraId="12FFC6BC" w14:textId="77777777" w:rsidR="002522D4" w:rsidRPr="00653D20" w:rsidRDefault="008E12FD" w:rsidP="002522D4">
      <w:pPr>
        <w:pStyle w:val="T1TableStyle"/>
        <w:rPr>
          <w:rFonts w:ascii="Verdana" w:eastAsia="Calibri" w:hAnsi="Verdana" w:cs="Arial"/>
          <w:sz w:val="20"/>
          <w:szCs w:val="20"/>
          <w:lang w:val="pt-BR"/>
        </w:rPr>
      </w:pPr>
      <w:r w:rsidRPr="00653D20">
        <w:rPr>
          <w:noProof/>
          <w:sz w:val="20"/>
          <w:szCs w:val="20"/>
          <w:lang w:val="en-GB" w:eastAsia="en-GB"/>
        </w:rPr>
        <w:t>Refer to Note 9 Office of the Police, Fire &amp; Crime Commissioner (OPFCC) Statement of Accounts.</w:t>
      </w:r>
    </w:p>
    <w:p w14:paraId="02942853" w14:textId="77777777" w:rsidR="005433C7" w:rsidRPr="00653D20" w:rsidRDefault="005433C7" w:rsidP="00354E03">
      <w:bookmarkStart w:id="125" w:name="_Toc517077286"/>
      <w:bookmarkStart w:id="126" w:name="_Toc9272511"/>
    </w:p>
    <w:p w14:paraId="08DBA064" w14:textId="77777777" w:rsidR="002522D4" w:rsidRPr="00653D20" w:rsidRDefault="002522D4" w:rsidP="00EB49F7">
      <w:pPr>
        <w:pStyle w:val="NoteHeader"/>
      </w:pPr>
      <w:bookmarkStart w:id="127" w:name="_Toc9592058"/>
      <w:bookmarkStart w:id="128" w:name="_Toc191457326"/>
      <w:r w:rsidRPr="00653D20">
        <w:t>Note 10 - Material Items of Income and Expense</w:t>
      </w:r>
      <w:bookmarkEnd w:id="125"/>
      <w:bookmarkEnd w:id="126"/>
      <w:bookmarkEnd w:id="127"/>
      <w:bookmarkEnd w:id="128"/>
      <w:r w:rsidRPr="00653D20">
        <w:t xml:space="preserve"> </w:t>
      </w:r>
    </w:p>
    <w:p w14:paraId="6CA4E48F" w14:textId="77777777" w:rsidR="008E12FD" w:rsidRPr="00653D20" w:rsidRDefault="008E12FD" w:rsidP="00BC5929"/>
    <w:p w14:paraId="0CE136AE"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10 Office of the Police, Fire &amp; Crime Commissioner (OPFCC) Statement of Accounts.</w:t>
      </w:r>
    </w:p>
    <w:p w14:paraId="68C7DDC6" w14:textId="77777777" w:rsidR="005433C7" w:rsidRPr="00653D20" w:rsidRDefault="005433C7" w:rsidP="005433C7"/>
    <w:p w14:paraId="5693F162" w14:textId="7251FE1A" w:rsidR="002522D4" w:rsidRPr="0050526D" w:rsidRDefault="002522D4" w:rsidP="00EB49F7">
      <w:pPr>
        <w:pStyle w:val="NoteHeader"/>
        <w:rPr>
          <w:lang w:val="pt-BR"/>
        </w:rPr>
      </w:pPr>
      <w:bookmarkStart w:id="129" w:name="_Toc517077287"/>
      <w:bookmarkStart w:id="130" w:name="_Toc9272512"/>
      <w:bookmarkStart w:id="131" w:name="_Toc9592059"/>
      <w:bookmarkStart w:id="132" w:name="_Toc191457327"/>
      <w:r w:rsidRPr="0050526D">
        <w:rPr>
          <w:lang w:val="pt-BR"/>
        </w:rPr>
        <w:t>Note 11 - Trading Operations</w:t>
      </w:r>
      <w:bookmarkEnd w:id="129"/>
      <w:bookmarkEnd w:id="130"/>
      <w:bookmarkEnd w:id="131"/>
      <w:bookmarkEnd w:id="132"/>
    </w:p>
    <w:p w14:paraId="04A0317E" w14:textId="77777777" w:rsidR="006A5AA6" w:rsidRPr="0050526D" w:rsidRDefault="006A5AA6" w:rsidP="00AE32D7">
      <w:pPr>
        <w:rPr>
          <w:lang w:val="pt-BR"/>
        </w:rPr>
      </w:pPr>
    </w:p>
    <w:p w14:paraId="1CB1EB21" w14:textId="23BDA4AF" w:rsidR="00D373BB" w:rsidRPr="00354E03" w:rsidRDefault="002522D4" w:rsidP="005433C7">
      <w:pPr>
        <w:rPr>
          <w:lang w:val="pt-BR"/>
        </w:rPr>
      </w:pPr>
      <w:r w:rsidRPr="0050526D">
        <w:rPr>
          <w:lang w:val="pt-BR"/>
        </w:rPr>
        <w:t xml:space="preserve">The </w:t>
      </w:r>
      <w:r w:rsidR="0058193A">
        <w:rPr>
          <w:lang w:val="pt-BR"/>
        </w:rPr>
        <w:t>OCC</w:t>
      </w:r>
      <w:r w:rsidR="008E12FD" w:rsidRPr="0050526D">
        <w:rPr>
          <w:lang w:val="pt-BR"/>
        </w:rPr>
        <w:t xml:space="preserve"> </w:t>
      </w:r>
      <w:r w:rsidRPr="0050526D">
        <w:rPr>
          <w:lang w:val="pt-BR"/>
        </w:rPr>
        <w:t>does not have any trading operations.</w:t>
      </w:r>
      <w:r w:rsidR="0058193A">
        <w:rPr>
          <w:lang w:val="pt-BR"/>
        </w:rPr>
        <w:t xml:space="preserve"> </w:t>
      </w:r>
      <w:r w:rsidRPr="0050526D">
        <w:rPr>
          <w:lang w:val="pt-BR"/>
        </w:rPr>
        <w:t xml:space="preserve"> All commercial activities have been outsourced</w:t>
      </w:r>
      <w:r w:rsidRPr="0050526D">
        <w:rPr>
          <w:b/>
          <w:lang w:val="pt-BR"/>
        </w:rPr>
        <w:t>.</w:t>
      </w:r>
      <w:r w:rsidR="007F22B6" w:rsidRPr="0050526D">
        <w:rPr>
          <w:b/>
          <w:lang w:val="pt-BR"/>
        </w:rPr>
        <w:t xml:space="preserve"> </w:t>
      </w:r>
    </w:p>
    <w:p w14:paraId="70960D01" w14:textId="77777777" w:rsidR="005433C7" w:rsidRPr="00653D20" w:rsidRDefault="005433C7" w:rsidP="005433C7"/>
    <w:p w14:paraId="477DCC29" w14:textId="77777777" w:rsidR="002522D4" w:rsidRPr="00653D20" w:rsidRDefault="002522D4" w:rsidP="00EB49F7">
      <w:pPr>
        <w:pStyle w:val="NoteHeader"/>
        <w:rPr>
          <w:lang w:val="pt-BR"/>
        </w:rPr>
      </w:pPr>
      <w:bookmarkStart w:id="133" w:name="_Toc517077288"/>
      <w:bookmarkStart w:id="134" w:name="_Toc9272513"/>
      <w:bookmarkStart w:id="135" w:name="_Toc9592060"/>
      <w:bookmarkStart w:id="136" w:name="_Toc191457328"/>
      <w:r w:rsidRPr="00653D20">
        <w:rPr>
          <w:lang w:val="pt-BR"/>
        </w:rPr>
        <w:t>Note 12 - Members’ Allowances</w:t>
      </w:r>
      <w:bookmarkEnd w:id="133"/>
      <w:bookmarkEnd w:id="134"/>
      <w:bookmarkEnd w:id="135"/>
      <w:bookmarkEnd w:id="136"/>
      <w:r w:rsidRPr="00653D20">
        <w:rPr>
          <w:lang w:val="pt-BR"/>
        </w:rPr>
        <w:t xml:space="preserve"> </w:t>
      </w:r>
    </w:p>
    <w:p w14:paraId="400E10D8" w14:textId="77777777" w:rsidR="00166707" w:rsidRPr="00653D20" w:rsidRDefault="00166707" w:rsidP="002522D4">
      <w:pPr>
        <w:rPr>
          <w:lang w:val="pt-BR"/>
        </w:rPr>
      </w:pPr>
    </w:p>
    <w:p w14:paraId="76A90109" w14:textId="77777777" w:rsidR="008E12FD" w:rsidRPr="00653D20" w:rsidRDefault="008E12FD" w:rsidP="008E12FD">
      <w:pPr>
        <w:pStyle w:val="T1TableStyle"/>
        <w:rPr>
          <w:rFonts w:ascii="Verdana" w:eastAsia="Calibri" w:hAnsi="Verdana" w:cs="Arial"/>
          <w:sz w:val="20"/>
          <w:szCs w:val="20"/>
          <w:lang w:val="pt-BR"/>
        </w:rPr>
      </w:pPr>
      <w:r w:rsidRPr="00653D20">
        <w:rPr>
          <w:noProof/>
          <w:sz w:val="20"/>
          <w:szCs w:val="20"/>
          <w:lang w:val="en-GB" w:eastAsia="en-GB"/>
        </w:rPr>
        <w:t>Refer to Note 12 Office of the Police, Fire &amp; Crime Commissioner (OPFCC) Statement of Accounts.</w:t>
      </w:r>
    </w:p>
    <w:p w14:paraId="40F14695" w14:textId="72430C12" w:rsidR="005433C7" w:rsidRPr="00653D20" w:rsidRDefault="002522D4" w:rsidP="005433C7">
      <w:pPr>
        <w:rPr>
          <w:lang w:val="pt-BR"/>
        </w:rPr>
      </w:pPr>
      <w:r w:rsidRPr="00653D20">
        <w:rPr>
          <w:lang w:val="pt-BR"/>
        </w:rPr>
        <w:t xml:space="preserve"> </w:t>
      </w:r>
    </w:p>
    <w:p w14:paraId="032D9959" w14:textId="5B0793F4" w:rsidR="002522D4" w:rsidRPr="00653D20" w:rsidRDefault="002522D4" w:rsidP="00EB49F7">
      <w:pPr>
        <w:pStyle w:val="NoteHeader"/>
      </w:pPr>
      <w:bookmarkStart w:id="137" w:name="_Toc517077289"/>
      <w:bookmarkStart w:id="138" w:name="_Toc9272514"/>
      <w:bookmarkStart w:id="139" w:name="_Toc9592061"/>
      <w:bookmarkStart w:id="140" w:name="_Toc191457329"/>
      <w:r w:rsidRPr="00653D20">
        <w:t>Note 13 - External Audit Costs</w:t>
      </w:r>
      <w:bookmarkEnd w:id="137"/>
      <w:bookmarkEnd w:id="138"/>
      <w:bookmarkEnd w:id="139"/>
      <w:bookmarkEnd w:id="140"/>
    </w:p>
    <w:p w14:paraId="0760AF4C" w14:textId="77777777" w:rsidR="00335550" w:rsidRPr="00653D20" w:rsidRDefault="00335550" w:rsidP="00335550">
      <w:pPr>
        <w:rPr>
          <w:lang w:val="pt-BR"/>
        </w:rPr>
      </w:pPr>
    </w:p>
    <w:p w14:paraId="41E42757" w14:textId="46565C59" w:rsidR="00653D20" w:rsidRDefault="000B731D" w:rsidP="002107AF">
      <w:pPr>
        <w:rPr>
          <w:lang w:val="pt-BR"/>
        </w:rPr>
      </w:pPr>
      <w:r>
        <w:rPr>
          <w:lang w:val="pt-BR"/>
        </w:rPr>
        <w:t>The OCC</w:t>
      </w:r>
      <w:r w:rsidR="00653D20" w:rsidRPr="00653D20">
        <w:rPr>
          <w:lang w:val="pt-BR"/>
        </w:rPr>
        <w:t xml:space="preserve"> incurred direct external audit fees as fo</w:t>
      </w:r>
      <w:r>
        <w:rPr>
          <w:lang w:val="pt-BR"/>
        </w:rPr>
        <w:t xml:space="preserve">llows for </w:t>
      </w:r>
      <w:r w:rsidR="00653D20" w:rsidRPr="00653D20">
        <w:rPr>
          <w:lang w:val="pt-BR"/>
        </w:rPr>
        <w:t>audit</w:t>
      </w:r>
      <w:r w:rsidR="00653D20" w:rsidRPr="00C53A0F">
        <w:rPr>
          <w:lang w:val="pt-BR"/>
        </w:rPr>
        <w:t xml:space="preserve"> work </w:t>
      </w:r>
      <w:r>
        <w:rPr>
          <w:lang w:val="pt-BR"/>
        </w:rPr>
        <w:t>on the</w:t>
      </w:r>
      <w:r w:rsidR="00653D20" w:rsidRPr="00C53A0F">
        <w:rPr>
          <w:lang w:val="pt-BR"/>
        </w:rPr>
        <w:t xml:space="preserve"> Statement of Accounts, which is a statutory requirement.</w:t>
      </w:r>
    </w:p>
    <w:p w14:paraId="2D445016" w14:textId="77777777" w:rsidR="008441E1" w:rsidRPr="00C53A0F" w:rsidRDefault="008441E1" w:rsidP="002107AF">
      <w:pPr>
        <w:rPr>
          <w:lang w:val="pt-BR"/>
        </w:rPr>
      </w:pPr>
    </w:p>
    <w:tbl>
      <w:tblPr>
        <w:tblW w:w="5000" w:type="pct"/>
        <w:tblLook w:val="04A0" w:firstRow="1" w:lastRow="0" w:firstColumn="1" w:lastColumn="0" w:noHBand="0" w:noVBand="1"/>
      </w:tblPr>
      <w:tblGrid>
        <w:gridCol w:w="1583"/>
        <w:gridCol w:w="6483"/>
        <w:gridCol w:w="1573"/>
      </w:tblGrid>
      <w:tr w:rsidR="00083390" w:rsidRPr="00083390" w14:paraId="767D12FE" w14:textId="77777777" w:rsidTr="00BC5C33">
        <w:trPr>
          <w:trHeight w:val="255"/>
        </w:trPr>
        <w:tc>
          <w:tcPr>
            <w:tcW w:w="821" w:type="pct"/>
            <w:tcBorders>
              <w:top w:val="nil"/>
              <w:left w:val="nil"/>
              <w:bottom w:val="nil"/>
              <w:right w:val="nil"/>
            </w:tcBorders>
            <w:shd w:val="clear" w:color="000000" w:fill="000099"/>
            <w:vAlign w:val="center"/>
            <w:hideMark/>
          </w:tcPr>
          <w:p w14:paraId="52256135"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3363" w:type="pct"/>
            <w:tcBorders>
              <w:top w:val="nil"/>
              <w:left w:val="nil"/>
              <w:bottom w:val="nil"/>
              <w:right w:val="nil"/>
            </w:tcBorders>
            <w:shd w:val="clear" w:color="000000" w:fill="000099"/>
            <w:vAlign w:val="center"/>
            <w:hideMark/>
          </w:tcPr>
          <w:p w14:paraId="7F0F074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16" w:type="pct"/>
            <w:tcBorders>
              <w:top w:val="nil"/>
              <w:left w:val="nil"/>
              <w:bottom w:val="nil"/>
              <w:right w:val="nil"/>
            </w:tcBorders>
            <w:shd w:val="clear" w:color="000000" w:fill="000099"/>
            <w:vAlign w:val="center"/>
            <w:hideMark/>
          </w:tcPr>
          <w:p w14:paraId="7E96B3CF"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4DA5A25A" w14:textId="77777777" w:rsidTr="00BC5C33">
        <w:trPr>
          <w:trHeight w:val="255"/>
        </w:trPr>
        <w:tc>
          <w:tcPr>
            <w:tcW w:w="821" w:type="pct"/>
            <w:tcBorders>
              <w:top w:val="nil"/>
              <w:left w:val="nil"/>
              <w:bottom w:val="nil"/>
              <w:right w:val="nil"/>
            </w:tcBorders>
            <w:shd w:val="clear" w:color="000000" w:fill="000099"/>
            <w:vAlign w:val="center"/>
            <w:hideMark/>
          </w:tcPr>
          <w:p w14:paraId="374E91C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3363" w:type="pct"/>
            <w:tcBorders>
              <w:top w:val="nil"/>
              <w:left w:val="nil"/>
              <w:bottom w:val="nil"/>
              <w:right w:val="nil"/>
            </w:tcBorders>
            <w:shd w:val="clear" w:color="000000" w:fill="000099"/>
            <w:vAlign w:val="center"/>
            <w:hideMark/>
          </w:tcPr>
          <w:p w14:paraId="5C3B9B11"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816" w:type="pct"/>
            <w:tcBorders>
              <w:top w:val="nil"/>
              <w:left w:val="nil"/>
              <w:bottom w:val="nil"/>
              <w:right w:val="nil"/>
            </w:tcBorders>
            <w:shd w:val="clear" w:color="000000" w:fill="000099"/>
            <w:vAlign w:val="center"/>
            <w:hideMark/>
          </w:tcPr>
          <w:p w14:paraId="75B8CD3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675534C4" w14:textId="77777777" w:rsidTr="00BC5C33">
        <w:trPr>
          <w:trHeight w:val="765"/>
        </w:trPr>
        <w:tc>
          <w:tcPr>
            <w:tcW w:w="821" w:type="pct"/>
            <w:tcBorders>
              <w:top w:val="nil"/>
              <w:left w:val="nil"/>
              <w:bottom w:val="nil"/>
              <w:right w:val="nil"/>
            </w:tcBorders>
            <w:shd w:val="clear" w:color="000000" w:fill="FFFFFF"/>
            <w:vAlign w:val="center"/>
            <w:hideMark/>
          </w:tcPr>
          <w:p w14:paraId="66523BC6"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12</w:t>
            </w:r>
          </w:p>
        </w:tc>
        <w:tc>
          <w:tcPr>
            <w:tcW w:w="3363" w:type="pct"/>
            <w:tcBorders>
              <w:top w:val="nil"/>
              <w:left w:val="nil"/>
              <w:bottom w:val="nil"/>
              <w:right w:val="nil"/>
            </w:tcBorders>
            <w:shd w:val="clear" w:color="000000" w:fill="FFFFFF"/>
            <w:vAlign w:val="center"/>
            <w:hideMark/>
          </w:tcPr>
          <w:p w14:paraId="7BCBF60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816" w:type="pct"/>
            <w:tcBorders>
              <w:top w:val="nil"/>
              <w:left w:val="nil"/>
              <w:bottom w:val="nil"/>
              <w:right w:val="nil"/>
            </w:tcBorders>
            <w:shd w:val="clear" w:color="000000" w:fill="CCECFF"/>
            <w:vAlign w:val="center"/>
            <w:hideMark/>
          </w:tcPr>
          <w:p w14:paraId="5AAAD90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48</w:t>
            </w:r>
          </w:p>
        </w:tc>
      </w:tr>
      <w:tr w:rsidR="00083390" w:rsidRPr="00083390" w14:paraId="52F8997A" w14:textId="77777777" w:rsidTr="00BC5C33">
        <w:trPr>
          <w:trHeight w:val="255"/>
        </w:trPr>
        <w:tc>
          <w:tcPr>
            <w:tcW w:w="821" w:type="pct"/>
            <w:tcBorders>
              <w:top w:val="single" w:sz="4" w:space="0" w:color="auto"/>
              <w:left w:val="nil"/>
              <w:bottom w:val="single" w:sz="4" w:space="0" w:color="auto"/>
              <w:right w:val="nil"/>
            </w:tcBorders>
            <w:shd w:val="clear" w:color="000000" w:fill="FFFFFF"/>
            <w:vAlign w:val="bottom"/>
            <w:hideMark/>
          </w:tcPr>
          <w:p w14:paraId="4AD61EC4"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12</w:t>
            </w:r>
          </w:p>
        </w:tc>
        <w:tc>
          <w:tcPr>
            <w:tcW w:w="3363" w:type="pct"/>
            <w:tcBorders>
              <w:top w:val="single" w:sz="4" w:space="0" w:color="auto"/>
              <w:left w:val="nil"/>
              <w:bottom w:val="single" w:sz="4" w:space="0" w:color="auto"/>
              <w:right w:val="nil"/>
            </w:tcBorders>
            <w:shd w:val="clear" w:color="000000" w:fill="FFFFFF"/>
            <w:noWrap/>
            <w:vAlign w:val="center"/>
            <w:hideMark/>
          </w:tcPr>
          <w:p w14:paraId="13671DB2"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816" w:type="pct"/>
            <w:tcBorders>
              <w:top w:val="single" w:sz="4" w:space="0" w:color="auto"/>
              <w:left w:val="nil"/>
              <w:bottom w:val="single" w:sz="4" w:space="0" w:color="auto"/>
              <w:right w:val="nil"/>
            </w:tcBorders>
            <w:shd w:val="clear" w:color="000000" w:fill="CCECFF"/>
            <w:vAlign w:val="bottom"/>
            <w:hideMark/>
          </w:tcPr>
          <w:p w14:paraId="75EAFCF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48</w:t>
            </w:r>
          </w:p>
        </w:tc>
      </w:tr>
    </w:tbl>
    <w:p w14:paraId="0B28E14E" w14:textId="6617322A" w:rsidR="000B731D" w:rsidRDefault="000B731D" w:rsidP="000B731D">
      <w:pPr>
        <w:rPr>
          <w:noProof/>
        </w:rPr>
      </w:pPr>
    </w:p>
    <w:p w14:paraId="36E5046E" w14:textId="77777777" w:rsidR="00643069" w:rsidRPr="00327904" w:rsidRDefault="00643069" w:rsidP="000B731D">
      <w:pPr>
        <w:rPr>
          <w:rFonts w:ascii="Verdana" w:eastAsia="Calibri" w:hAnsi="Verdana" w:cs="Arial"/>
          <w:sz w:val="22"/>
          <w:szCs w:val="22"/>
        </w:rPr>
      </w:pPr>
    </w:p>
    <w:p w14:paraId="165E1554" w14:textId="77777777" w:rsidR="00643069" w:rsidRDefault="00643069" w:rsidP="00A71646">
      <w:bookmarkStart w:id="141" w:name="_Toc517077290"/>
      <w:bookmarkStart w:id="142" w:name="_Toc9272515"/>
      <w:bookmarkStart w:id="143" w:name="_Toc9592062"/>
    </w:p>
    <w:p w14:paraId="644487B2" w14:textId="77777777" w:rsidR="00643069" w:rsidRDefault="00643069" w:rsidP="00A71646"/>
    <w:p w14:paraId="61712CAE" w14:textId="77777777" w:rsidR="00643069" w:rsidRDefault="00643069" w:rsidP="00A71646"/>
    <w:p w14:paraId="246A75DE" w14:textId="77777777" w:rsidR="00643069" w:rsidRDefault="00643069" w:rsidP="00A71646"/>
    <w:p w14:paraId="4CF53F79" w14:textId="77777777" w:rsidR="00643069" w:rsidRDefault="00643069" w:rsidP="00A71646"/>
    <w:p w14:paraId="0A6FB8EA" w14:textId="77777777" w:rsidR="00643069" w:rsidRDefault="00643069" w:rsidP="00A71646"/>
    <w:p w14:paraId="194FC404" w14:textId="77777777" w:rsidR="00643069" w:rsidRDefault="00643069" w:rsidP="00A71646"/>
    <w:p w14:paraId="69CFA30B" w14:textId="77777777" w:rsidR="00643069" w:rsidRDefault="00643069" w:rsidP="00A71646"/>
    <w:p w14:paraId="5E77CD30" w14:textId="77777777" w:rsidR="00643069" w:rsidRDefault="00643069">
      <w:pPr>
        <w:spacing w:line="240" w:lineRule="auto"/>
        <w:jc w:val="left"/>
        <w:rPr>
          <w:rFonts w:asciiTheme="minorHAnsi" w:eastAsia="Times New Roman" w:hAnsiTheme="minorHAnsi" w:cs="Times New Roman"/>
          <w:b/>
          <w:bCs/>
          <w:color w:val="25316C"/>
          <w:sz w:val="24"/>
          <w:u w:val="single"/>
        </w:rPr>
      </w:pPr>
      <w:r>
        <w:br w:type="page"/>
      </w:r>
    </w:p>
    <w:p w14:paraId="5E3EF4D6" w14:textId="2412D976" w:rsidR="002522D4" w:rsidRDefault="002522D4" w:rsidP="00EB49F7">
      <w:pPr>
        <w:pStyle w:val="NoteHeader"/>
      </w:pPr>
      <w:bookmarkStart w:id="144" w:name="_Toc191457330"/>
      <w:r w:rsidRPr="00653D20">
        <w:lastRenderedPageBreak/>
        <w:t>Note 14 - Grant Income</w:t>
      </w:r>
      <w:bookmarkEnd w:id="141"/>
      <w:bookmarkEnd w:id="142"/>
      <w:bookmarkEnd w:id="143"/>
      <w:bookmarkEnd w:id="144"/>
    </w:p>
    <w:p w14:paraId="3EA9DBF3" w14:textId="5E0E8411" w:rsidR="0058193A" w:rsidRPr="00087660" w:rsidRDefault="0058193A" w:rsidP="003C6B62"/>
    <w:tbl>
      <w:tblPr>
        <w:tblW w:w="7230" w:type="dxa"/>
        <w:tblLook w:val="04A0" w:firstRow="1" w:lastRow="0" w:firstColumn="1" w:lastColumn="0" w:noHBand="0" w:noVBand="1"/>
      </w:tblPr>
      <w:tblGrid>
        <w:gridCol w:w="1380"/>
        <w:gridCol w:w="4500"/>
        <w:gridCol w:w="1350"/>
      </w:tblGrid>
      <w:tr w:rsidR="00083390" w:rsidRPr="00083390" w14:paraId="4DEE7206" w14:textId="77777777" w:rsidTr="003C6B62">
        <w:trPr>
          <w:trHeight w:val="255"/>
        </w:trPr>
        <w:tc>
          <w:tcPr>
            <w:tcW w:w="1380" w:type="dxa"/>
            <w:tcBorders>
              <w:top w:val="nil"/>
              <w:left w:val="nil"/>
              <w:bottom w:val="nil"/>
              <w:right w:val="nil"/>
            </w:tcBorders>
            <w:shd w:val="clear" w:color="000000" w:fill="000099"/>
            <w:vAlign w:val="center"/>
            <w:hideMark/>
          </w:tcPr>
          <w:p w14:paraId="00780EFD"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500" w:type="dxa"/>
            <w:tcBorders>
              <w:top w:val="nil"/>
              <w:left w:val="nil"/>
              <w:bottom w:val="nil"/>
              <w:right w:val="nil"/>
            </w:tcBorders>
            <w:shd w:val="clear" w:color="000000" w:fill="000099"/>
            <w:vAlign w:val="center"/>
            <w:hideMark/>
          </w:tcPr>
          <w:p w14:paraId="18E3AB3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350" w:type="dxa"/>
            <w:tcBorders>
              <w:top w:val="nil"/>
              <w:left w:val="nil"/>
              <w:bottom w:val="nil"/>
              <w:right w:val="nil"/>
            </w:tcBorders>
            <w:shd w:val="clear" w:color="000000" w:fill="000099"/>
            <w:vAlign w:val="center"/>
            <w:hideMark/>
          </w:tcPr>
          <w:p w14:paraId="712C5CBB"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05807753" w14:textId="77777777" w:rsidTr="003C6B62">
        <w:trPr>
          <w:trHeight w:val="255"/>
        </w:trPr>
        <w:tc>
          <w:tcPr>
            <w:tcW w:w="1380" w:type="dxa"/>
            <w:tcBorders>
              <w:top w:val="nil"/>
              <w:left w:val="nil"/>
              <w:bottom w:val="nil"/>
              <w:right w:val="nil"/>
            </w:tcBorders>
            <w:shd w:val="clear" w:color="000000" w:fill="000099"/>
            <w:vAlign w:val="center"/>
            <w:hideMark/>
          </w:tcPr>
          <w:p w14:paraId="4F992A9E"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500" w:type="dxa"/>
            <w:tcBorders>
              <w:top w:val="nil"/>
              <w:left w:val="nil"/>
              <w:bottom w:val="nil"/>
              <w:right w:val="nil"/>
            </w:tcBorders>
            <w:shd w:val="clear" w:color="000000" w:fill="000099"/>
            <w:vAlign w:val="center"/>
            <w:hideMark/>
          </w:tcPr>
          <w:p w14:paraId="4204D27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350" w:type="dxa"/>
            <w:tcBorders>
              <w:top w:val="nil"/>
              <w:left w:val="nil"/>
              <w:bottom w:val="nil"/>
              <w:right w:val="nil"/>
            </w:tcBorders>
            <w:shd w:val="clear" w:color="000000" w:fill="000099"/>
            <w:vAlign w:val="center"/>
            <w:hideMark/>
          </w:tcPr>
          <w:p w14:paraId="4E0A8AED"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4D759233" w14:textId="77777777" w:rsidTr="003C6B62">
        <w:trPr>
          <w:trHeight w:val="255"/>
        </w:trPr>
        <w:tc>
          <w:tcPr>
            <w:tcW w:w="1380" w:type="dxa"/>
            <w:tcBorders>
              <w:top w:val="nil"/>
              <w:left w:val="nil"/>
              <w:bottom w:val="nil"/>
              <w:right w:val="nil"/>
            </w:tcBorders>
            <w:shd w:val="clear" w:color="000000" w:fill="FFFFFF"/>
            <w:vAlign w:val="center"/>
            <w:hideMark/>
          </w:tcPr>
          <w:p w14:paraId="2C6E5ABC"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(1,041)</w:t>
            </w:r>
          </w:p>
        </w:tc>
        <w:tc>
          <w:tcPr>
            <w:tcW w:w="4500" w:type="dxa"/>
            <w:tcBorders>
              <w:top w:val="nil"/>
              <w:left w:val="nil"/>
              <w:bottom w:val="nil"/>
              <w:right w:val="nil"/>
            </w:tcBorders>
            <w:shd w:val="clear" w:color="000000" w:fill="FFFFFF"/>
            <w:vAlign w:val="center"/>
            <w:hideMark/>
          </w:tcPr>
          <w:p w14:paraId="209B9EE3"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ACPO (TAM)</w:t>
            </w:r>
          </w:p>
        </w:tc>
        <w:tc>
          <w:tcPr>
            <w:tcW w:w="1350" w:type="dxa"/>
            <w:tcBorders>
              <w:top w:val="nil"/>
              <w:left w:val="nil"/>
              <w:bottom w:val="nil"/>
              <w:right w:val="nil"/>
            </w:tcBorders>
            <w:shd w:val="clear" w:color="000000" w:fill="CCECFF"/>
            <w:vAlign w:val="center"/>
            <w:hideMark/>
          </w:tcPr>
          <w:p w14:paraId="0D2B33F9"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(1,309)</w:t>
            </w:r>
          </w:p>
        </w:tc>
      </w:tr>
      <w:tr w:rsidR="00083390" w:rsidRPr="00083390" w14:paraId="68827F9C" w14:textId="77777777" w:rsidTr="003C6B62">
        <w:trPr>
          <w:trHeight w:val="255"/>
        </w:trPr>
        <w:tc>
          <w:tcPr>
            <w:tcW w:w="1380" w:type="dxa"/>
            <w:tcBorders>
              <w:top w:val="nil"/>
              <w:left w:val="nil"/>
              <w:bottom w:val="nil"/>
              <w:right w:val="nil"/>
            </w:tcBorders>
            <w:shd w:val="clear" w:color="000000" w:fill="FFFFFF"/>
            <w:vAlign w:val="center"/>
            <w:hideMark/>
          </w:tcPr>
          <w:p w14:paraId="327697F4"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(502)</w:t>
            </w:r>
          </w:p>
        </w:tc>
        <w:tc>
          <w:tcPr>
            <w:tcW w:w="4500" w:type="dxa"/>
            <w:tcBorders>
              <w:top w:val="nil"/>
              <w:left w:val="nil"/>
              <w:bottom w:val="nil"/>
              <w:right w:val="nil"/>
            </w:tcBorders>
            <w:shd w:val="clear" w:color="000000" w:fill="FFFFFF"/>
            <w:noWrap/>
            <w:vAlign w:val="center"/>
            <w:hideMark/>
          </w:tcPr>
          <w:p w14:paraId="0AB034ED"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Other Grants</w:t>
            </w:r>
          </w:p>
        </w:tc>
        <w:tc>
          <w:tcPr>
            <w:tcW w:w="1350" w:type="dxa"/>
            <w:tcBorders>
              <w:top w:val="nil"/>
              <w:left w:val="nil"/>
              <w:bottom w:val="nil"/>
              <w:right w:val="nil"/>
            </w:tcBorders>
            <w:shd w:val="clear" w:color="000000" w:fill="CCECFF"/>
            <w:vAlign w:val="center"/>
            <w:hideMark/>
          </w:tcPr>
          <w:p w14:paraId="24EB0DF0"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(88)</w:t>
            </w:r>
          </w:p>
        </w:tc>
      </w:tr>
      <w:tr w:rsidR="00083390" w:rsidRPr="00083390" w14:paraId="4B809EDE" w14:textId="77777777" w:rsidTr="003C6B62">
        <w:trPr>
          <w:trHeight w:val="255"/>
        </w:trPr>
        <w:tc>
          <w:tcPr>
            <w:tcW w:w="1380" w:type="dxa"/>
            <w:tcBorders>
              <w:top w:val="nil"/>
              <w:left w:val="nil"/>
              <w:bottom w:val="nil"/>
              <w:right w:val="nil"/>
            </w:tcBorders>
            <w:shd w:val="clear" w:color="000000" w:fill="FFFFFF"/>
            <w:vAlign w:val="center"/>
            <w:hideMark/>
          </w:tcPr>
          <w:p w14:paraId="71667230"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(15,670)</w:t>
            </w:r>
          </w:p>
        </w:tc>
        <w:tc>
          <w:tcPr>
            <w:tcW w:w="4500" w:type="dxa"/>
            <w:tcBorders>
              <w:top w:val="nil"/>
              <w:left w:val="nil"/>
              <w:bottom w:val="nil"/>
              <w:right w:val="nil"/>
            </w:tcBorders>
            <w:shd w:val="clear" w:color="000000" w:fill="FFFFFF"/>
            <w:noWrap/>
            <w:vAlign w:val="center"/>
            <w:hideMark/>
          </w:tcPr>
          <w:p w14:paraId="02379892"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 Top Up Grant</w:t>
            </w:r>
          </w:p>
        </w:tc>
        <w:tc>
          <w:tcPr>
            <w:tcW w:w="1350" w:type="dxa"/>
            <w:tcBorders>
              <w:top w:val="nil"/>
              <w:left w:val="nil"/>
              <w:bottom w:val="nil"/>
              <w:right w:val="nil"/>
            </w:tcBorders>
            <w:shd w:val="clear" w:color="000000" w:fill="CCECFF"/>
            <w:vAlign w:val="center"/>
            <w:hideMark/>
          </w:tcPr>
          <w:p w14:paraId="29E4D9B4" w14:textId="2E4E30B3"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7E5183">
              <w:rPr>
                <w:rFonts w:eastAsia="Times New Roman" w:cs="Calibri"/>
                <w:color w:val="000000"/>
                <w:szCs w:val="20"/>
                <w:lang w:eastAsia="en-GB"/>
              </w:rPr>
              <w:t>15,973</w:t>
            </w:r>
            <w:r w:rsidRPr="00083390">
              <w:rPr>
                <w:rFonts w:eastAsia="Times New Roman" w:cs="Calibri"/>
                <w:color w:val="000000"/>
                <w:szCs w:val="20"/>
                <w:lang w:eastAsia="en-GB"/>
              </w:rPr>
              <w:t>)</w:t>
            </w:r>
          </w:p>
        </w:tc>
      </w:tr>
      <w:tr w:rsidR="00083390" w:rsidRPr="00083390" w14:paraId="6CE86923" w14:textId="77777777" w:rsidTr="003C6B62">
        <w:trPr>
          <w:trHeight w:val="255"/>
        </w:trPr>
        <w:tc>
          <w:tcPr>
            <w:tcW w:w="1380" w:type="dxa"/>
            <w:tcBorders>
              <w:top w:val="nil"/>
              <w:left w:val="nil"/>
              <w:bottom w:val="nil"/>
              <w:right w:val="nil"/>
            </w:tcBorders>
            <w:shd w:val="clear" w:color="000000" w:fill="FFFFFF"/>
            <w:vAlign w:val="center"/>
            <w:hideMark/>
          </w:tcPr>
          <w:p w14:paraId="205B7847"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(1,288)</w:t>
            </w:r>
          </w:p>
        </w:tc>
        <w:tc>
          <w:tcPr>
            <w:tcW w:w="4500" w:type="dxa"/>
            <w:tcBorders>
              <w:top w:val="nil"/>
              <w:left w:val="nil"/>
              <w:bottom w:val="nil"/>
              <w:right w:val="nil"/>
            </w:tcBorders>
            <w:shd w:val="clear" w:color="000000" w:fill="FFFFFF"/>
            <w:noWrap/>
            <w:vAlign w:val="center"/>
            <w:hideMark/>
          </w:tcPr>
          <w:p w14:paraId="7021F629"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Uplift Grant</w:t>
            </w:r>
          </w:p>
        </w:tc>
        <w:tc>
          <w:tcPr>
            <w:tcW w:w="1350" w:type="dxa"/>
            <w:tcBorders>
              <w:top w:val="nil"/>
              <w:left w:val="nil"/>
              <w:bottom w:val="nil"/>
              <w:right w:val="nil"/>
            </w:tcBorders>
            <w:shd w:val="clear" w:color="000000" w:fill="CCECFF"/>
            <w:vAlign w:val="center"/>
            <w:hideMark/>
          </w:tcPr>
          <w:p w14:paraId="61ED6FD7" w14:textId="4506E541"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4A5641">
              <w:rPr>
                <w:rFonts w:eastAsia="Times New Roman" w:cs="Calibri"/>
                <w:color w:val="000000"/>
                <w:szCs w:val="20"/>
                <w:lang w:eastAsia="en-GB"/>
              </w:rPr>
              <w:t>2,623</w:t>
            </w:r>
            <w:r w:rsidRPr="00083390">
              <w:rPr>
                <w:rFonts w:eastAsia="Times New Roman" w:cs="Calibri"/>
                <w:color w:val="000000"/>
                <w:szCs w:val="20"/>
                <w:lang w:eastAsia="en-GB"/>
              </w:rPr>
              <w:t>)</w:t>
            </w:r>
          </w:p>
        </w:tc>
      </w:tr>
      <w:tr w:rsidR="00083390" w:rsidRPr="00083390" w14:paraId="21A806B7" w14:textId="77777777" w:rsidTr="003C6B62">
        <w:trPr>
          <w:trHeight w:val="255"/>
        </w:trPr>
        <w:tc>
          <w:tcPr>
            <w:tcW w:w="1380" w:type="dxa"/>
            <w:tcBorders>
              <w:top w:val="nil"/>
              <w:left w:val="nil"/>
              <w:bottom w:val="nil"/>
              <w:right w:val="nil"/>
            </w:tcBorders>
            <w:shd w:val="clear" w:color="000000" w:fill="FFFFFF"/>
            <w:vAlign w:val="center"/>
            <w:hideMark/>
          </w:tcPr>
          <w:p w14:paraId="2B166258"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(940)</w:t>
            </w:r>
          </w:p>
        </w:tc>
        <w:tc>
          <w:tcPr>
            <w:tcW w:w="4500" w:type="dxa"/>
            <w:tcBorders>
              <w:top w:val="nil"/>
              <w:left w:val="nil"/>
              <w:bottom w:val="nil"/>
              <w:right w:val="nil"/>
            </w:tcBorders>
            <w:shd w:val="clear" w:color="000000" w:fill="FFFFFF"/>
            <w:noWrap/>
            <w:vAlign w:val="center"/>
            <w:hideMark/>
          </w:tcPr>
          <w:p w14:paraId="14C7A2E9"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Additional Uplift Grant</w:t>
            </w:r>
          </w:p>
        </w:tc>
        <w:tc>
          <w:tcPr>
            <w:tcW w:w="1350" w:type="dxa"/>
            <w:tcBorders>
              <w:top w:val="nil"/>
              <w:left w:val="nil"/>
              <w:bottom w:val="nil"/>
              <w:right w:val="nil"/>
            </w:tcBorders>
            <w:shd w:val="clear" w:color="000000" w:fill="CCECFF"/>
            <w:vAlign w:val="center"/>
            <w:hideMark/>
          </w:tcPr>
          <w:p w14:paraId="49C18F6C" w14:textId="5DBDCD4F" w:rsidR="00083390" w:rsidRPr="00083390" w:rsidRDefault="0052280B" w:rsidP="003C6B62">
            <w:pPr>
              <w:spacing w:line="240" w:lineRule="auto"/>
              <w:jc w:val="right"/>
              <w:rPr>
                <w:rFonts w:eastAsia="Times New Roman" w:cs="Calibri"/>
                <w:color w:val="auto"/>
                <w:szCs w:val="20"/>
                <w:lang w:eastAsia="en-GB"/>
              </w:rPr>
            </w:pPr>
            <w:r>
              <w:rPr>
                <w:rFonts w:eastAsia="Times New Roman" w:cs="Calibri"/>
                <w:color w:val="auto"/>
                <w:szCs w:val="20"/>
                <w:lang w:eastAsia="en-GB"/>
              </w:rPr>
              <w:t>(1,185)</w:t>
            </w:r>
          </w:p>
        </w:tc>
      </w:tr>
      <w:tr w:rsidR="00083390" w:rsidRPr="00083390" w14:paraId="31FC359C" w14:textId="77777777" w:rsidTr="003C6B62">
        <w:trPr>
          <w:trHeight w:val="255"/>
        </w:trPr>
        <w:tc>
          <w:tcPr>
            <w:tcW w:w="1380" w:type="dxa"/>
            <w:tcBorders>
              <w:top w:val="nil"/>
              <w:left w:val="nil"/>
              <w:bottom w:val="nil"/>
              <w:right w:val="nil"/>
            </w:tcBorders>
            <w:shd w:val="clear" w:color="000000" w:fill="FFFFFF"/>
            <w:vAlign w:val="center"/>
            <w:hideMark/>
          </w:tcPr>
          <w:p w14:paraId="4616643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(1,273)</w:t>
            </w:r>
          </w:p>
        </w:tc>
        <w:tc>
          <w:tcPr>
            <w:tcW w:w="4500" w:type="dxa"/>
            <w:tcBorders>
              <w:top w:val="nil"/>
              <w:left w:val="nil"/>
              <w:bottom w:val="nil"/>
              <w:right w:val="nil"/>
            </w:tcBorders>
            <w:shd w:val="clear" w:color="000000" w:fill="FFFFFF"/>
            <w:noWrap/>
            <w:vAlign w:val="center"/>
            <w:hideMark/>
          </w:tcPr>
          <w:p w14:paraId="640F3B44"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Pensions Grant</w:t>
            </w:r>
          </w:p>
        </w:tc>
        <w:tc>
          <w:tcPr>
            <w:tcW w:w="1350" w:type="dxa"/>
            <w:tcBorders>
              <w:top w:val="nil"/>
              <w:left w:val="nil"/>
              <w:bottom w:val="nil"/>
              <w:right w:val="nil"/>
            </w:tcBorders>
            <w:shd w:val="clear" w:color="000000" w:fill="CCECFF"/>
            <w:vAlign w:val="center"/>
            <w:hideMark/>
          </w:tcPr>
          <w:p w14:paraId="37617CC4" w14:textId="3FEC61D6"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w:t>
            </w:r>
            <w:r w:rsidR="007E5183">
              <w:rPr>
                <w:rFonts w:eastAsia="Times New Roman" w:cs="Calibri"/>
                <w:color w:val="000000"/>
                <w:szCs w:val="20"/>
                <w:lang w:eastAsia="en-GB"/>
              </w:rPr>
              <w:t>1,273</w:t>
            </w:r>
            <w:r w:rsidRPr="00083390">
              <w:rPr>
                <w:rFonts w:eastAsia="Times New Roman" w:cs="Calibri"/>
                <w:color w:val="000000"/>
                <w:szCs w:val="20"/>
                <w:lang w:eastAsia="en-GB"/>
              </w:rPr>
              <w:t>)</w:t>
            </w:r>
          </w:p>
        </w:tc>
      </w:tr>
      <w:tr w:rsidR="00083390" w:rsidRPr="00083390" w14:paraId="4882CBAA" w14:textId="77777777" w:rsidTr="003C6B62">
        <w:trPr>
          <w:trHeight w:val="255"/>
        </w:trPr>
        <w:tc>
          <w:tcPr>
            <w:tcW w:w="1380" w:type="dxa"/>
            <w:tcBorders>
              <w:top w:val="nil"/>
              <w:left w:val="nil"/>
              <w:bottom w:val="nil"/>
              <w:right w:val="nil"/>
            </w:tcBorders>
            <w:shd w:val="clear" w:color="000000" w:fill="FFFFFF"/>
            <w:vAlign w:val="center"/>
            <w:hideMark/>
          </w:tcPr>
          <w:p w14:paraId="33A1634F"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516BAC08"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Safer Streets Grant</w:t>
            </w:r>
          </w:p>
        </w:tc>
        <w:tc>
          <w:tcPr>
            <w:tcW w:w="1350" w:type="dxa"/>
            <w:tcBorders>
              <w:top w:val="nil"/>
              <w:left w:val="nil"/>
              <w:bottom w:val="nil"/>
              <w:right w:val="nil"/>
            </w:tcBorders>
            <w:shd w:val="clear" w:color="000000" w:fill="CCECFF"/>
            <w:vAlign w:val="center"/>
            <w:hideMark/>
          </w:tcPr>
          <w:p w14:paraId="2AB3A30C"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3058DFD" w14:textId="77777777" w:rsidTr="003C6B62">
        <w:trPr>
          <w:trHeight w:val="255"/>
        </w:trPr>
        <w:tc>
          <w:tcPr>
            <w:tcW w:w="1380" w:type="dxa"/>
            <w:tcBorders>
              <w:top w:val="nil"/>
              <w:left w:val="nil"/>
              <w:bottom w:val="nil"/>
              <w:right w:val="nil"/>
            </w:tcBorders>
            <w:shd w:val="clear" w:color="000000" w:fill="FFFFFF"/>
            <w:vAlign w:val="center"/>
            <w:hideMark/>
          </w:tcPr>
          <w:p w14:paraId="5CCC1D7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1D931681"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Pay Award Grant</w:t>
            </w:r>
          </w:p>
        </w:tc>
        <w:tc>
          <w:tcPr>
            <w:tcW w:w="1350" w:type="dxa"/>
            <w:tcBorders>
              <w:top w:val="nil"/>
              <w:left w:val="nil"/>
              <w:bottom w:val="nil"/>
              <w:right w:val="nil"/>
            </w:tcBorders>
            <w:shd w:val="clear" w:color="000000" w:fill="CCECFF"/>
            <w:vAlign w:val="center"/>
            <w:hideMark/>
          </w:tcPr>
          <w:p w14:paraId="2ED31626"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(3,148)</w:t>
            </w:r>
          </w:p>
        </w:tc>
      </w:tr>
      <w:tr w:rsidR="00083390" w:rsidRPr="00083390" w14:paraId="41CBDCCF" w14:textId="77777777" w:rsidTr="003C6B62">
        <w:trPr>
          <w:trHeight w:val="255"/>
        </w:trPr>
        <w:tc>
          <w:tcPr>
            <w:tcW w:w="1380" w:type="dxa"/>
            <w:tcBorders>
              <w:top w:val="nil"/>
              <w:left w:val="nil"/>
              <w:bottom w:val="nil"/>
              <w:right w:val="nil"/>
            </w:tcBorders>
            <w:shd w:val="clear" w:color="000000" w:fill="FFFFFF"/>
            <w:vAlign w:val="center"/>
            <w:hideMark/>
          </w:tcPr>
          <w:p w14:paraId="3725091D"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22DB6E16"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Ministry of Justice</w:t>
            </w:r>
          </w:p>
        </w:tc>
        <w:tc>
          <w:tcPr>
            <w:tcW w:w="1350" w:type="dxa"/>
            <w:tcBorders>
              <w:top w:val="nil"/>
              <w:left w:val="nil"/>
              <w:bottom w:val="nil"/>
              <w:right w:val="nil"/>
            </w:tcBorders>
            <w:shd w:val="clear" w:color="000000" w:fill="CCECFF"/>
            <w:vAlign w:val="center"/>
            <w:hideMark/>
          </w:tcPr>
          <w:p w14:paraId="571AFF95"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B129D78" w14:textId="77777777" w:rsidTr="003C6B62">
        <w:trPr>
          <w:trHeight w:val="255"/>
        </w:trPr>
        <w:tc>
          <w:tcPr>
            <w:tcW w:w="1380" w:type="dxa"/>
            <w:tcBorders>
              <w:top w:val="nil"/>
              <w:left w:val="nil"/>
              <w:bottom w:val="nil"/>
              <w:right w:val="nil"/>
            </w:tcBorders>
            <w:shd w:val="clear" w:color="000000" w:fill="FFFFFF"/>
            <w:vAlign w:val="center"/>
            <w:hideMark/>
          </w:tcPr>
          <w:p w14:paraId="44E2B755"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(22)</w:t>
            </w:r>
          </w:p>
        </w:tc>
        <w:tc>
          <w:tcPr>
            <w:tcW w:w="4500" w:type="dxa"/>
            <w:tcBorders>
              <w:top w:val="nil"/>
              <w:left w:val="nil"/>
              <w:bottom w:val="nil"/>
              <w:right w:val="nil"/>
            </w:tcBorders>
            <w:shd w:val="clear" w:color="000000" w:fill="FFFFFF"/>
            <w:noWrap/>
            <w:vAlign w:val="center"/>
            <w:hideMark/>
          </w:tcPr>
          <w:p w14:paraId="48A01251"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ESN S31 Grant</w:t>
            </w:r>
          </w:p>
        </w:tc>
        <w:tc>
          <w:tcPr>
            <w:tcW w:w="1350" w:type="dxa"/>
            <w:tcBorders>
              <w:top w:val="nil"/>
              <w:left w:val="nil"/>
              <w:bottom w:val="nil"/>
              <w:right w:val="nil"/>
            </w:tcBorders>
            <w:shd w:val="clear" w:color="000000" w:fill="CCECFF"/>
            <w:vAlign w:val="center"/>
            <w:hideMark/>
          </w:tcPr>
          <w:p w14:paraId="3FEB907B"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F184472" w14:textId="77777777" w:rsidTr="003C6B62">
        <w:trPr>
          <w:trHeight w:val="255"/>
        </w:trPr>
        <w:tc>
          <w:tcPr>
            <w:tcW w:w="1380" w:type="dxa"/>
            <w:tcBorders>
              <w:top w:val="nil"/>
              <w:left w:val="nil"/>
              <w:bottom w:val="nil"/>
              <w:right w:val="nil"/>
            </w:tcBorders>
            <w:shd w:val="clear" w:color="000000" w:fill="FFFFFF"/>
            <w:vAlign w:val="center"/>
            <w:hideMark/>
          </w:tcPr>
          <w:p w14:paraId="242FD5D1"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(5)</w:t>
            </w:r>
          </w:p>
        </w:tc>
        <w:tc>
          <w:tcPr>
            <w:tcW w:w="4500" w:type="dxa"/>
            <w:tcBorders>
              <w:top w:val="nil"/>
              <w:left w:val="nil"/>
              <w:bottom w:val="nil"/>
              <w:right w:val="nil"/>
            </w:tcBorders>
            <w:shd w:val="clear" w:color="000000" w:fill="FFFFFF"/>
            <w:noWrap/>
            <w:vAlign w:val="center"/>
            <w:hideMark/>
          </w:tcPr>
          <w:p w14:paraId="5A2A88DE"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Redmond Review Grant</w:t>
            </w:r>
          </w:p>
        </w:tc>
        <w:tc>
          <w:tcPr>
            <w:tcW w:w="1350" w:type="dxa"/>
            <w:tcBorders>
              <w:top w:val="nil"/>
              <w:left w:val="nil"/>
              <w:bottom w:val="nil"/>
              <w:right w:val="nil"/>
            </w:tcBorders>
            <w:shd w:val="clear" w:color="000000" w:fill="CCECFF"/>
            <w:vAlign w:val="center"/>
            <w:hideMark/>
          </w:tcPr>
          <w:p w14:paraId="2CD1939A"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5DF6FF5A" w14:textId="77777777" w:rsidTr="003C6B62">
        <w:trPr>
          <w:trHeight w:val="255"/>
        </w:trPr>
        <w:tc>
          <w:tcPr>
            <w:tcW w:w="1380" w:type="dxa"/>
            <w:tcBorders>
              <w:top w:val="nil"/>
              <w:left w:val="nil"/>
              <w:bottom w:val="nil"/>
              <w:right w:val="nil"/>
            </w:tcBorders>
            <w:shd w:val="clear" w:color="000000" w:fill="FFFFFF"/>
            <w:vAlign w:val="center"/>
            <w:hideMark/>
          </w:tcPr>
          <w:p w14:paraId="6106D0E2"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500" w:type="dxa"/>
            <w:tcBorders>
              <w:top w:val="nil"/>
              <w:left w:val="nil"/>
              <w:bottom w:val="nil"/>
              <w:right w:val="nil"/>
            </w:tcBorders>
            <w:shd w:val="clear" w:color="000000" w:fill="FFFFFF"/>
            <w:noWrap/>
            <w:vAlign w:val="center"/>
            <w:hideMark/>
          </w:tcPr>
          <w:p w14:paraId="5D885786" w14:textId="77777777" w:rsidR="00083390" w:rsidRPr="00083390" w:rsidRDefault="00083390" w:rsidP="003C6B62">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Victims Grant</w:t>
            </w:r>
          </w:p>
        </w:tc>
        <w:tc>
          <w:tcPr>
            <w:tcW w:w="1350" w:type="dxa"/>
            <w:tcBorders>
              <w:top w:val="nil"/>
              <w:left w:val="nil"/>
              <w:bottom w:val="nil"/>
              <w:right w:val="nil"/>
            </w:tcBorders>
            <w:shd w:val="clear" w:color="000000" w:fill="CCECFF"/>
            <w:vAlign w:val="center"/>
            <w:hideMark/>
          </w:tcPr>
          <w:p w14:paraId="52929F52" w14:textId="77777777" w:rsidR="00083390" w:rsidRPr="00083390" w:rsidRDefault="00083390" w:rsidP="003C6B62">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75A6FEE8" w14:textId="77777777" w:rsidTr="003C6B62">
        <w:trPr>
          <w:trHeight w:val="255"/>
        </w:trPr>
        <w:tc>
          <w:tcPr>
            <w:tcW w:w="1380" w:type="dxa"/>
            <w:tcBorders>
              <w:top w:val="single" w:sz="4" w:space="0" w:color="auto"/>
              <w:left w:val="nil"/>
              <w:bottom w:val="single" w:sz="4" w:space="0" w:color="auto"/>
              <w:right w:val="nil"/>
            </w:tcBorders>
            <w:shd w:val="clear" w:color="000000" w:fill="FFFFFF"/>
            <w:vAlign w:val="center"/>
            <w:hideMark/>
          </w:tcPr>
          <w:p w14:paraId="67AF157B" w14:textId="77777777" w:rsidR="00083390" w:rsidRPr="00083390" w:rsidRDefault="00083390" w:rsidP="003C6B62">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(20,741)</w:t>
            </w:r>
          </w:p>
        </w:tc>
        <w:tc>
          <w:tcPr>
            <w:tcW w:w="4500" w:type="dxa"/>
            <w:tcBorders>
              <w:top w:val="single" w:sz="4" w:space="0" w:color="auto"/>
              <w:left w:val="nil"/>
              <w:bottom w:val="single" w:sz="4" w:space="0" w:color="auto"/>
              <w:right w:val="nil"/>
            </w:tcBorders>
            <w:shd w:val="clear" w:color="000000" w:fill="FFFFFF"/>
            <w:noWrap/>
            <w:vAlign w:val="center"/>
            <w:hideMark/>
          </w:tcPr>
          <w:p w14:paraId="42D7FE34" w14:textId="77777777" w:rsidR="00083390" w:rsidRPr="00083390" w:rsidRDefault="00083390" w:rsidP="00F0480F">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1350" w:type="dxa"/>
            <w:tcBorders>
              <w:top w:val="single" w:sz="4" w:space="0" w:color="auto"/>
              <w:left w:val="nil"/>
              <w:bottom w:val="single" w:sz="4" w:space="0" w:color="auto"/>
              <w:right w:val="nil"/>
            </w:tcBorders>
            <w:shd w:val="clear" w:color="000000" w:fill="CCECFF"/>
            <w:vAlign w:val="center"/>
            <w:hideMark/>
          </w:tcPr>
          <w:p w14:paraId="733FE7A8" w14:textId="1E0BA80B" w:rsidR="00083390" w:rsidRPr="00083390" w:rsidRDefault="00083390" w:rsidP="003C6B62">
            <w:pPr>
              <w:spacing w:line="240" w:lineRule="auto"/>
              <w:jc w:val="right"/>
              <w:rPr>
                <w:rFonts w:eastAsia="Times New Roman" w:cs="Calibri"/>
                <w:b/>
                <w:bCs/>
                <w:color w:val="auto"/>
                <w:szCs w:val="20"/>
                <w:lang w:eastAsia="en-GB"/>
              </w:rPr>
            </w:pPr>
            <w:r w:rsidRPr="00083390">
              <w:rPr>
                <w:rFonts w:eastAsia="Times New Roman" w:cs="Calibri"/>
                <w:b/>
                <w:bCs/>
                <w:color w:val="000000"/>
                <w:szCs w:val="20"/>
                <w:lang w:eastAsia="en-GB"/>
              </w:rPr>
              <w:t>(2</w:t>
            </w:r>
            <w:r w:rsidR="0052280B">
              <w:rPr>
                <w:rFonts w:eastAsia="Times New Roman" w:cs="Calibri"/>
                <w:b/>
                <w:bCs/>
                <w:color w:val="000000"/>
                <w:szCs w:val="20"/>
                <w:lang w:eastAsia="en-GB"/>
              </w:rPr>
              <w:t>5</w:t>
            </w:r>
            <w:r w:rsidRPr="00083390">
              <w:rPr>
                <w:rFonts w:eastAsia="Times New Roman" w:cs="Calibri"/>
                <w:b/>
                <w:bCs/>
                <w:color w:val="000000"/>
                <w:szCs w:val="20"/>
                <w:lang w:eastAsia="en-GB"/>
              </w:rPr>
              <w:t>,</w:t>
            </w:r>
            <w:r w:rsidR="0052280B">
              <w:rPr>
                <w:rFonts w:eastAsia="Times New Roman" w:cs="Calibri"/>
                <w:b/>
                <w:bCs/>
                <w:color w:val="000000"/>
                <w:szCs w:val="20"/>
                <w:lang w:eastAsia="en-GB"/>
              </w:rPr>
              <w:t>599</w:t>
            </w:r>
            <w:r w:rsidRPr="00083390">
              <w:rPr>
                <w:rFonts w:eastAsia="Times New Roman" w:cs="Calibri"/>
                <w:b/>
                <w:bCs/>
                <w:color w:val="000000"/>
                <w:szCs w:val="20"/>
                <w:lang w:eastAsia="en-GB"/>
              </w:rPr>
              <w:t>)</w:t>
            </w:r>
          </w:p>
        </w:tc>
      </w:tr>
    </w:tbl>
    <w:p w14:paraId="27DAA546" w14:textId="247AE978" w:rsidR="008D475F" w:rsidRPr="00653D20" w:rsidRDefault="008D475F" w:rsidP="0058193A"/>
    <w:p w14:paraId="14081D5D" w14:textId="6FF58D04" w:rsidR="002522D4" w:rsidRPr="00792A85" w:rsidRDefault="002522D4" w:rsidP="00EB49F7">
      <w:pPr>
        <w:pStyle w:val="NoteHeader"/>
      </w:pPr>
      <w:bookmarkStart w:id="145" w:name="_Toc517077291"/>
      <w:bookmarkStart w:id="146" w:name="_Toc9272516"/>
      <w:bookmarkStart w:id="147" w:name="_Toc9592063"/>
      <w:bookmarkStart w:id="148" w:name="_Toc191457331"/>
      <w:r w:rsidRPr="00792A85">
        <w:t>Note 15 - Related Parties</w:t>
      </w:r>
      <w:bookmarkEnd w:id="145"/>
      <w:bookmarkEnd w:id="146"/>
      <w:bookmarkEnd w:id="147"/>
      <w:bookmarkEnd w:id="148"/>
      <w:r w:rsidRPr="00792A85">
        <w:t xml:space="preserve"> </w:t>
      </w:r>
    </w:p>
    <w:p w14:paraId="4E126069" w14:textId="77777777" w:rsidR="00AD4C8C" w:rsidRPr="00792A85" w:rsidRDefault="00AD4C8C" w:rsidP="00AD4C8C"/>
    <w:p w14:paraId="320986FE" w14:textId="77777777" w:rsidR="00AD4C8C" w:rsidRDefault="00AD4C8C" w:rsidP="00AD4C8C">
      <w:r>
        <w:t>IPSAS20 Related Party Disclosures, based on IAS24, requires the OCC to disclose material transactions and outstanding balances with related parties – bodies or individuals that have the potential to control or influence the OCC or to be controlled or influenced by the OCC.</w:t>
      </w:r>
    </w:p>
    <w:p w14:paraId="328C98DD" w14:textId="77777777" w:rsidR="00AD4C8C" w:rsidRDefault="00AD4C8C" w:rsidP="00AD4C8C"/>
    <w:p w14:paraId="56D120EA" w14:textId="77777777" w:rsidR="00AD4C8C" w:rsidRDefault="00AD4C8C" w:rsidP="00AD4C8C">
      <w:r>
        <w:t>Central Government has effective control over the general operations of the OPFCC and therefore the OCC.  It is responsible for providing the statutory framework within which the Group operates and provides the majority of funding in the form of general or specific grants.  Details of government grants are set out in Note 14 to the Core Financial Statements.</w:t>
      </w:r>
    </w:p>
    <w:p w14:paraId="2FE8878D" w14:textId="77777777" w:rsidR="00AD4C8C" w:rsidRDefault="00AD4C8C" w:rsidP="00AD4C8C"/>
    <w:p w14:paraId="06A4FE33" w14:textId="77777777" w:rsidR="00AD4C8C" w:rsidRDefault="00AD4C8C" w:rsidP="00AD4C8C">
      <w:pPr>
        <w:autoSpaceDE w:val="0"/>
        <w:autoSpaceDN w:val="0"/>
        <w:adjustRightInd w:val="0"/>
        <w:rPr>
          <w:rFonts w:cs="Arial"/>
        </w:rPr>
      </w:pPr>
      <w:r>
        <w:rPr>
          <w:rFonts w:cs="Arial"/>
        </w:rPr>
        <w:t xml:space="preserve">NCFRA (Fire) and Police collaborate on operational and non-operational activities.  Shared support services teams are in </w:t>
      </w:r>
      <w:r w:rsidRPr="00DB32A6">
        <w:rPr>
          <w:rFonts w:cs="Arial"/>
        </w:rPr>
        <w:t xml:space="preserve">place for a number of services and shared accommodation in Darby House. During 2023/24, net </w:t>
      </w:r>
      <w:r>
        <w:rPr>
          <w:rFonts w:cs="Arial"/>
        </w:rPr>
        <w:t>revenue costs</w:t>
      </w:r>
      <w:r w:rsidRPr="00DB32A6">
        <w:rPr>
          <w:rFonts w:cs="Arial"/>
        </w:rPr>
        <w:t xml:space="preserve"> of £2.755m</w:t>
      </w:r>
      <w:r>
        <w:rPr>
          <w:rFonts w:cs="Arial"/>
        </w:rPr>
        <w:t xml:space="preserve"> were charged by Police to NCFRA.</w:t>
      </w:r>
    </w:p>
    <w:p w14:paraId="02B89311" w14:textId="77777777" w:rsidR="00AD4C8C" w:rsidRDefault="00AD4C8C" w:rsidP="00AD4C8C">
      <w:pPr>
        <w:autoSpaceDE w:val="0"/>
        <w:autoSpaceDN w:val="0"/>
        <w:adjustRightInd w:val="0"/>
        <w:rPr>
          <w:rFonts w:cs="Arial"/>
        </w:rPr>
      </w:pPr>
    </w:p>
    <w:p w14:paraId="7DEEB0EA" w14:textId="77777777" w:rsidR="00AD4C8C" w:rsidRDefault="00AD4C8C" w:rsidP="00AD4C8C">
      <w:pPr>
        <w:autoSpaceDE w:val="0"/>
        <w:autoSpaceDN w:val="0"/>
        <w:adjustRightInd w:val="0"/>
        <w:rPr>
          <w:rFonts w:cs="Arial"/>
        </w:rPr>
      </w:pPr>
      <w:r>
        <w:rPr>
          <w:rFonts w:cs="Arial"/>
        </w:rPr>
        <w:t>A separate collaboration agreement is in place which sets out the governance arrangements for existing and future collaborative activities between OPFCC, the Chief Constable (CC) and NCFRA.  This agreement is due to be reviewed in 2024/25.</w:t>
      </w:r>
    </w:p>
    <w:p w14:paraId="4905F4A0" w14:textId="77777777" w:rsidR="00AD4C8C" w:rsidRDefault="00AD4C8C" w:rsidP="00AD4C8C">
      <w:pPr>
        <w:autoSpaceDE w:val="0"/>
        <w:autoSpaceDN w:val="0"/>
        <w:adjustRightInd w:val="0"/>
      </w:pPr>
    </w:p>
    <w:p w14:paraId="04867306" w14:textId="77777777" w:rsidR="00AD4C8C" w:rsidRDefault="00AD4C8C" w:rsidP="00AD4C8C">
      <w:r>
        <w:t>Both the OPFCC and the OCC maintain a register of business interests, and the Business Interest Policy sets out the criteria for deciding whether the Business Interest is compatible with the individual’s role within the organisation.</w:t>
      </w:r>
    </w:p>
    <w:p w14:paraId="34F758F0" w14:textId="77777777" w:rsidR="00AD4C8C" w:rsidRDefault="00AD4C8C" w:rsidP="00AD4C8C"/>
    <w:p w14:paraId="101BCC07" w14:textId="77777777" w:rsidR="00AD4C8C" w:rsidRPr="00DB0EE4" w:rsidRDefault="00AD4C8C" w:rsidP="00AD4C8C">
      <w:r>
        <w:t xml:space="preserve">Key members of staff in the OPFCC, JIAC and Police are required, at the end of each year, to declare whether they, or any member of their immediate family have any related party transactions (i.e. significant financial dealings) with the OPFCC during the financial </w:t>
      </w:r>
      <w:r w:rsidRPr="00DB0EE4">
        <w:t>year.  All returns and disclosures were received and reviewed by both s151 officers.</w:t>
      </w:r>
    </w:p>
    <w:p w14:paraId="156EDE0B" w14:textId="77777777" w:rsidR="00AD4C8C" w:rsidRPr="00DB0EE4" w:rsidRDefault="00AD4C8C" w:rsidP="00AD4C8C"/>
    <w:p w14:paraId="594919FF" w14:textId="77777777" w:rsidR="00AD4C8C" w:rsidRPr="00DB0EE4" w:rsidRDefault="00AD4C8C" w:rsidP="00AD4C8C">
      <w:bookmarkStart w:id="149" w:name="_Hlk135148005"/>
      <w:r w:rsidRPr="00DB0EE4">
        <w:t>A review of accounts payable and receivable transactions has been undertaken which confirms that no payments have been made to or from employees of the organisations other than in line with contracts of employment.</w:t>
      </w:r>
    </w:p>
    <w:bookmarkEnd w:id="149"/>
    <w:p w14:paraId="647728D8" w14:textId="77777777" w:rsidR="00AD4C8C" w:rsidRPr="00DB0EE4" w:rsidRDefault="00AD4C8C" w:rsidP="00AD4C8C"/>
    <w:p w14:paraId="4A66E52C" w14:textId="4844E716" w:rsidR="00AD4C8C" w:rsidRPr="00792A85" w:rsidRDefault="00AD4C8C" w:rsidP="00AD4C8C">
      <w:r w:rsidRPr="00DB0EE4">
        <w:t>Northamptonshire Police and the PFCC work closely with Regional</w:t>
      </w:r>
      <w:r>
        <w:t xml:space="preserve"> and National and other public sector partners in the course of their business</w:t>
      </w:r>
      <w:r w:rsidRPr="00792A85">
        <w:t xml:space="preserve"> </w:t>
      </w:r>
      <w:r>
        <w:t xml:space="preserve">(see </w:t>
      </w:r>
      <w:r w:rsidRPr="00792A85">
        <w:t>Note 40</w:t>
      </w:r>
      <w:r>
        <w:t>)</w:t>
      </w:r>
      <w:r w:rsidR="00BC5C33">
        <w:t>.</w:t>
      </w:r>
    </w:p>
    <w:p w14:paraId="316F13C2" w14:textId="77777777" w:rsidR="005433C7" w:rsidRPr="00535CA2" w:rsidRDefault="005433C7" w:rsidP="00EB49F7">
      <w:pPr>
        <w:rPr>
          <w:lang w:val="en-AU"/>
        </w:rPr>
      </w:pPr>
    </w:p>
    <w:p w14:paraId="0D55CBFA" w14:textId="0E1E976D" w:rsidR="002522D4" w:rsidRPr="00535CA2" w:rsidRDefault="002522D4" w:rsidP="00EB49F7">
      <w:pPr>
        <w:pStyle w:val="NoteHeader"/>
        <w:rPr>
          <w:lang w:val="pt-BR"/>
        </w:rPr>
      </w:pPr>
      <w:bookmarkStart w:id="150" w:name="_Toc517077292"/>
      <w:bookmarkStart w:id="151" w:name="_Toc9272517"/>
      <w:bookmarkStart w:id="152" w:name="_Toc9592064"/>
      <w:bookmarkStart w:id="153" w:name="_Toc109632215"/>
      <w:bookmarkStart w:id="154" w:name="_Toc191457332"/>
      <w:r w:rsidRPr="00535CA2">
        <w:rPr>
          <w:lang w:val="pt-BR"/>
        </w:rPr>
        <w:lastRenderedPageBreak/>
        <w:t>Note 16 - Transfers to/from Earmarked Reserves</w:t>
      </w:r>
      <w:bookmarkEnd w:id="150"/>
      <w:bookmarkEnd w:id="151"/>
      <w:bookmarkEnd w:id="152"/>
      <w:bookmarkEnd w:id="153"/>
      <w:bookmarkEnd w:id="154"/>
    </w:p>
    <w:p w14:paraId="2F7EE8C6" w14:textId="77777777" w:rsidR="002522D4" w:rsidRPr="00535CA2" w:rsidRDefault="002522D4" w:rsidP="00EB49F7">
      <w:pPr>
        <w:rPr>
          <w:lang w:val="pt-BR"/>
        </w:rPr>
      </w:pPr>
    </w:p>
    <w:p w14:paraId="32B4BB30" w14:textId="77777777" w:rsidR="008E12FD" w:rsidRPr="00535CA2" w:rsidRDefault="008E12FD" w:rsidP="008E12FD">
      <w:pPr>
        <w:pStyle w:val="T1TableStyle"/>
        <w:rPr>
          <w:rFonts w:ascii="Verdana" w:eastAsia="Calibri" w:hAnsi="Verdana" w:cs="Arial"/>
          <w:sz w:val="20"/>
          <w:szCs w:val="20"/>
          <w:lang w:val="pt-BR"/>
        </w:rPr>
      </w:pPr>
      <w:r w:rsidRPr="00535CA2">
        <w:rPr>
          <w:noProof/>
          <w:sz w:val="20"/>
          <w:szCs w:val="20"/>
          <w:lang w:val="en-GB" w:eastAsia="en-GB"/>
        </w:rPr>
        <w:t>Refer to Note 1</w:t>
      </w:r>
      <w:r w:rsidR="009E752A" w:rsidRPr="00535CA2">
        <w:rPr>
          <w:noProof/>
          <w:sz w:val="20"/>
          <w:szCs w:val="20"/>
          <w:lang w:val="en-GB" w:eastAsia="en-GB"/>
        </w:rPr>
        <w:t>6</w:t>
      </w:r>
      <w:r w:rsidRPr="00535CA2">
        <w:rPr>
          <w:noProof/>
          <w:sz w:val="20"/>
          <w:szCs w:val="20"/>
          <w:lang w:val="en-GB" w:eastAsia="en-GB"/>
        </w:rPr>
        <w:t xml:space="preserve"> Office of the Police, Fire &amp; Crime Commissioner (OPFCC) Statement of Accounts.</w:t>
      </w:r>
    </w:p>
    <w:p w14:paraId="0CE6FDFA" w14:textId="77777777" w:rsidR="00D1044E" w:rsidRDefault="00D1044E" w:rsidP="00D1044E">
      <w:pPr>
        <w:rPr>
          <w:lang w:val="pt-BR"/>
        </w:rPr>
      </w:pPr>
      <w:bookmarkStart w:id="155" w:name="_Toc517077293"/>
      <w:bookmarkStart w:id="156" w:name="_Toc9272518"/>
      <w:bookmarkStart w:id="157" w:name="_Toc9592065"/>
      <w:bookmarkStart w:id="158" w:name="_Toc109632216"/>
    </w:p>
    <w:p w14:paraId="6C09EC04" w14:textId="04BDC034" w:rsidR="002522D4" w:rsidRDefault="002522D4" w:rsidP="00EB49F7">
      <w:pPr>
        <w:pStyle w:val="NoteHeader"/>
        <w:rPr>
          <w:lang w:val="pt-BR"/>
        </w:rPr>
      </w:pPr>
      <w:bookmarkStart w:id="159" w:name="_Toc191457333"/>
      <w:r w:rsidRPr="00D200C9">
        <w:rPr>
          <w:lang w:val="pt-BR"/>
        </w:rPr>
        <w:t>Note 17 - Unusable Reserves</w:t>
      </w:r>
      <w:bookmarkEnd w:id="155"/>
      <w:bookmarkEnd w:id="156"/>
      <w:bookmarkEnd w:id="157"/>
      <w:bookmarkEnd w:id="158"/>
      <w:bookmarkEnd w:id="159"/>
    </w:p>
    <w:p w14:paraId="53B04F96" w14:textId="15F16AB7" w:rsidR="001D2D0F" w:rsidRPr="00D200C9" w:rsidRDefault="001D2D0F" w:rsidP="001D2D0F">
      <w:pPr>
        <w:rPr>
          <w:lang w:val="pt-BR"/>
        </w:rPr>
      </w:pPr>
    </w:p>
    <w:tbl>
      <w:tblPr>
        <w:tblW w:w="6700" w:type="dxa"/>
        <w:tblLook w:val="04A0" w:firstRow="1" w:lastRow="0" w:firstColumn="1" w:lastColumn="0" w:noHBand="0" w:noVBand="1"/>
      </w:tblPr>
      <w:tblGrid>
        <w:gridCol w:w="1140"/>
        <w:gridCol w:w="4420"/>
        <w:gridCol w:w="1140"/>
      </w:tblGrid>
      <w:tr w:rsidR="00083390" w:rsidRPr="00083390" w14:paraId="6923C82F" w14:textId="77777777" w:rsidTr="00083390">
        <w:trPr>
          <w:trHeight w:val="300"/>
        </w:trPr>
        <w:tc>
          <w:tcPr>
            <w:tcW w:w="1140" w:type="dxa"/>
            <w:tcBorders>
              <w:top w:val="nil"/>
              <w:left w:val="nil"/>
              <w:bottom w:val="nil"/>
              <w:right w:val="nil"/>
            </w:tcBorders>
            <w:shd w:val="clear" w:color="000000" w:fill="000099"/>
            <w:vAlign w:val="bottom"/>
            <w:hideMark/>
          </w:tcPr>
          <w:p w14:paraId="6FE4EF6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3CC0C1F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49DE1DA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000E7663" w14:textId="77777777" w:rsidTr="00083390">
        <w:trPr>
          <w:trHeight w:val="300"/>
        </w:trPr>
        <w:tc>
          <w:tcPr>
            <w:tcW w:w="1140" w:type="dxa"/>
            <w:tcBorders>
              <w:top w:val="nil"/>
              <w:left w:val="nil"/>
              <w:bottom w:val="nil"/>
              <w:right w:val="nil"/>
            </w:tcBorders>
            <w:shd w:val="clear" w:color="000000" w:fill="000099"/>
            <w:vAlign w:val="bottom"/>
            <w:hideMark/>
          </w:tcPr>
          <w:p w14:paraId="1CC3A85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191DCF59"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27A85696"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4FEB54EB" w14:textId="77777777" w:rsidTr="00083390">
        <w:trPr>
          <w:trHeight w:val="300"/>
        </w:trPr>
        <w:tc>
          <w:tcPr>
            <w:tcW w:w="1140" w:type="dxa"/>
            <w:tcBorders>
              <w:top w:val="nil"/>
              <w:left w:val="nil"/>
              <w:bottom w:val="nil"/>
              <w:right w:val="nil"/>
            </w:tcBorders>
            <w:shd w:val="clear" w:color="000000" w:fill="FFFFFF"/>
            <w:vAlign w:val="bottom"/>
            <w:hideMark/>
          </w:tcPr>
          <w:p w14:paraId="45E068C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4D20E965"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Revaluation Reserve</w:t>
            </w:r>
          </w:p>
        </w:tc>
        <w:tc>
          <w:tcPr>
            <w:tcW w:w="1140" w:type="dxa"/>
            <w:tcBorders>
              <w:top w:val="nil"/>
              <w:left w:val="nil"/>
              <w:bottom w:val="nil"/>
              <w:right w:val="nil"/>
            </w:tcBorders>
            <w:shd w:val="clear" w:color="000000" w:fill="CCECFF"/>
            <w:vAlign w:val="bottom"/>
            <w:hideMark/>
          </w:tcPr>
          <w:p w14:paraId="02A6B14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25033EB3" w14:textId="77777777" w:rsidTr="00083390">
        <w:trPr>
          <w:trHeight w:val="300"/>
        </w:trPr>
        <w:tc>
          <w:tcPr>
            <w:tcW w:w="1140" w:type="dxa"/>
            <w:tcBorders>
              <w:top w:val="nil"/>
              <w:left w:val="nil"/>
              <w:bottom w:val="nil"/>
              <w:right w:val="nil"/>
            </w:tcBorders>
            <w:shd w:val="clear" w:color="000000" w:fill="FFFFFF"/>
            <w:vAlign w:val="bottom"/>
            <w:hideMark/>
          </w:tcPr>
          <w:p w14:paraId="1225A5B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495284D7"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Capital Adjustment Account</w:t>
            </w:r>
          </w:p>
        </w:tc>
        <w:tc>
          <w:tcPr>
            <w:tcW w:w="1140" w:type="dxa"/>
            <w:tcBorders>
              <w:top w:val="nil"/>
              <w:left w:val="nil"/>
              <w:bottom w:val="nil"/>
              <w:right w:val="nil"/>
            </w:tcBorders>
            <w:shd w:val="clear" w:color="000000" w:fill="CCECFF"/>
            <w:vAlign w:val="bottom"/>
            <w:hideMark/>
          </w:tcPr>
          <w:p w14:paraId="7DBF0A83"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4FB86F8A" w14:textId="77777777" w:rsidTr="00083390">
        <w:trPr>
          <w:trHeight w:val="300"/>
        </w:trPr>
        <w:tc>
          <w:tcPr>
            <w:tcW w:w="1140" w:type="dxa"/>
            <w:tcBorders>
              <w:top w:val="nil"/>
              <w:left w:val="nil"/>
              <w:bottom w:val="nil"/>
              <w:right w:val="nil"/>
            </w:tcBorders>
            <w:shd w:val="clear" w:color="000000" w:fill="FFFFFF"/>
            <w:vAlign w:val="bottom"/>
            <w:hideMark/>
          </w:tcPr>
          <w:p w14:paraId="08891D4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c>
          <w:tcPr>
            <w:tcW w:w="4420" w:type="dxa"/>
            <w:tcBorders>
              <w:top w:val="nil"/>
              <w:left w:val="nil"/>
              <w:bottom w:val="nil"/>
              <w:right w:val="nil"/>
            </w:tcBorders>
            <w:shd w:val="clear" w:color="000000" w:fill="FFFFFF"/>
            <w:vAlign w:val="center"/>
            <w:hideMark/>
          </w:tcPr>
          <w:p w14:paraId="0F356592"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Collection Fund Adjustment Account</w:t>
            </w:r>
          </w:p>
        </w:tc>
        <w:tc>
          <w:tcPr>
            <w:tcW w:w="1140" w:type="dxa"/>
            <w:tcBorders>
              <w:top w:val="nil"/>
              <w:left w:val="nil"/>
              <w:bottom w:val="nil"/>
              <w:right w:val="nil"/>
            </w:tcBorders>
            <w:shd w:val="clear" w:color="000000" w:fill="CCECFF"/>
            <w:vAlign w:val="bottom"/>
            <w:hideMark/>
          </w:tcPr>
          <w:p w14:paraId="0E8642A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6F471180" w14:textId="77777777" w:rsidTr="00083390">
        <w:trPr>
          <w:trHeight w:val="300"/>
        </w:trPr>
        <w:tc>
          <w:tcPr>
            <w:tcW w:w="1140" w:type="dxa"/>
            <w:tcBorders>
              <w:top w:val="nil"/>
              <w:left w:val="nil"/>
              <w:bottom w:val="nil"/>
              <w:right w:val="nil"/>
            </w:tcBorders>
            <w:shd w:val="clear" w:color="000000" w:fill="FFFFFF"/>
            <w:vAlign w:val="bottom"/>
            <w:hideMark/>
          </w:tcPr>
          <w:p w14:paraId="719BDDA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1,018,341</w:t>
            </w:r>
          </w:p>
        </w:tc>
        <w:tc>
          <w:tcPr>
            <w:tcW w:w="4420" w:type="dxa"/>
            <w:tcBorders>
              <w:top w:val="nil"/>
              <w:left w:val="nil"/>
              <w:bottom w:val="nil"/>
              <w:right w:val="nil"/>
            </w:tcBorders>
            <w:shd w:val="clear" w:color="000000" w:fill="FFFFFF"/>
            <w:vAlign w:val="center"/>
            <w:hideMark/>
          </w:tcPr>
          <w:p w14:paraId="0393CF7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Pension Reserve</w:t>
            </w:r>
          </w:p>
        </w:tc>
        <w:tc>
          <w:tcPr>
            <w:tcW w:w="1140" w:type="dxa"/>
            <w:tcBorders>
              <w:top w:val="nil"/>
              <w:left w:val="nil"/>
              <w:bottom w:val="nil"/>
              <w:right w:val="nil"/>
            </w:tcBorders>
            <w:shd w:val="clear" w:color="000000" w:fill="CCECFF"/>
            <w:vAlign w:val="bottom"/>
            <w:hideMark/>
          </w:tcPr>
          <w:p w14:paraId="588B3397"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1,055,020</w:t>
            </w:r>
          </w:p>
        </w:tc>
      </w:tr>
      <w:tr w:rsidR="00083390" w:rsidRPr="00083390" w14:paraId="2F133BC5" w14:textId="77777777" w:rsidTr="00083390">
        <w:trPr>
          <w:trHeight w:val="300"/>
        </w:trPr>
        <w:tc>
          <w:tcPr>
            <w:tcW w:w="1140" w:type="dxa"/>
            <w:tcBorders>
              <w:top w:val="nil"/>
              <w:left w:val="nil"/>
              <w:bottom w:val="nil"/>
              <w:right w:val="nil"/>
            </w:tcBorders>
            <w:shd w:val="clear" w:color="auto" w:fill="auto"/>
            <w:vAlign w:val="bottom"/>
            <w:hideMark/>
          </w:tcPr>
          <w:p w14:paraId="1477600D"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0</w:t>
            </w:r>
          </w:p>
        </w:tc>
        <w:tc>
          <w:tcPr>
            <w:tcW w:w="4420" w:type="dxa"/>
            <w:tcBorders>
              <w:top w:val="nil"/>
              <w:left w:val="nil"/>
              <w:bottom w:val="nil"/>
              <w:right w:val="nil"/>
            </w:tcBorders>
            <w:shd w:val="clear" w:color="000000" w:fill="FFFFFF"/>
            <w:vAlign w:val="center"/>
            <w:hideMark/>
          </w:tcPr>
          <w:p w14:paraId="42AC92A3"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Deferred Capital Receipt Reserve</w:t>
            </w:r>
          </w:p>
        </w:tc>
        <w:tc>
          <w:tcPr>
            <w:tcW w:w="1140" w:type="dxa"/>
            <w:tcBorders>
              <w:top w:val="nil"/>
              <w:left w:val="nil"/>
              <w:bottom w:val="nil"/>
              <w:right w:val="nil"/>
            </w:tcBorders>
            <w:shd w:val="clear" w:color="000000" w:fill="CCECFF"/>
            <w:vAlign w:val="bottom"/>
            <w:hideMark/>
          </w:tcPr>
          <w:p w14:paraId="71824EB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w:t>
            </w:r>
          </w:p>
        </w:tc>
      </w:tr>
      <w:tr w:rsidR="00083390" w:rsidRPr="00083390" w14:paraId="0AF57D26" w14:textId="77777777" w:rsidTr="00083390">
        <w:trPr>
          <w:trHeight w:val="300"/>
        </w:trPr>
        <w:tc>
          <w:tcPr>
            <w:tcW w:w="1140" w:type="dxa"/>
            <w:tcBorders>
              <w:top w:val="nil"/>
              <w:left w:val="nil"/>
              <w:bottom w:val="nil"/>
              <w:right w:val="nil"/>
            </w:tcBorders>
            <w:shd w:val="clear" w:color="000000" w:fill="FFFFFF"/>
            <w:vAlign w:val="bottom"/>
            <w:hideMark/>
          </w:tcPr>
          <w:p w14:paraId="0FE8B455"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1,443</w:t>
            </w:r>
          </w:p>
        </w:tc>
        <w:tc>
          <w:tcPr>
            <w:tcW w:w="4420" w:type="dxa"/>
            <w:tcBorders>
              <w:top w:val="nil"/>
              <w:left w:val="nil"/>
              <w:bottom w:val="nil"/>
              <w:right w:val="nil"/>
            </w:tcBorders>
            <w:shd w:val="clear" w:color="000000" w:fill="FFFFFF"/>
            <w:vAlign w:val="center"/>
            <w:hideMark/>
          </w:tcPr>
          <w:p w14:paraId="6D5AEA75"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Accumulated Absences Account </w:t>
            </w:r>
          </w:p>
        </w:tc>
        <w:tc>
          <w:tcPr>
            <w:tcW w:w="1140" w:type="dxa"/>
            <w:tcBorders>
              <w:top w:val="nil"/>
              <w:left w:val="nil"/>
              <w:bottom w:val="nil"/>
              <w:right w:val="nil"/>
            </w:tcBorders>
            <w:shd w:val="clear" w:color="000000" w:fill="CCECFF"/>
            <w:vAlign w:val="bottom"/>
            <w:hideMark/>
          </w:tcPr>
          <w:p w14:paraId="53E17294"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2,969</w:t>
            </w:r>
          </w:p>
        </w:tc>
      </w:tr>
      <w:tr w:rsidR="00083390" w:rsidRPr="00083390" w14:paraId="590CFA11" w14:textId="77777777" w:rsidTr="00083390">
        <w:trPr>
          <w:trHeight w:val="300"/>
        </w:trPr>
        <w:tc>
          <w:tcPr>
            <w:tcW w:w="1140" w:type="dxa"/>
            <w:tcBorders>
              <w:top w:val="single" w:sz="4" w:space="0" w:color="auto"/>
              <w:left w:val="nil"/>
              <w:bottom w:val="single" w:sz="4" w:space="0" w:color="auto"/>
              <w:right w:val="nil"/>
            </w:tcBorders>
            <w:shd w:val="clear" w:color="000000" w:fill="FFFFFF"/>
            <w:vAlign w:val="bottom"/>
            <w:hideMark/>
          </w:tcPr>
          <w:p w14:paraId="06CEC51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1,019,784</w:t>
            </w:r>
          </w:p>
        </w:tc>
        <w:tc>
          <w:tcPr>
            <w:tcW w:w="4420" w:type="dxa"/>
            <w:tcBorders>
              <w:top w:val="single" w:sz="4" w:space="0" w:color="auto"/>
              <w:left w:val="nil"/>
              <w:bottom w:val="single" w:sz="4" w:space="0" w:color="auto"/>
              <w:right w:val="nil"/>
            </w:tcBorders>
            <w:shd w:val="clear" w:color="000000" w:fill="FFFFFF"/>
            <w:vAlign w:val="center"/>
            <w:hideMark/>
          </w:tcPr>
          <w:p w14:paraId="456AE1BC"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Total</w:t>
            </w:r>
          </w:p>
        </w:tc>
        <w:tc>
          <w:tcPr>
            <w:tcW w:w="1140" w:type="dxa"/>
            <w:tcBorders>
              <w:top w:val="single" w:sz="4" w:space="0" w:color="auto"/>
              <w:left w:val="nil"/>
              <w:bottom w:val="single" w:sz="4" w:space="0" w:color="auto"/>
              <w:right w:val="nil"/>
            </w:tcBorders>
            <w:shd w:val="clear" w:color="000000" w:fill="CCECFF"/>
            <w:vAlign w:val="bottom"/>
            <w:hideMark/>
          </w:tcPr>
          <w:p w14:paraId="3062CADB"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1,057,989</w:t>
            </w:r>
          </w:p>
        </w:tc>
      </w:tr>
    </w:tbl>
    <w:p w14:paraId="139BC715" w14:textId="77777777" w:rsidR="00087660" w:rsidRDefault="00087660" w:rsidP="005433C7">
      <w:pPr>
        <w:pStyle w:val="VAHeadingLevel2"/>
        <w:rPr>
          <w:rFonts w:eastAsia="Calibri"/>
          <w:lang w:val="pt-BR"/>
        </w:rPr>
      </w:pPr>
    </w:p>
    <w:p w14:paraId="06699B3E" w14:textId="1C4B662F" w:rsidR="008E12FD" w:rsidRDefault="008E12FD" w:rsidP="005433C7">
      <w:pPr>
        <w:pStyle w:val="VAHeadingLevel2"/>
        <w:rPr>
          <w:rFonts w:eastAsia="Calibri"/>
          <w:lang w:val="pt-BR"/>
        </w:rPr>
      </w:pPr>
      <w:r w:rsidRPr="004725E6">
        <w:rPr>
          <w:rFonts w:eastAsia="Calibri"/>
          <w:lang w:val="pt-BR"/>
        </w:rPr>
        <w:t>Pension Reserve</w:t>
      </w:r>
    </w:p>
    <w:p w14:paraId="1409D5BA" w14:textId="77777777" w:rsidR="002522D4" w:rsidRPr="003E1253" w:rsidRDefault="002522D4" w:rsidP="008E12FD">
      <w:pPr>
        <w:rPr>
          <w:sz w:val="8"/>
          <w:szCs w:val="12"/>
        </w:rPr>
      </w:pPr>
    </w:p>
    <w:p w14:paraId="164C3004" w14:textId="04E36523" w:rsidR="008D0D52" w:rsidRDefault="002522D4" w:rsidP="00BF68EF">
      <w:r w:rsidRPr="004725E6">
        <w:t xml:space="preserve">The Pensions Reserve absorbs the timing differences arising from the different arrangements for accounting for post-employment benefits and for funding benefits in accordance with statutory provisions. </w:t>
      </w:r>
      <w:r w:rsidR="001D2D0F" w:rsidRPr="004725E6">
        <w:t xml:space="preserve"> </w:t>
      </w:r>
      <w:r w:rsidRPr="004725E6">
        <w:t xml:space="preserve">The </w:t>
      </w:r>
      <w:r w:rsidR="001D2D0F" w:rsidRPr="004725E6">
        <w:t>O</w:t>
      </w:r>
      <w:r w:rsidR="00C75713" w:rsidRPr="004725E6">
        <w:t>CC</w:t>
      </w:r>
      <w:r w:rsidRPr="004725E6">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r w:rsidR="005433C7" w:rsidRPr="004725E6">
        <w:t xml:space="preserve"> </w:t>
      </w:r>
      <w:r w:rsidRPr="004725E6">
        <w:t xml:space="preserve">However, statutory arrangements require benefits earned to be financed as the </w:t>
      </w:r>
      <w:r w:rsidR="001D2D0F" w:rsidRPr="004725E6">
        <w:t>O</w:t>
      </w:r>
      <w:r w:rsidR="00C75713" w:rsidRPr="004725E6">
        <w:t>CC</w:t>
      </w:r>
      <w:r w:rsidRPr="004725E6">
        <w:t xml:space="preserve"> makes employer’s contributions to pension funds or eventually pay any pensions for which it is directly responsible.</w:t>
      </w:r>
      <w:r w:rsidR="005433C7" w:rsidRPr="004725E6">
        <w:t xml:space="preserve"> </w:t>
      </w:r>
      <w:r w:rsidRPr="004725E6">
        <w:t xml:space="preserve"> The debit balance on the Pensions Reserve, therefore, shows a substantial shortfall in the benefits earned by past and current employees and the resources the </w:t>
      </w:r>
      <w:r w:rsidR="001D2D0F" w:rsidRPr="004725E6">
        <w:t>O</w:t>
      </w:r>
      <w:r w:rsidR="00C75713" w:rsidRPr="004725E6">
        <w:t>CC</w:t>
      </w:r>
      <w:r w:rsidRPr="004725E6">
        <w:t xml:space="preserve"> has set aside to meet them. </w:t>
      </w:r>
      <w:r w:rsidR="001D2D0F" w:rsidRPr="004725E6">
        <w:t xml:space="preserve"> </w:t>
      </w:r>
      <w:r w:rsidRPr="004725E6">
        <w:t>The statutory arrangements will ensure that funding will have been set aside by the tim</w:t>
      </w:r>
      <w:r w:rsidR="00BF68EF">
        <w:t>e the benefits come to be paid</w:t>
      </w:r>
      <w:r w:rsidR="007835BF">
        <w:t>.</w:t>
      </w:r>
    </w:p>
    <w:p w14:paraId="22ABAD88" w14:textId="77777777" w:rsidR="007835BF" w:rsidRDefault="007835BF" w:rsidP="00BF68EF"/>
    <w:tbl>
      <w:tblPr>
        <w:tblW w:w="6700" w:type="dxa"/>
        <w:tblLook w:val="04A0" w:firstRow="1" w:lastRow="0" w:firstColumn="1" w:lastColumn="0" w:noHBand="0" w:noVBand="1"/>
      </w:tblPr>
      <w:tblGrid>
        <w:gridCol w:w="1140"/>
        <w:gridCol w:w="4420"/>
        <w:gridCol w:w="1140"/>
      </w:tblGrid>
      <w:tr w:rsidR="00083390" w:rsidRPr="00083390" w14:paraId="1F81E4A3" w14:textId="77777777" w:rsidTr="00083390">
        <w:trPr>
          <w:trHeight w:val="300"/>
        </w:trPr>
        <w:tc>
          <w:tcPr>
            <w:tcW w:w="1140" w:type="dxa"/>
            <w:tcBorders>
              <w:top w:val="nil"/>
              <w:left w:val="nil"/>
              <w:bottom w:val="nil"/>
              <w:right w:val="nil"/>
            </w:tcBorders>
            <w:shd w:val="clear" w:color="000000" w:fill="000099"/>
            <w:vAlign w:val="bottom"/>
            <w:hideMark/>
          </w:tcPr>
          <w:p w14:paraId="45C44617"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15C1BC98"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446CDDB3"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2998DC13" w14:textId="77777777" w:rsidTr="00083390">
        <w:trPr>
          <w:trHeight w:val="300"/>
        </w:trPr>
        <w:tc>
          <w:tcPr>
            <w:tcW w:w="1140" w:type="dxa"/>
            <w:tcBorders>
              <w:top w:val="nil"/>
              <w:left w:val="nil"/>
              <w:bottom w:val="nil"/>
              <w:right w:val="nil"/>
            </w:tcBorders>
            <w:shd w:val="clear" w:color="000000" w:fill="000099"/>
            <w:vAlign w:val="bottom"/>
            <w:hideMark/>
          </w:tcPr>
          <w:p w14:paraId="552CF510"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38C25B54" w14:textId="77777777" w:rsidR="00083390" w:rsidRPr="00083390" w:rsidRDefault="00083390" w:rsidP="00083390">
            <w:pPr>
              <w:spacing w:line="240" w:lineRule="auto"/>
              <w:jc w:val="right"/>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13366A4E"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5EF13F8A" w14:textId="77777777" w:rsidTr="00083390">
        <w:trPr>
          <w:trHeight w:val="300"/>
        </w:trPr>
        <w:tc>
          <w:tcPr>
            <w:tcW w:w="1140" w:type="dxa"/>
            <w:tcBorders>
              <w:top w:val="nil"/>
              <w:left w:val="nil"/>
              <w:bottom w:val="nil"/>
              <w:right w:val="nil"/>
            </w:tcBorders>
            <w:shd w:val="clear" w:color="000000" w:fill="FFFFFF"/>
            <w:vAlign w:val="center"/>
            <w:hideMark/>
          </w:tcPr>
          <w:p w14:paraId="683F7F0B"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1,503,452</w:t>
            </w:r>
          </w:p>
        </w:tc>
        <w:tc>
          <w:tcPr>
            <w:tcW w:w="4420" w:type="dxa"/>
            <w:tcBorders>
              <w:top w:val="nil"/>
              <w:left w:val="nil"/>
              <w:bottom w:val="nil"/>
              <w:right w:val="nil"/>
            </w:tcBorders>
            <w:shd w:val="clear" w:color="000000" w:fill="FFFFFF"/>
            <w:vAlign w:val="center"/>
            <w:hideMark/>
          </w:tcPr>
          <w:p w14:paraId="66F9C766"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1 April </w:t>
            </w:r>
          </w:p>
        </w:tc>
        <w:tc>
          <w:tcPr>
            <w:tcW w:w="1140" w:type="dxa"/>
            <w:tcBorders>
              <w:top w:val="nil"/>
              <w:left w:val="nil"/>
              <w:bottom w:val="nil"/>
              <w:right w:val="nil"/>
            </w:tcBorders>
            <w:shd w:val="clear" w:color="000000" w:fill="CCECFF"/>
            <w:vAlign w:val="center"/>
            <w:hideMark/>
          </w:tcPr>
          <w:p w14:paraId="17637E4E"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1,018,341</w:t>
            </w:r>
          </w:p>
        </w:tc>
      </w:tr>
      <w:tr w:rsidR="00083390" w:rsidRPr="00083390" w14:paraId="4F3E1A85" w14:textId="77777777" w:rsidTr="00083390">
        <w:trPr>
          <w:trHeight w:val="585"/>
        </w:trPr>
        <w:tc>
          <w:tcPr>
            <w:tcW w:w="1140" w:type="dxa"/>
            <w:tcBorders>
              <w:top w:val="nil"/>
              <w:left w:val="nil"/>
              <w:bottom w:val="nil"/>
              <w:right w:val="nil"/>
            </w:tcBorders>
            <w:shd w:val="clear" w:color="000000" w:fill="FFFFFF"/>
            <w:vAlign w:val="center"/>
            <w:hideMark/>
          </w:tcPr>
          <w:p w14:paraId="681F7CB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(331,661)</w:t>
            </w:r>
          </w:p>
        </w:tc>
        <w:tc>
          <w:tcPr>
            <w:tcW w:w="4420" w:type="dxa"/>
            <w:tcBorders>
              <w:top w:val="nil"/>
              <w:left w:val="nil"/>
              <w:bottom w:val="nil"/>
              <w:right w:val="nil"/>
            </w:tcBorders>
            <w:shd w:val="clear" w:color="000000" w:fill="FFFFFF"/>
            <w:vAlign w:val="center"/>
            <w:hideMark/>
          </w:tcPr>
          <w:p w14:paraId="1B00E57B"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Re-measurements of the net defined benefit (liability)/asset</w:t>
            </w:r>
          </w:p>
        </w:tc>
        <w:tc>
          <w:tcPr>
            <w:tcW w:w="1140" w:type="dxa"/>
            <w:tcBorders>
              <w:top w:val="nil"/>
              <w:left w:val="nil"/>
              <w:bottom w:val="nil"/>
              <w:right w:val="nil"/>
            </w:tcBorders>
            <w:shd w:val="clear" w:color="000000" w:fill="CCECFF"/>
            <w:vAlign w:val="center"/>
            <w:hideMark/>
          </w:tcPr>
          <w:p w14:paraId="0C70677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13,808</w:t>
            </w:r>
          </w:p>
        </w:tc>
      </w:tr>
      <w:tr w:rsidR="00083390" w:rsidRPr="00083390" w14:paraId="7189E19B" w14:textId="77777777" w:rsidTr="00083390">
        <w:trPr>
          <w:trHeight w:val="1380"/>
        </w:trPr>
        <w:tc>
          <w:tcPr>
            <w:tcW w:w="1140" w:type="dxa"/>
            <w:tcBorders>
              <w:top w:val="nil"/>
              <w:left w:val="nil"/>
              <w:bottom w:val="nil"/>
              <w:right w:val="nil"/>
            </w:tcBorders>
            <w:shd w:val="clear" w:color="000000" w:fill="FFFFFF"/>
            <w:vAlign w:val="center"/>
            <w:hideMark/>
          </w:tcPr>
          <w:p w14:paraId="1C8C3570"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(147,101)</w:t>
            </w:r>
          </w:p>
        </w:tc>
        <w:tc>
          <w:tcPr>
            <w:tcW w:w="4420" w:type="dxa"/>
            <w:tcBorders>
              <w:top w:val="nil"/>
              <w:left w:val="nil"/>
              <w:bottom w:val="nil"/>
              <w:right w:val="nil"/>
            </w:tcBorders>
            <w:shd w:val="clear" w:color="000000" w:fill="FFFFFF"/>
            <w:vAlign w:val="center"/>
            <w:hideMark/>
          </w:tcPr>
          <w:p w14:paraId="49EACA5A"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 xml:space="preserve">Reversal of items relating to retirement benefits debited or credited to the Surplus or Deficit on the Provision of Services in the Comprehensive Income and Expenditure Statement </w:t>
            </w:r>
          </w:p>
        </w:tc>
        <w:tc>
          <w:tcPr>
            <w:tcW w:w="1140" w:type="dxa"/>
            <w:tcBorders>
              <w:top w:val="nil"/>
              <w:left w:val="nil"/>
              <w:bottom w:val="nil"/>
              <w:right w:val="nil"/>
            </w:tcBorders>
            <w:shd w:val="clear" w:color="000000" w:fill="CCECFF"/>
            <w:vAlign w:val="center"/>
            <w:hideMark/>
          </w:tcPr>
          <w:p w14:paraId="4F61AF2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63,806</w:t>
            </w:r>
          </w:p>
        </w:tc>
      </w:tr>
      <w:tr w:rsidR="00083390" w:rsidRPr="00083390" w14:paraId="7A87BC87" w14:textId="77777777" w:rsidTr="00F0480F">
        <w:trPr>
          <w:trHeight w:val="660"/>
        </w:trPr>
        <w:tc>
          <w:tcPr>
            <w:tcW w:w="1140" w:type="dxa"/>
            <w:tcBorders>
              <w:top w:val="nil"/>
              <w:left w:val="nil"/>
              <w:bottom w:val="single" w:sz="4" w:space="0" w:color="auto"/>
              <w:right w:val="nil"/>
            </w:tcBorders>
            <w:shd w:val="clear" w:color="000000" w:fill="FFFFFF"/>
            <w:vAlign w:val="center"/>
            <w:hideMark/>
          </w:tcPr>
          <w:p w14:paraId="51A0E11B"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(6,349)</w:t>
            </w:r>
          </w:p>
        </w:tc>
        <w:tc>
          <w:tcPr>
            <w:tcW w:w="4420" w:type="dxa"/>
            <w:tcBorders>
              <w:top w:val="nil"/>
              <w:left w:val="nil"/>
              <w:bottom w:val="single" w:sz="4" w:space="0" w:color="auto"/>
              <w:right w:val="nil"/>
            </w:tcBorders>
            <w:shd w:val="clear" w:color="000000" w:fill="FFFFFF"/>
            <w:vAlign w:val="center"/>
            <w:hideMark/>
          </w:tcPr>
          <w:p w14:paraId="23E8B4EF"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Employer's pensions contributions and direct payments to pensioners payable in the year</w:t>
            </w:r>
          </w:p>
        </w:tc>
        <w:tc>
          <w:tcPr>
            <w:tcW w:w="1140" w:type="dxa"/>
            <w:tcBorders>
              <w:top w:val="nil"/>
              <w:left w:val="nil"/>
              <w:bottom w:val="single" w:sz="4" w:space="0" w:color="auto"/>
              <w:right w:val="nil"/>
            </w:tcBorders>
            <w:shd w:val="clear" w:color="000000" w:fill="CCECFF"/>
            <w:vAlign w:val="center"/>
            <w:hideMark/>
          </w:tcPr>
          <w:p w14:paraId="3171EC6C"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(40,935)</w:t>
            </w:r>
          </w:p>
        </w:tc>
      </w:tr>
      <w:tr w:rsidR="00083390" w:rsidRPr="00083390" w14:paraId="49B6F025" w14:textId="77777777" w:rsidTr="00F0480F">
        <w:trPr>
          <w:trHeight w:val="300"/>
        </w:trPr>
        <w:tc>
          <w:tcPr>
            <w:tcW w:w="1140" w:type="dxa"/>
            <w:tcBorders>
              <w:top w:val="single" w:sz="4" w:space="0" w:color="auto"/>
              <w:left w:val="nil"/>
              <w:bottom w:val="single" w:sz="4" w:space="0" w:color="auto"/>
              <w:right w:val="nil"/>
            </w:tcBorders>
            <w:shd w:val="clear" w:color="000000" w:fill="FFFFFF"/>
            <w:vAlign w:val="center"/>
            <w:hideMark/>
          </w:tcPr>
          <w:p w14:paraId="44588A51"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1,018,341</w:t>
            </w:r>
          </w:p>
        </w:tc>
        <w:tc>
          <w:tcPr>
            <w:tcW w:w="4420" w:type="dxa"/>
            <w:tcBorders>
              <w:top w:val="single" w:sz="4" w:space="0" w:color="auto"/>
              <w:left w:val="nil"/>
              <w:bottom w:val="single" w:sz="4" w:space="0" w:color="auto"/>
              <w:right w:val="nil"/>
            </w:tcBorders>
            <w:shd w:val="clear" w:color="000000" w:fill="FFFFFF"/>
            <w:vAlign w:val="center"/>
            <w:hideMark/>
          </w:tcPr>
          <w:p w14:paraId="13BF2842"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31 March </w:t>
            </w:r>
          </w:p>
        </w:tc>
        <w:tc>
          <w:tcPr>
            <w:tcW w:w="1140" w:type="dxa"/>
            <w:tcBorders>
              <w:top w:val="single" w:sz="4" w:space="0" w:color="auto"/>
              <w:left w:val="nil"/>
              <w:bottom w:val="single" w:sz="4" w:space="0" w:color="auto"/>
              <w:right w:val="nil"/>
            </w:tcBorders>
            <w:shd w:val="clear" w:color="000000" w:fill="CCECFF"/>
            <w:vAlign w:val="center"/>
            <w:hideMark/>
          </w:tcPr>
          <w:p w14:paraId="277835DC"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1,055,020</w:t>
            </w:r>
          </w:p>
        </w:tc>
      </w:tr>
    </w:tbl>
    <w:p w14:paraId="08BE14BF" w14:textId="77777777" w:rsidR="009E53F6" w:rsidRDefault="009E53F6">
      <w:pPr>
        <w:spacing w:line="240" w:lineRule="auto"/>
        <w:jc w:val="left"/>
        <w:rPr>
          <w:rFonts w:asciiTheme="minorHAnsi" w:eastAsia="Verdana" w:hAnsiTheme="minorHAnsi" w:cs="Times New Roman"/>
          <w:bCs/>
          <w:color w:val="25316C"/>
          <w:sz w:val="24"/>
        </w:rPr>
      </w:pPr>
      <w:r>
        <w:rPr>
          <w:rFonts w:eastAsia="Verdana"/>
        </w:rPr>
        <w:br w:type="page"/>
      </w:r>
    </w:p>
    <w:p w14:paraId="657D5432" w14:textId="247DCA14" w:rsidR="002522D4" w:rsidRDefault="008E12FD" w:rsidP="00BF68EF">
      <w:pPr>
        <w:pStyle w:val="VAHeadingLevel2"/>
        <w:rPr>
          <w:rFonts w:eastAsia="Verdana"/>
        </w:rPr>
      </w:pPr>
      <w:r w:rsidRPr="007A6FF0">
        <w:rPr>
          <w:rFonts w:eastAsia="Verdana"/>
        </w:rPr>
        <w:lastRenderedPageBreak/>
        <w:t>Accumulated Absences Account</w:t>
      </w:r>
    </w:p>
    <w:p w14:paraId="1413E3F3" w14:textId="7B2081DE" w:rsidR="00BF68EF" w:rsidRPr="003E1253" w:rsidRDefault="00BF68EF" w:rsidP="00BF68EF">
      <w:pPr>
        <w:rPr>
          <w:sz w:val="10"/>
          <w:szCs w:val="14"/>
        </w:rPr>
      </w:pPr>
    </w:p>
    <w:p w14:paraId="30921FE6" w14:textId="2DE46280" w:rsidR="008D0D52" w:rsidRDefault="008D0D52" w:rsidP="008D0D52">
      <w:r w:rsidRPr="007A6FF0">
        <w:t>The Accumulated Absences Account absorbs the differences that would otherwise arise on the General Fund Balance from accruing for compensated absences earned but not taken in the year</w:t>
      </w:r>
      <w:r>
        <w:t xml:space="preserve">.  For example, </w:t>
      </w:r>
      <w:r w:rsidRPr="007A6FF0">
        <w:t>annual leave entitlement</w:t>
      </w:r>
      <w:r>
        <w:t>s</w:t>
      </w:r>
      <w:r w:rsidRPr="007A6FF0">
        <w:t xml:space="preserve"> carried forward </w:t>
      </w:r>
      <w:r>
        <w:t xml:space="preserve">as </w:t>
      </w:r>
      <w:r w:rsidRPr="007A6FF0">
        <w:t>at 31 March.</w:t>
      </w:r>
      <w:r>
        <w:t xml:space="preserve"> </w:t>
      </w:r>
      <w:r w:rsidRPr="007A6FF0">
        <w:t xml:space="preserve"> Statutory </w:t>
      </w:r>
      <w:r w:rsidRPr="009B64F3">
        <w:t>arrangements require that the impact on the General Fund Balance is neutralised by transfers to or from the Account</w:t>
      </w:r>
      <w:r>
        <w:t>.</w:t>
      </w:r>
    </w:p>
    <w:p w14:paraId="363062BE" w14:textId="77777777" w:rsidR="00FC7D71" w:rsidRDefault="00FC7D71" w:rsidP="008D0D52"/>
    <w:tbl>
      <w:tblPr>
        <w:tblW w:w="6700" w:type="dxa"/>
        <w:tblLook w:val="04A0" w:firstRow="1" w:lastRow="0" w:firstColumn="1" w:lastColumn="0" w:noHBand="0" w:noVBand="1"/>
      </w:tblPr>
      <w:tblGrid>
        <w:gridCol w:w="1140"/>
        <w:gridCol w:w="4420"/>
        <w:gridCol w:w="1140"/>
      </w:tblGrid>
      <w:tr w:rsidR="00083390" w:rsidRPr="00083390" w14:paraId="69AF15CF" w14:textId="77777777" w:rsidTr="00083390">
        <w:trPr>
          <w:trHeight w:val="300"/>
        </w:trPr>
        <w:tc>
          <w:tcPr>
            <w:tcW w:w="1140" w:type="dxa"/>
            <w:tcBorders>
              <w:top w:val="nil"/>
              <w:left w:val="nil"/>
              <w:bottom w:val="nil"/>
              <w:right w:val="nil"/>
            </w:tcBorders>
            <w:shd w:val="clear" w:color="000000" w:fill="000099"/>
            <w:vAlign w:val="bottom"/>
            <w:hideMark/>
          </w:tcPr>
          <w:p w14:paraId="12067A96" w14:textId="77777777" w:rsidR="00083390" w:rsidRPr="00083390" w:rsidRDefault="00083390" w:rsidP="00083390">
            <w:pPr>
              <w:spacing w:line="240" w:lineRule="auto"/>
              <w:jc w:val="center"/>
              <w:rPr>
                <w:rFonts w:eastAsia="Times New Roman" w:cs="Calibri"/>
                <w:b/>
                <w:bCs/>
                <w:color w:val="FFFFFF"/>
                <w:szCs w:val="20"/>
                <w:lang w:eastAsia="en-GB"/>
              </w:rPr>
            </w:pPr>
            <w:bookmarkStart w:id="160" w:name="_Toc517077294"/>
            <w:bookmarkStart w:id="161" w:name="_Toc9272519"/>
            <w:r w:rsidRPr="00083390">
              <w:rPr>
                <w:rFonts w:eastAsia="Times New Roman" w:cs="Calibri"/>
                <w:b/>
                <w:bCs/>
                <w:color w:val="FFFFFF"/>
                <w:szCs w:val="20"/>
                <w:lang w:eastAsia="en-GB"/>
              </w:rPr>
              <w:t>2022/23</w:t>
            </w:r>
          </w:p>
        </w:tc>
        <w:tc>
          <w:tcPr>
            <w:tcW w:w="4420" w:type="dxa"/>
            <w:tcBorders>
              <w:top w:val="nil"/>
              <w:left w:val="nil"/>
              <w:bottom w:val="nil"/>
              <w:right w:val="nil"/>
            </w:tcBorders>
            <w:shd w:val="clear" w:color="000000" w:fill="000099"/>
            <w:vAlign w:val="bottom"/>
            <w:hideMark/>
          </w:tcPr>
          <w:p w14:paraId="1D99904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274052A4"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2023/24</w:t>
            </w:r>
          </w:p>
        </w:tc>
      </w:tr>
      <w:tr w:rsidR="00083390" w:rsidRPr="00083390" w14:paraId="3EA0141D" w14:textId="77777777" w:rsidTr="00083390">
        <w:trPr>
          <w:trHeight w:val="300"/>
        </w:trPr>
        <w:tc>
          <w:tcPr>
            <w:tcW w:w="1140" w:type="dxa"/>
            <w:tcBorders>
              <w:top w:val="nil"/>
              <w:left w:val="nil"/>
              <w:bottom w:val="nil"/>
              <w:right w:val="nil"/>
            </w:tcBorders>
            <w:shd w:val="clear" w:color="000000" w:fill="000099"/>
            <w:vAlign w:val="bottom"/>
            <w:hideMark/>
          </w:tcPr>
          <w:p w14:paraId="7CE49F8B"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c>
          <w:tcPr>
            <w:tcW w:w="4420" w:type="dxa"/>
            <w:tcBorders>
              <w:top w:val="nil"/>
              <w:left w:val="nil"/>
              <w:bottom w:val="nil"/>
              <w:right w:val="nil"/>
            </w:tcBorders>
            <w:shd w:val="clear" w:color="000000" w:fill="000099"/>
            <w:vAlign w:val="bottom"/>
            <w:hideMark/>
          </w:tcPr>
          <w:p w14:paraId="69C98AE2" w14:textId="77777777" w:rsidR="00083390" w:rsidRPr="00083390" w:rsidRDefault="00083390" w:rsidP="00083390">
            <w:pPr>
              <w:spacing w:line="240" w:lineRule="auto"/>
              <w:jc w:val="right"/>
              <w:rPr>
                <w:rFonts w:eastAsia="Times New Roman" w:cs="Calibri"/>
                <w:b/>
                <w:bCs/>
                <w:color w:val="FFFFFF"/>
                <w:szCs w:val="20"/>
                <w:lang w:eastAsia="en-GB"/>
              </w:rPr>
            </w:pPr>
            <w:r w:rsidRPr="00083390">
              <w:rPr>
                <w:rFonts w:eastAsia="Times New Roman" w:cs="Calibri"/>
                <w:b/>
                <w:bCs/>
                <w:color w:val="FFFFFF"/>
                <w:szCs w:val="20"/>
                <w:lang w:eastAsia="en-GB"/>
              </w:rPr>
              <w:t xml:space="preserve"> </w:t>
            </w:r>
          </w:p>
        </w:tc>
        <w:tc>
          <w:tcPr>
            <w:tcW w:w="1140" w:type="dxa"/>
            <w:tcBorders>
              <w:top w:val="nil"/>
              <w:left w:val="nil"/>
              <w:bottom w:val="nil"/>
              <w:right w:val="nil"/>
            </w:tcBorders>
            <w:shd w:val="clear" w:color="000000" w:fill="000099"/>
            <w:vAlign w:val="bottom"/>
            <w:hideMark/>
          </w:tcPr>
          <w:p w14:paraId="73E1F5D0" w14:textId="77777777" w:rsidR="00083390" w:rsidRPr="00083390" w:rsidRDefault="00083390" w:rsidP="00083390">
            <w:pPr>
              <w:spacing w:line="240" w:lineRule="auto"/>
              <w:jc w:val="center"/>
              <w:rPr>
                <w:rFonts w:eastAsia="Times New Roman" w:cs="Calibri"/>
                <w:b/>
                <w:bCs/>
                <w:color w:val="FFFFFF"/>
                <w:szCs w:val="20"/>
                <w:lang w:eastAsia="en-GB"/>
              </w:rPr>
            </w:pPr>
            <w:r w:rsidRPr="00083390">
              <w:rPr>
                <w:rFonts w:eastAsia="Times New Roman" w:cs="Calibri"/>
                <w:b/>
                <w:bCs/>
                <w:color w:val="FFFFFF"/>
                <w:szCs w:val="20"/>
                <w:lang w:eastAsia="en-GB"/>
              </w:rPr>
              <w:t>£000</w:t>
            </w:r>
          </w:p>
        </w:tc>
      </w:tr>
      <w:tr w:rsidR="00083390" w:rsidRPr="00083390" w14:paraId="0F7F8EB9" w14:textId="77777777" w:rsidTr="00083390">
        <w:trPr>
          <w:trHeight w:val="300"/>
        </w:trPr>
        <w:tc>
          <w:tcPr>
            <w:tcW w:w="1140" w:type="dxa"/>
            <w:tcBorders>
              <w:top w:val="nil"/>
              <w:left w:val="nil"/>
              <w:bottom w:val="nil"/>
              <w:right w:val="nil"/>
            </w:tcBorders>
            <w:shd w:val="clear" w:color="000000" w:fill="FFFFFF"/>
            <w:vAlign w:val="center"/>
            <w:hideMark/>
          </w:tcPr>
          <w:p w14:paraId="1E307793"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2,336</w:t>
            </w:r>
          </w:p>
        </w:tc>
        <w:tc>
          <w:tcPr>
            <w:tcW w:w="4420" w:type="dxa"/>
            <w:tcBorders>
              <w:top w:val="nil"/>
              <w:left w:val="nil"/>
              <w:bottom w:val="nil"/>
              <w:right w:val="nil"/>
            </w:tcBorders>
            <w:shd w:val="clear" w:color="000000" w:fill="FFFFFF"/>
            <w:vAlign w:val="center"/>
            <w:hideMark/>
          </w:tcPr>
          <w:p w14:paraId="4468107A"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1 April </w:t>
            </w:r>
          </w:p>
        </w:tc>
        <w:tc>
          <w:tcPr>
            <w:tcW w:w="1140" w:type="dxa"/>
            <w:tcBorders>
              <w:top w:val="nil"/>
              <w:left w:val="nil"/>
              <w:bottom w:val="nil"/>
              <w:right w:val="nil"/>
            </w:tcBorders>
            <w:shd w:val="clear" w:color="000000" w:fill="CCECFF"/>
            <w:vAlign w:val="center"/>
            <w:hideMark/>
          </w:tcPr>
          <w:p w14:paraId="674CFC7F"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1,443</w:t>
            </w:r>
          </w:p>
        </w:tc>
      </w:tr>
      <w:tr w:rsidR="00083390" w:rsidRPr="00083390" w14:paraId="096C520E" w14:textId="77777777" w:rsidTr="00083390">
        <w:trPr>
          <w:trHeight w:val="615"/>
        </w:trPr>
        <w:tc>
          <w:tcPr>
            <w:tcW w:w="1140" w:type="dxa"/>
            <w:tcBorders>
              <w:top w:val="nil"/>
              <w:left w:val="nil"/>
              <w:bottom w:val="nil"/>
              <w:right w:val="nil"/>
            </w:tcBorders>
            <w:shd w:val="clear" w:color="000000" w:fill="FFFFFF"/>
            <w:vAlign w:val="center"/>
            <w:hideMark/>
          </w:tcPr>
          <w:p w14:paraId="2B9308FA"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(2,336)</w:t>
            </w:r>
          </w:p>
        </w:tc>
        <w:tc>
          <w:tcPr>
            <w:tcW w:w="4420" w:type="dxa"/>
            <w:tcBorders>
              <w:top w:val="nil"/>
              <w:left w:val="nil"/>
              <w:bottom w:val="nil"/>
              <w:right w:val="nil"/>
            </w:tcBorders>
            <w:shd w:val="clear" w:color="000000" w:fill="FFFFFF"/>
            <w:vAlign w:val="center"/>
            <w:hideMark/>
          </w:tcPr>
          <w:p w14:paraId="42CC3A62"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Settlement or cancellation of accrual made at the end of the preceding year</w:t>
            </w:r>
          </w:p>
        </w:tc>
        <w:tc>
          <w:tcPr>
            <w:tcW w:w="1140" w:type="dxa"/>
            <w:tcBorders>
              <w:top w:val="nil"/>
              <w:left w:val="nil"/>
              <w:bottom w:val="nil"/>
              <w:right w:val="nil"/>
            </w:tcBorders>
            <w:shd w:val="clear" w:color="000000" w:fill="CCECFF"/>
            <w:vAlign w:val="center"/>
            <w:hideMark/>
          </w:tcPr>
          <w:p w14:paraId="2FE89A18"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000000"/>
                <w:szCs w:val="20"/>
                <w:lang w:eastAsia="en-GB"/>
              </w:rPr>
              <w:t>(1,443)</w:t>
            </w:r>
          </w:p>
        </w:tc>
      </w:tr>
      <w:tr w:rsidR="00083390" w:rsidRPr="00083390" w14:paraId="4A78244D" w14:textId="77777777" w:rsidTr="00083390">
        <w:trPr>
          <w:trHeight w:val="465"/>
        </w:trPr>
        <w:tc>
          <w:tcPr>
            <w:tcW w:w="1140" w:type="dxa"/>
            <w:tcBorders>
              <w:top w:val="nil"/>
              <w:left w:val="nil"/>
              <w:bottom w:val="nil"/>
              <w:right w:val="nil"/>
            </w:tcBorders>
            <w:shd w:val="clear" w:color="000000" w:fill="FFFFFF"/>
            <w:vAlign w:val="center"/>
            <w:hideMark/>
          </w:tcPr>
          <w:p w14:paraId="1B949391"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1,443</w:t>
            </w:r>
          </w:p>
        </w:tc>
        <w:tc>
          <w:tcPr>
            <w:tcW w:w="4420" w:type="dxa"/>
            <w:tcBorders>
              <w:top w:val="nil"/>
              <w:left w:val="nil"/>
              <w:bottom w:val="nil"/>
              <w:right w:val="nil"/>
            </w:tcBorders>
            <w:shd w:val="clear" w:color="000000" w:fill="FFFFFF"/>
            <w:vAlign w:val="center"/>
            <w:hideMark/>
          </w:tcPr>
          <w:p w14:paraId="2DEDE929" w14:textId="77777777" w:rsidR="00083390" w:rsidRPr="00083390" w:rsidRDefault="00083390" w:rsidP="00083390">
            <w:pPr>
              <w:spacing w:line="240" w:lineRule="auto"/>
              <w:jc w:val="left"/>
              <w:rPr>
                <w:rFonts w:eastAsia="Times New Roman" w:cs="Calibri"/>
                <w:color w:val="auto"/>
                <w:szCs w:val="20"/>
                <w:lang w:eastAsia="en-GB"/>
              </w:rPr>
            </w:pPr>
            <w:r w:rsidRPr="00083390">
              <w:rPr>
                <w:rFonts w:eastAsia="Times New Roman" w:cs="Calibri"/>
                <w:color w:val="auto"/>
                <w:szCs w:val="20"/>
                <w:lang w:eastAsia="en-GB"/>
              </w:rPr>
              <w:t>Amounts accrued at the end of the current year</w:t>
            </w:r>
          </w:p>
        </w:tc>
        <w:tc>
          <w:tcPr>
            <w:tcW w:w="1140" w:type="dxa"/>
            <w:tcBorders>
              <w:top w:val="nil"/>
              <w:left w:val="nil"/>
              <w:bottom w:val="single" w:sz="4" w:space="0" w:color="auto"/>
              <w:right w:val="nil"/>
            </w:tcBorders>
            <w:shd w:val="clear" w:color="000000" w:fill="CCECFF"/>
            <w:vAlign w:val="center"/>
            <w:hideMark/>
          </w:tcPr>
          <w:p w14:paraId="1B168850" w14:textId="77777777" w:rsidR="00083390" w:rsidRPr="00083390" w:rsidRDefault="00083390" w:rsidP="00083390">
            <w:pPr>
              <w:spacing w:line="240" w:lineRule="auto"/>
              <w:jc w:val="right"/>
              <w:rPr>
                <w:rFonts w:eastAsia="Times New Roman" w:cs="Calibri"/>
                <w:color w:val="auto"/>
                <w:szCs w:val="20"/>
                <w:lang w:eastAsia="en-GB"/>
              </w:rPr>
            </w:pPr>
            <w:r w:rsidRPr="00083390">
              <w:rPr>
                <w:rFonts w:eastAsia="Times New Roman" w:cs="Calibri"/>
                <w:color w:val="auto"/>
                <w:szCs w:val="20"/>
                <w:lang w:eastAsia="en-GB"/>
              </w:rPr>
              <w:t>2,969</w:t>
            </w:r>
          </w:p>
        </w:tc>
      </w:tr>
      <w:tr w:rsidR="00083390" w:rsidRPr="00083390" w14:paraId="1529B20A" w14:textId="77777777" w:rsidTr="00083390">
        <w:trPr>
          <w:trHeight w:val="300"/>
        </w:trPr>
        <w:tc>
          <w:tcPr>
            <w:tcW w:w="1140" w:type="dxa"/>
            <w:tcBorders>
              <w:top w:val="single" w:sz="4" w:space="0" w:color="auto"/>
              <w:left w:val="nil"/>
              <w:bottom w:val="single" w:sz="4" w:space="0" w:color="auto"/>
              <w:right w:val="nil"/>
            </w:tcBorders>
            <w:shd w:val="clear" w:color="000000" w:fill="FFFFFF"/>
            <w:vAlign w:val="center"/>
            <w:hideMark/>
          </w:tcPr>
          <w:p w14:paraId="7E15837F"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1,443</w:t>
            </w:r>
          </w:p>
        </w:tc>
        <w:tc>
          <w:tcPr>
            <w:tcW w:w="4420" w:type="dxa"/>
            <w:tcBorders>
              <w:top w:val="single" w:sz="4" w:space="0" w:color="auto"/>
              <w:left w:val="nil"/>
              <w:bottom w:val="single" w:sz="4" w:space="0" w:color="auto"/>
              <w:right w:val="nil"/>
            </w:tcBorders>
            <w:shd w:val="clear" w:color="000000" w:fill="FFFFFF"/>
            <w:vAlign w:val="center"/>
            <w:hideMark/>
          </w:tcPr>
          <w:p w14:paraId="1A62A410" w14:textId="77777777" w:rsidR="00083390" w:rsidRPr="00083390" w:rsidRDefault="00083390" w:rsidP="00083390">
            <w:pPr>
              <w:spacing w:line="240" w:lineRule="auto"/>
              <w:jc w:val="left"/>
              <w:rPr>
                <w:rFonts w:eastAsia="Times New Roman" w:cs="Calibri"/>
                <w:b/>
                <w:bCs/>
                <w:color w:val="auto"/>
                <w:szCs w:val="20"/>
                <w:lang w:eastAsia="en-GB"/>
              </w:rPr>
            </w:pPr>
            <w:r w:rsidRPr="00083390">
              <w:rPr>
                <w:rFonts w:eastAsia="Times New Roman" w:cs="Calibri"/>
                <w:b/>
                <w:bCs/>
                <w:color w:val="auto"/>
                <w:szCs w:val="20"/>
                <w:lang w:eastAsia="en-GB"/>
              </w:rPr>
              <w:t xml:space="preserve">Balance 31 March </w:t>
            </w:r>
          </w:p>
        </w:tc>
        <w:tc>
          <w:tcPr>
            <w:tcW w:w="1140" w:type="dxa"/>
            <w:tcBorders>
              <w:top w:val="nil"/>
              <w:left w:val="nil"/>
              <w:bottom w:val="single" w:sz="4" w:space="0" w:color="auto"/>
              <w:right w:val="nil"/>
            </w:tcBorders>
            <w:shd w:val="clear" w:color="000000" w:fill="CCECFF"/>
            <w:vAlign w:val="center"/>
            <w:hideMark/>
          </w:tcPr>
          <w:p w14:paraId="553CB647" w14:textId="77777777" w:rsidR="00083390" w:rsidRPr="00083390" w:rsidRDefault="00083390" w:rsidP="00083390">
            <w:pPr>
              <w:spacing w:line="240" w:lineRule="auto"/>
              <w:jc w:val="right"/>
              <w:rPr>
                <w:rFonts w:eastAsia="Times New Roman" w:cs="Calibri"/>
                <w:b/>
                <w:bCs/>
                <w:color w:val="auto"/>
                <w:szCs w:val="20"/>
                <w:lang w:eastAsia="en-GB"/>
              </w:rPr>
            </w:pPr>
            <w:r w:rsidRPr="00083390">
              <w:rPr>
                <w:rFonts w:eastAsia="Times New Roman" w:cs="Calibri"/>
                <w:b/>
                <w:bCs/>
                <w:color w:val="auto"/>
                <w:szCs w:val="20"/>
                <w:lang w:eastAsia="en-GB"/>
              </w:rPr>
              <w:t>2,969</w:t>
            </w:r>
          </w:p>
        </w:tc>
      </w:tr>
    </w:tbl>
    <w:p w14:paraId="3B8A330C" w14:textId="77777777" w:rsidR="009E53F6" w:rsidRPr="00327904" w:rsidRDefault="009E53F6" w:rsidP="00354E03"/>
    <w:p w14:paraId="53A3C496" w14:textId="131208AC" w:rsidR="002522D4" w:rsidRPr="00A14CAC" w:rsidRDefault="002522D4" w:rsidP="00EB49F7">
      <w:pPr>
        <w:pStyle w:val="NoteHeader"/>
        <w:rPr>
          <w:lang w:val="pt-BR"/>
        </w:rPr>
      </w:pPr>
      <w:bookmarkStart w:id="162" w:name="_Toc9592066"/>
      <w:bookmarkStart w:id="163" w:name="_Toc191457334"/>
      <w:r w:rsidRPr="00A14CAC">
        <w:rPr>
          <w:lang w:val="pt-BR"/>
        </w:rPr>
        <w:t>Note 18 - Property, Plant and Equipment</w:t>
      </w:r>
      <w:bookmarkEnd w:id="160"/>
      <w:bookmarkEnd w:id="161"/>
      <w:bookmarkEnd w:id="162"/>
      <w:bookmarkEnd w:id="163"/>
    </w:p>
    <w:p w14:paraId="4CB98C3A" w14:textId="77777777" w:rsidR="002522D4" w:rsidRPr="00A14CAC" w:rsidRDefault="002522D4" w:rsidP="006A5AA6">
      <w:pPr>
        <w:rPr>
          <w:lang w:val="pt-BR"/>
        </w:rPr>
      </w:pPr>
    </w:p>
    <w:p w14:paraId="53DFDAED" w14:textId="32B36C74" w:rsidR="002522D4" w:rsidRPr="00354E03" w:rsidRDefault="009E752A" w:rsidP="006A5AA6">
      <w:pPr>
        <w:rPr>
          <w:rFonts w:ascii="Verdana" w:hAnsi="Verdana"/>
          <w:lang w:val="pt-BR"/>
        </w:rPr>
      </w:pPr>
      <w:r w:rsidRPr="00A14CAC">
        <w:rPr>
          <w:noProof/>
          <w:szCs w:val="20"/>
          <w:lang w:eastAsia="en-GB"/>
        </w:rPr>
        <w:t xml:space="preserve">Refer to Note 18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4DDE97CE" w14:textId="77777777" w:rsidR="005433C7" w:rsidRPr="00A14CAC" w:rsidRDefault="005433C7" w:rsidP="006A5AA6">
      <w:pPr>
        <w:rPr>
          <w:lang w:val="en-AU"/>
        </w:rPr>
      </w:pPr>
    </w:p>
    <w:p w14:paraId="6F728E47" w14:textId="77777777" w:rsidR="002522D4" w:rsidRPr="00A14CAC" w:rsidRDefault="002522D4" w:rsidP="00EB49F7">
      <w:pPr>
        <w:pStyle w:val="NoteHeader"/>
      </w:pPr>
      <w:bookmarkStart w:id="164" w:name="_Toc517077295"/>
      <w:bookmarkStart w:id="165" w:name="_Toc9272520"/>
      <w:bookmarkStart w:id="166" w:name="_Toc9592067"/>
      <w:bookmarkStart w:id="167" w:name="_Toc191457335"/>
      <w:r w:rsidRPr="00A14CAC">
        <w:t>Note 19 - Impairment Losses</w:t>
      </w:r>
      <w:bookmarkEnd w:id="164"/>
      <w:bookmarkEnd w:id="165"/>
      <w:bookmarkEnd w:id="166"/>
      <w:bookmarkEnd w:id="167"/>
      <w:r w:rsidRPr="00A14CAC">
        <w:t xml:space="preserve"> </w:t>
      </w:r>
    </w:p>
    <w:p w14:paraId="18C92ED5" w14:textId="77777777" w:rsidR="002522D4" w:rsidRPr="00A14CAC" w:rsidRDefault="002522D4" w:rsidP="006A5AA6"/>
    <w:p w14:paraId="6CEF771E" w14:textId="28546A6B" w:rsidR="009E752A" w:rsidRPr="00354E03" w:rsidRDefault="009E752A" w:rsidP="006A5AA6">
      <w:r w:rsidRPr="00A14CAC">
        <w:rPr>
          <w:noProof/>
          <w:szCs w:val="20"/>
          <w:lang w:eastAsia="en-GB"/>
        </w:rPr>
        <w:t xml:space="preserve">Refer to Note 19 Office of the Police, Fire &amp; Crime Commissioner (OPFCC) </w:t>
      </w:r>
      <w:r w:rsidR="001D2D0F">
        <w:rPr>
          <w:noProof/>
          <w:szCs w:val="20"/>
          <w:lang w:eastAsia="en-GB"/>
        </w:rPr>
        <w:t xml:space="preserve">Group </w:t>
      </w:r>
      <w:r w:rsidRPr="00A14CAC">
        <w:rPr>
          <w:noProof/>
          <w:szCs w:val="20"/>
          <w:lang w:eastAsia="en-GB"/>
        </w:rPr>
        <w:t>Statement of Accounts.</w:t>
      </w:r>
      <w:bookmarkStart w:id="168" w:name="_Toc517077296"/>
      <w:bookmarkStart w:id="169" w:name="_Toc9272521"/>
    </w:p>
    <w:p w14:paraId="39B9BB4D" w14:textId="2BDF7E15" w:rsidR="005433C7" w:rsidRDefault="005433C7" w:rsidP="006A5AA6">
      <w:pPr>
        <w:rPr>
          <w:lang w:val="pt-BR"/>
        </w:rPr>
      </w:pPr>
    </w:p>
    <w:p w14:paraId="25534720" w14:textId="1A646145" w:rsidR="002522D4" w:rsidRPr="00A14CAC" w:rsidRDefault="002522D4" w:rsidP="00EB49F7">
      <w:pPr>
        <w:pStyle w:val="NoteHeader"/>
        <w:rPr>
          <w:lang w:val="pt-BR"/>
        </w:rPr>
      </w:pPr>
      <w:bookmarkStart w:id="170" w:name="_Toc9592068"/>
      <w:bookmarkStart w:id="171" w:name="_Toc191457336"/>
      <w:r w:rsidRPr="00A14CAC">
        <w:rPr>
          <w:lang w:val="pt-BR"/>
        </w:rPr>
        <w:t>Note 20 - Assets Held for Sale</w:t>
      </w:r>
      <w:bookmarkEnd w:id="168"/>
      <w:bookmarkEnd w:id="169"/>
      <w:bookmarkEnd w:id="170"/>
      <w:bookmarkEnd w:id="171"/>
    </w:p>
    <w:p w14:paraId="06DC5B6A" w14:textId="77777777" w:rsidR="002522D4" w:rsidRPr="00A14CAC" w:rsidRDefault="002522D4" w:rsidP="006A5AA6">
      <w:pPr>
        <w:rPr>
          <w:lang w:val="pt-BR"/>
        </w:rPr>
      </w:pPr>
    </w:p>
    <w:p w14:paraId="286F7A08" w14:textId="49836143" w:rsidR="002522D4" w:rsidRPr="00354E03" w:rsidRDefault="009E752A" w:rsidP="006A5AA6">
      <w:r w:rsidRPr="00A14CAC">
        <w:rPr>
          <w:noProof/>
          <w:szCs w:val="20"/>
          <w:lang w:eastAsia="en-GB"/>
        </w:rPr>
        <w:t xml:space="preserve">Refer to Note 20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57A95CF2" w14:textId="77777777" w:rsidR="005433C7" w:rsidRPr="00A14CAC" w:rsidRDefault="005433C7" w:rsidP="006A5AA6">
      <w:pPr>
        <w:rPr>
          <w:lang w:val="pt-BR"/>
        </w:rPr>
      </w:pPr>
    </w:p>
    <w:p w14:paraId="175F9A2A" w14:textId="06A9B7FA" w:rsidR="002522D4" w:rsidRPr="00A14CAC" w:rsidRDefault="002522D4" w:rsidP="00EB49F7">
      <w:pPr>
        <w:pStyle w:val="NoteHeader"/>
      </w:pPr>
      <w:bookmarkStart w:id="172" w:name="_Toc517077297"/>
      <w:bookmarkStart w:id="173" w:name="_Toc9272522"/>
      <w:bookmarkStart w:id="174" w:name="_Toc9592069"/>
      <w:bookmarkStart w:id="175" w:name="_Toc191457337"/>
      <w:r w:rsidRPr="00A14CAC">
        <w:t>Note 21 - Investment Properties</w:t>
      </w:r>
      <w:bookmarkEnd w:id="172"/>
      <w:bookmarkEnd w:id="173"/>
      <w:bookmarkEnd w:id="174"/>
      <w:bookmarkEnd w:id="175"/>
    </w:p>
    <w:p w14:paraId="49AA0676" w14:textId="77777777" w:rsidR="002522D4" w:rsidRPr="00A14CAC" w:rsidRDefault="002522D4" w:rsidP="00A14CAC"/>
    <w:p w14:paraId="570550C6" w14:textId="707BF6CD" w:rsidR="002522D4" w:rsidRPr="00354E03" w:rsidRDefault="009E752A" w:rsidP="00A14CAC">
      <w:r w:rsidRPr="00A14CAC">
        <w:rPr>
          <w:noProof/>
          <w:szCs w:val="20"/>
          <w:lang w:eastAsia="en-GB"/>
        </w:rPr>
        <w:t>Refer to Note 2</w:t>
      </w:r>
      <w:r w:rsidR="00D25F34" w:rsidRPr="00A14CAC">
        <w:rPr>
          <w:noProof/>
          <w:szCs w:val="20"/>
          <w:lang w:eastAsia="en-GB"/>
        </w:rPr>
        <w:t>1</w:t>
      </w:r>
      <w:r w:rsidRPr="00A14CAC">
        <w:rPr>
          <w:noProof/>
          <w:szCs w:val="20"/>
          <w:lang w:eastAsia="en-GB"/>
        </w:rPr>
        <w:t xml:space="preserve"> Office of the Police, Fire &amp; Crime Commissioner (OPFCC) </w:t>
      </w:r>
      <w:r w:rsidR="001D2D0F">
        <w:rPr>
          <w:noProof/>
          <w:szCs w:val="20"/>
          <w:lang w:eastAsia="en-GB"/>
        </w:rPr>
        <w:t xml:space="preserve">Group </w:t>
      </w:r>
      <w:r w:rsidRPr="00A14CAC">
        <w:rPr>
          <w:noProof/>
          <w:szCs w:val="20"/>
          <w:lang w:eastAsia="en-GB"/>
        </w:rPr>
        <w:t>Statement of Accounts.</w:t>
      </w:r>
      <w:r w:rsidR="002522D4" w:rsidRPr="00A14CAC">
        <w:t xml:space="preserve">  </w:t>
      </w:r>
    </w:p>
    <w:p w14:paraId="01F8AA14" w14:textId="77777777" w:rsidR="005433C7" w:rsidRPr="00653D20" w:rsidRDefault="005433C7" w:rsidP="00A14CAC">
      <w:pPr>
        <w:rPr>
          <w:highlight w:val="yellow"/>
        </w:rPr>
      </w:pPr>
    </w:p>
    <w:p w14:paraId="3BA17531" w14:textId="1D02A01B" w:rsidR="002522D4" w:rsidRPr="00A14CAC" w:rsidRDefault="002522D4" w:rsidP="006A5AA6">
      <w:pPr>
        <w:pStyle w:val="NoteHeader"/>
      </w:pPr>
      <w:bookmarkStart w:id="176" w:name="_Toc517077298"/>
      <w:bookmarkStart w:id="177" w:name="_Toc9272523"/>
      <w:bookmarkStart w:id="178" w:name="_Toc191457338"/>
      <w:r w:rsidRPr="00A14CAC">
        <w:t>Note 22 - Leases</w:t>
      </w:r>
      <w:bookmarkEnd w:id="176"/>
      <w:bookmarkEnd w:id="177"/>
      <w:bookmarkEnd w:id="178"/>
    </w:p>
    <w:p w14:paraId="3C19ADEC" w14:textId="77777777" w:rsidR="006A5AA6" w:rsidRPr="00A14CAC" w:rsidRDefault="006A5AA6" w:rsidP="006A5AA6">
      <w:pPr>
        <w:rPr>
          <w:noProof/>
          <w:lang w:eastAsia="en-GB"/>
        </w:rPr>
      </w:pPr>
    </w:p>
    <w:p w14:paraId="5B5F4CD3" w14:textId="5EB7F9D3" w:rsidR="002522D4" w:rsidRPr="00354E03" w:rsidRDefault="00D25F34" w:rsidP="006A5AA6">
      <w:pPr>
        <w:rPr>
          <w:rFonts w:eastAsia="Calibri" w:cs="Times New Roman"/>
        </w:rPr>
      </w:pPr>
      <w:r w:rsidRPr="00A14CAC">
        <w:rPr>
          <w:noProof/>
          <w:lang w:eastAsia="en-GB"/>
        </w:rPr>
        <w:t xml:space="preserve">Refer to Note 22 Office of the Police, Fire &amp; Crime Commissioner (OPFCC) </w:t>
      </w:r>
      <w:r w:rsidR="001D2D0F">
        <w:rPr>
          <w:noProof/>
          <w:lang w:eastAsia="en-GB"/>
        </w:rPr>
        <w:t xml:space="preserve">Group </w:t>
      </w:r>
      <w:r w:rsidRPr="00A14CAC">
        <w:rPr>
          <w:noProof/>
          <w:lang w:eastAsia="en-GB"/>
        </w:rPr>
        <w:t>Statement of Accounts.</w:t>
      </w:r>
    </w:p>
    <w:p w14:paraId="72131876" w14:textId="77777777" w:rsidR="00052327" w:rsidRPr="00A14CAC" w:rsidRDefault="00052327" w:rsidP="006A5AA6">
      <w:pPr>
        <w:rPr>
          <w:lang w:val="pt-BR"/>
        </w:rPr>
      </w:pPr>
    </w:p>
    <w:p w14:paraId="619E5097" w14:textId="71DD77C3" w:rsidR="002522D4" w:rsidRPr="00A14CAC" w:rsidRDefault="002522D4" w:rsidP="006A5AA6">
      <w:pPr>
        <w:pStyle w:val="NoteHeader"/>
      </w:pPr>
      <w:bookmarkStart w:id="179" w:name="_Toc517077299"/>
      <w:bookmarkStart w:id="180" w:name="_Toc9272524"/>
      <w:bookmarkStart w:id="181" w:name="_Toc191457339"/>
      <w:r w:rsidRPr="00A14CAC">
        <w:t>Note 23 - Intangible Assets</w:t>
      </w:r>
      <w:bookmarkEnd w:id="179"/>
      <w:bookmarkEnd w:id="180"/>
      <w:bookmarkEnd w:id="181"/>
    </w:p>
    <w:p w14:paraId="11869616" w14:textId="77777777" w:rsidR="006A5AA6" w:rsidRPr="00A14CAC" w:rsidRDefault="006A5AA6" w:rsidP="002522D4">
      <w:pPr>
        <w:rPr>
          <w:noProof/>
          <w:szCs w:val="20"/>
          <w:lang w:eastAsia="en-GB"/>
        </w:rPr>
      </w:pPr>
    </w:p>
    <w:p w14:paraId="5B79BC03" w14:textId="52F80E75" w:rsidR="002522D4" w:rsidRPr="00A14CAC" w:rsidRDefault="00D25F34" w:rsidP="005433C7">
      <w:r w:rsidRPr="00A14CAC">
        <w:rPr>
          <w:noProof/>
          <w:szCs w:val="20"/>
          <w:lang w:eastAsia="en-GB"/>
        </w:rPr>
        <w:t xml:space="preserve">Refer to Note 23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82E9FF8" w14:textId="77777777" w:rsidR="005433C7" w:rsidRPr="00A14CAC" w:rsidRDefault="005433C7" w:rsidP="005433C7"/>
    <w:p w14:paraId="5FBBE7F9" w14:textId="355BC2D2" w:rsidR="002522D4" w:rsidRPr="00A14CAC" w:rsidRDefault="002522D4" w:rsidP="006A5AA6">
      <w:pPr>
        <w:pStyle w:val="NoteHeader"/>
      </w:pPr>
      <w:bookmarkStart w:id="182" w:name="_Toc517077300"/>
      <w:bookmarkStart w:id="183" w:name="_Toc9272525"/>
      <w:bookmarkStart w:id="184" w:name="_Toc191457340"/>
      <w:r w:rsidRPr="00A14CAC">
        <w:t>Note 24 - Capital Expenditure and Capital Financing</w:t>
      </w:r>
      <w:bookmarkEnd w:id="182"/>
      <w:bookmarkEnd w:id="183"/>
      <w:bookmarkEnd w:id="184"/>
    </w:p>
    <w:p w14:paraId="46BF3777" w14:textId="77777777" w:rsidR="006A5AA6" w:rsidRPr="00A14CAC" w:rsidRDefault="006A5AA6" w:rsidP="00EB49F7">
      <w:pPr>
        <w:rPr>
          <w:noProof/>
          <w:szCs w:val="20"/>
          <w:lang w:eastAsia="en-GB"/>
        </w:rPr>
      </w:pPr>
    </w:p>
    <w:p w14:paraId="30BF9B4F" w14:textId="77777777" w:rsidR="00D25F34" w:rsidRPr="00A14CAC" w:rsidRDefault="00D25F34" w:rsidP="00EB49F7">
      <w:pPr>
        <w:rPr>
          <w:noProof/>
          <w:szCs w:val="20"/>
          <w:lang w:eastAsia="en-GB"/>
        </w:rPr>
      </w:pPr>
      <w:r w:rsidRPr="00A14CAC">
        <w:rPr>
          <w:noProof/>
          <w:szCs w:val="20"/>
          <w:lang w:eastAsia="en-GB"/>
        </w:rPr>
        <w:t xml:space="preserve">Refer to Note 24 Office of the Police, Fire &amp; Crime Commissioner (OPFCC) </w:t>
      </w:r>
      <w:r w:rsidR="001D2D0F">
        <w:rPr>
          <w:noProof/>
          <w:szCs w:val="20"/>
          <w:lang w:eastAsia="en-GB"/>
        </w:rPr>
        <w:t xml:space="preserve">Group </w:t>
      </w:r>
      <w:r w:rsidRPr="00A14CAC">
        <w:rPr>
          <w:noProof/>
          <w:szCs w:val="20"/>
          <w:lang w:eastAsia="en-GB"/>
        </w:rPr>
        <w:t>Statement of Accounts.</w:t>
      </w:r>
    </w:p>
    <w:p w14:paraId="617F601B" w14:textId="77777777" w:rsidR="00E17F55" w:rsidRDefault="00E17F55" w:rsidP="005433C7">
      <w:pPr>
        <w:rPr>
          <w:lang w:val="pt-BR"/>
        </w:rPr>
      </w:pPr>
    </w:p>
    <w:p w14:paraId="799A7B28" w14:textId="77777777" w:rsidR="00FC7D71" w:rsidRDefault="00FC7D71" w:rsidP="005433C7">
      <w:pPr>
        <w:rPr>
          <w:lang w:val="pt-BR"/>
        </w:rPr>
      </w:pPr>
    </w:p>
    <w:p w14:paraId="06CCDED9" w14:textId="77777777" w:rsidR="00FC7D71" w:rsidRDefault="00FC7D71" w:rsidP="005433C7">
      <w:pPr>
        <w:rPr>
          <w:lang w:val="pt-BR"/>
        </w:rPr>
      </w:pPr>
    </w:p>
    <w:p w14:paraId="6160F815" w14:textId="77777777" w:rsidR="00FC7D71" w:rsidRPr="00A14CAC" w:rsidRDefault="00FC7D71" w:rsidP="005433C7">
      <w:pPr>
        <w:rPr>
          <w:lang w:val="pt-BR"/>
        </w:rPr>
      </w:pPr>
    </w:p>
    <w:p w14:paraId="01E5E603" w14:textId="77777777" w:rsidR="002522D4" w:rsidRPr="00A14CAC" w:rsidRDefault="002522D4" w:rsidP="00EB49F7">
      <w:pPr>
        <w:pStyle w:val="NoteHeader"/>
        <w:rPr>
          <w:lang w:val="pt-BR"/>
        </w:rPr>
      </w:pPr>
      <w:bookmarkStart w:id="185" w:name="_Toc517077301"/>
      <w:bookmarkStart w:id="186" w:name="_Toc9272526"/>
      <w:bookmarkStart w:id="187" w:name="_Toc9592070"/>
      <w:bookmarkStart w:id="188" w:name="_Toc191457341"/>
      <w:r w:rsidRPr="00A14CAC">
        <w:rPr>
          <w:lang w:val="pt-BR"/>
        </w:rPr>
        <w:lastRenderedPageBreak/>
        <w:t>Note 25 - Construction Contracts</w:t>
      </w:r>
      <w:bookmarkEnd w:id="185"/>
      <w:bookmarkEnd w:id="186"/>
      <w:bookmarkEnd w:id="187"/>
      <w:bookmarkEnd w:id="188"/>
      <w:r w:rsidRPr="00A14CAC">
        <w:rPr>
          <w:lang w:val="pt-BR"/>
        </w:rPr>
        <w:t xml:space="preserve"> </w:t>
      </w:r>
    </w:p>
    <w:p w14:paraId="6BB5A9C6" w14:textId="77777777" w:rsidR="002522D4" w:rsidRPr="00A14CAC" w:rsidRDefault="002522D4" w:rsidP="00EB49F7">
      <w:pPr>
        <w:rPr>
          <w:lang w:val="pt-BR"/>
        </w:rPr>
      </w:pPr>
    </w:p>
    <w:p w14:paraId="2DD64567" w14:textId="644E8C56" w:rsidR="005433C7" w:rsidRDefault="008C3689" w:rsidP="00EB49F7">
      <w:pPr>
        <w:rPr>
          <w:noProof/>
          <w:szCs w:val="20"/>
          <w:lang w:eastAsia="en-GB"/>
        </w:rPr>
      </w:pPr>
      <w:r>
        <w:rPr>
          <w:noProof/>
          <w:szCs w:val="20"/>
          <w:lang w:eastAsia="en-GB"/>
        </w:rPr>
        <w:t>At 31 March 202</w:t>
      </w:r>
      <w:r w:rsidR="00327904">
        <w:rPr>
          <w:noProof/>
          <w:szCs w:val="20"/>
          <w:lang w:eastAsia="en-GB"/>
        </w:rPr>
        <w:t>4</w:t>
      </w:r>
      <w:r w:rsidR="002522D4" w:rsidRPr="00A14CAC">
        <w:rPr>
          <w:noProof/>
          <w:szCs w:val="20"/>
          <w:lang w:eastAsia="en-GB"/>
        </w:rPr>
        <w:t xml:space="preserve"> the </w:t>
      </w:r>
      <w:r w:rsidR="001D2D0F">
        <w:rPr>
          <w:noProof/>
          <w:szCs w:val="20"/>
          <w:lang w:eastAsia="en-GB"/>
        </w:rPr>
        <w:t>O</w:t>
      </w:r>
      <w:r w:rsidR="00C75713" w:rsidRPr="00A14CAC">
        <w:rPr>
          <w:noProof/>
          <w:szCs w:val="20"/>
          <w:lang w:eastAsia="en-GB"/>
        </w:rPr>
        <w:t>CC</w:t>
      </w:r>
      <w:r w:rsidR="002522D4" w:rsidRPr="00A14CAC">
        <w:rPr>
          <w:noProof/>
          <w:szCs w:val="20"/>
          <w:lang w:eastAsia="en-GB"/>
        </w:rPr>
        <w:t xml:space="preserve"> had no construction contracts in progress</w:t>
      </w:r>
      <w:r w:rsidR="00295700">
        <w:rPr>
          <w:noProof/>
          <w:szCs w:val="20"/>
          <w:lang w:eastAsia="en-GB"/>
        </w:rPr>
        <w:t xml:space="preserve"> as the Office for the Police, Fire &amp; Crime Commissioner (OPFCC) is the owner of all contracts</w:t>
      </w:r>
      <w:r w:rsidR="002522D4" w:rsidRPr="009355C8">
        <w:rPr>
          <w:noProof/>
          <w:szCs w:val="20"/>
          <w:lang w:eastAsia="en-GB"/>
        </w:rPr>
        <w:t>.</w:t>
      </w:r>
      <w:r w:rsidR="00295700" w:rsidRPr="009355C8">
        <w:rPr>
          <w:noProof/>
          <w:szCs w:val="20"/>
          <w:lang w:eastAsia="en-GB"/>
        </w:rPr>
        <w:t xml:space="preserve"> </w:t>
      </w:r>
      <w:r w:rsidR="009355C8">
        <w:rPr>
          <w:noProof/>
          <w:szCs w:val="20"/>
          <w:lang w:eastAsia="en-GB"/>
        </w:rPr>
        <w:t xml:space="preserve"> </w:t>
      </w:r>
      <w:r w:rsidR="00295700" w:rsidRPr="009355C8">
        <w:rPr>
          <w:noProof/>
          <w:szCs w:val="20"/>
          <w:lang w:eastAsia="en-GB"/>
        </w:rPr>
        <w:t xml:space="preserve">Please refer to Note 25 of the OPFCC’s </w:t>
      </w:r>
      <w:r w:rsidR="009355C8">
        <w:rPr>
          <w:noProof/>
          <w:szCs w:val="20"/>
          <w:lang w:eastAsia="en-GB"/>
        </w:rPr>
        <w:t>G</w:t>
      </w:r>
      <w:r w:rsidR="00295700" w:rsidRPr="009355C8">
        <w:rPr>
          <w:noProof/>
          <w:szCs w:val="20"/>
          <w:lang w:eastAsia="en-GB"/>
        </w:rPr>
        <w:t>roup Statement of Accounts for further information.</w:t>
      </w:r>
    </w:p>
    <w:p w14:paraId="64767D2A" w14:textId="77777777" w:rsidR="00FC7D71" w:rsidRPr="008441E1" w:rsidRDefault="00FC7D71" w:rsidP="00EB49F7">
      <w:pPr>
        <w:rPr>
          <w:noProof/>
          <w:szCs w:val="20"/>
          <w:lang w:eastAsia="en-GB"/>
        </w:rPr>
      </w:pPr>
    </w:p>
    <w:p w14:paraId="10315145" w14:textId="77777777" w:rsidR="002522D4" w:rsidRPr="00A14CAC" w:rsidRDefault="002522D4" w:rsidP="00EB49F7">
      <w:pPr>
        <w:pStyle w:val="NoteHeader"/>
        <w:rPr>
          <w:lang w:val="pt-BR"/>
        </w:rPr>
      </w:pPr>
      <w:bookmarkStart w:id="189" w:name="_Toc517077302"/>
      <w:bookmarkStart w:id="190" w:name="_Toc9272527"/>
      <w:bookmarkStart w:id="191" w:name="_Toc9592071"/>
      <w:bookmarkStart w:id="192" w:name="_Toc191457342"/>
      <w:r w:rsidRPr="00A14CAC">
        <w:rPr>
          <w:lang w:val="pt-BR"/>
        </w:rPr>
        <w:t>Note 26 - Debtors</w:t>
      </w:r>
      <w:bookmarkEnd w:id="189"/>
      <w:bookmarkEnd w:id="190"/>
      <w:bookmarkEnd w:id="191"/>
      <w:bookmarkEnd w:id="192"/>
      <w:r w:rsidRPr="00A14CAC">
        <w:rPr>
          <w:lang w:val="pt-BR"/>
        </w:rPr>
        <w:t xml:space="preserve"> </w:t>
      </w:r>
    </w:p>
    <w:p w14:paraId="4F07772B" w14:textId="77777777" w:rsidR="002522D4" w:rsidRPr="00A14CAC" w:rsidRDefault="002522D4" w:rsidP="002522D4">
      <w:pPr>
        <w:rPr>
          <w:lang w:val="pt-BR"/>
        </w:rPr>
      </w:pPr>
    </w:p>
    <w:p w14:paraId="6C7381D0" w14:textId="77777777" w:rsidR="00D25F34" w:rsidRPr="00A14CAC" w:rsidRDefault="00D25F34" w:rsidP="002522D4">
      <w:pPr>
        <w:rPr>
          <w:lang w:val="pt-BR"/>
        </w:rPr>
      </w:pPr>
      <w:r w:rsidRPr="00A14CAC">
        <w:rPr>
          <w:noProof/>
          <w:szCs w:val="20"/>
          <w:lang w:eastAsia="en-GB"/>
        </w:rPr>
        <w:t xml:space="preserve">Refer to Note 26 Office of the Police, Fire &amp; Crime Commissioner (OPFCC) </w:t>
      </w:r>
      <w:r w:rsidR="001D2D0F">
        <w:rPr>
          <w:noProof/>
          <w:szCs w:val="20"/>
          <w:lang w:eastAsia="en-GB"/>
        </w:rPr>
        <w:t xml:space="preserve">Group </w:t>
      </w:r>
      <w:r w:rsidRPr="00A14CAC">
        <w:rPr>
          <w:noProof/>
          <w:szCs w:val="20"/>
          <w:lang w:eastAsia="en-GB"/>
        </w:rPr>
        <w:t>Statement of Accounts.</w:t>
      </w:r>
    </w:p>
    <w:p w14:paraId="2647F68F" w14:textId="77777777" w:rsidR="002522D4" w:rsidRPr="00A14CAC" w:rsidRDefault="002522D4" w:rsidP="00EE796C">
      <w:pPr>
        <w:rPr>
          <w:lang w:val="pt-BR"/>
        </w:rPr>
      </w:pPr>
    </w:p>
    <w:p w14:paraId="248A6628" w14:textId="77777777" w:rsidR="002522D4" w:rsidRPr="00A14CAC" w:rsidRDefault="002522D4" w:rsidP="005433C7">
      <w:pPr>
        <w:pStyle w:val="NoteHeader"/>
        <w:rPr>
          <w:lang w:val="pt-BR"/>
        </w:rPr>
      </w:pPr>
      <w:bookmarkStart w:id="193" w:name="_Toc517077303"/>
      <w:bookmarkStart w:id="194" w:name="_Toc9272528"/>
      <w:bookmarkStart w:id="195" w:name="_Toc9592072"/>
      <w:bookmarkStart w:id="196" w:name="_Toc191457343"/>
      <w:r w:rsidRPr="00A14CAC">
        <w:rPr>
          <w:lang w:val="pt-BR"/>
        </w:rPr>
        <w:t>Note 27 - Inventories</w:t>
      </w:r>
      <w:bookmarkEnd w:id="193"/>
      <w:bookmarkEnd w:id="194"/>
      <w:bookmarkEnd w:id="195"/>
      <w:bookmarkEnd w:id="196"/>
      <w:r w:rsidRPr="00A14CAC">
        <w:rPr>
          <w:lang w:val="pt-BR"/>
        </w:rPr>
        <w:t xml:space="preserve"> </w:t>
      </w:r>
    </w:p>
    <w:p w14:paraId="6C7DE40C" w14:textId="77777777" w:rsidR="005433C7" w:rsidRPr="00A14CAC" w:rsidRDefault="005433C7" w:rsidP="006A5AA6">
      <w:pPr>
        <w:rPr>
          <w:noProof/>
          <w:lang w:eastAsia="en-GB"/>
        </w:rPr>
      </w:pPr>
    </w:p>
    <w:p w14:paraId="34A28032" w14:textId="77777777" w:rsidR="00D25F34" w:rsidRPr="00A14CAC" w:rsidRDefault="00D25F34" w:rsidP="006A5AA6">
      <w:pPr>
        <w:rPr>
          <w:noProof/>
          <w:szCs w:val="20"/>
          <w:lang w:eastAsia="en-GB"/>
        </w:rPr>
      </w:pPr>
      <w:r w:rsidRPr="00A14CAC">
        <w:rPr>
          <w:noProof/>
          <w:szCs w:val="20"/>
          <w:lang w:eastAsia="en-GB"/>
        </w:rPr>
        <w:t xml:space="preserve">Refer to Note 27 Office of the Police, Fire &amp; Crime Commissioner (OPFCC) </w:t>
      </w:r>
      <w:r w:rsidR="001D2D0F">
        <w:rPr>
          <w:noProof/>
          <w:szCs w:val="20"/>
          <w:lang w:eastAsia="en-GB"/>
        </w:rPr>
        <w:t xml:space="preserve">Group </w:t>
      </w:r>
      <w:r w:rsidRPr="00A14CAC">
        <w:rPr>
          <w:noProof/>
          <w:szCs w:val="20"/>
          <w:lang w:eastAsia="en-GB"/>
        </w:rPr>
        <w:t>Statement of Accounts.</w:t>
      </w:r>
    </w:p>
    <w:p w14:paraId="3EAF1D0A" w14:textId="77777777" w:rsidR="006A5AA6" w:rsidRPr="00A14CAC" w:rsidRDefault="006A5AA6" w:rsidP="00EE796C">
      <w:pPr>
        <w:rPr>
          <w:lang w:val="pt-BR"/>
        </w:rPr>
      </w:pPr>
    </w:p>
    <w:p w14:paraId="5EF9F0B5" w14:textId="004D98FD" w:rsidR="002522D4" w:rsidRPr="00A14CAC" w:rsidRDefault="002522D4" w:rsidP="00EB49F7">
      <w:pPr>
        <w:pStyle w:val="NoteHeader"/>
        <w:rPr>
          <w:lang w:val="pt-BR"/>
        </w:rPr>
      </w:pPr>
      <w:bookmarkStart w:id="197" w:name="_Toc517077304"/>
      <w:bookmarkStart w:id="198" w:name="_Toc9272529"/>
      <w:bookmarkStart w:id="199" w:name="_Toc9592073"/>
      <w:bookmarkStart w:id="200" w:name="_Toc191457344"/>
      <w:r w:rsidRPr="00A14CAC">
        <w:rPr>
          <w:lang w:val="pt-BR"/>
        </w:rPr>
        <w:t>Note 28 - Provisions</w:t>
      </w:r>
      <w:bookmarkEnd w:id="197"/>
      <w:bookmarkEnd w:id="198"/>
      <w:bookmarkEnd w:id="199"/>
      <w:bookmarkEnd w:id="200"/>
    </w:p>
    <w:p w14:paraId="3594350F" w14:textId="77777777" w:rsidR="002522D4" w:rsidRPr="00A14CAC" w:rsidRDefault="002522D4" w:rsidP="002522D4">
      <w:pPr>
        <w:rPr>
          <w:lang w:val="pt-BR"/>
        </w:rPr>
      </w:pPr>
    </w:p>
    <w:p w14:paraId="325BB67D" w14:textId="78932846" w:rsidR="002522D4" w:rsidRPr="00A14CAC" w:rsidRDefault="00D25F34" w:rsidP="005433C7">
      <w:pPr>
        <w:rPr>
          <w:lang w:val="pt-BR"/>
        </w:rPr>
      </w:pPr>
      <w:r w:rsidRPr="00A14CAC">
        <w:rPr>
          <w:noProof/>
          <w:szCs w:val="20"/>
          <w:lang w:eastAsia="en-GB"/>
        </w:rPr>
        <w:t xml:space="preserve">Refer to Note 28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374BA99" w14:textId="77777777" w:rsidR="005433C7" w:rsidRPr="00A14CAC" w:rsidRDefault="005433C7" w:rsidP="005433C7">
      <w:pPr>
        <w:rPr>
          <w:lang w:val="pt-BR"/>
        </w:rPr>
      </w:pPr>
    </w:p>
    <w:p w14:paraId="30272340" w14:textId="77777777" w:rsidR="002522D4" w:rsidRPr="008D0D52" w:rsidRDefault="002522D4" w:rsidP="00EB49F7">
      <w:pPr>
        <w:pStyle w:val="NoteHeader"/>
        <w:rPr>
          <w:lang w:val="pt-BR"/>
        </w:rPr>
      </w:pPr>
      <w:bookmarkStart w:id="201" w:name="_Toc517077305"/>
      <w:bookmarkStart w:id="202" w:name="_Toc9272530"/>
      <w:bookmarkStart w:id="203" w:name="_Toc9592074"/>
      <w:bookmarkStart w:id="204" w:name="_Toc191457345"/>
      <w:r w:rsidRPr="008D0D52">
        <w:rPr>
          <w:lang w:val="pt-BR"/>
        </w:rPr>
        <w:t>Note 29 - Creditors</w:t>
      </w:r>
      <w:bookmarkEnd w:id="201"/>
      <w:bookmarkEnd w:id="202"/>
      <w:bookmarkEnd w:id="203"/>
      <w:bookmarkEnd w:id="204"/>
      <w:r w:rsidRPr="008D0D52">
        <w:rPr>
          <w:lang w:val="pt-BR"/>
        </w:rPr>
        <w:t xml:space="preserve"> </w:t>
      </w:r>
    </w:p>
    <w:p w14:paraId="68801368" w14:textId="77777777" w:rsidR="005433C7" w:rsidRPr="008D0D52" w:rsidRDefault="005433C7" w:rsidP="006A5AA6">
      <w:pPr>
        <w:rPr>
          <w:lang w:val="pt-BR"/>
        </w:rPr>
      </w:pPr>
    </w:p>
    <w:p w14:paraId="784BD81B" w14:textId="41F41B9D" w:rsidR="002522D4" w:rsidRDefault="002522D4" w:rsidP="006A5AA6">
      <w:pPr>
        <w:rPr>
          <w:lang w:val="pt-BR"/>
        </w:rPr>
      </w:pPr>
      <w:r w:rsidRPr="008D0D52">
        <w:rPr>
          <w:lang w:val="pt-BR"/>
        </w:rPr>
        <w:t xml:space="preserve">These amounts represent sums owed by the </w:t>
      </w:r>
      <w:r w:rsidR="009B0396">
        <w:rPr>
          <w:lang w:val="pt-BR"/>
        </w:rPr>
        <w:t>OCC</w:t>
      </w:r>
      <w:r w:rsidRPr="008D0D52">
        <w:rPr>
          <w:lang w:val="pt-BR"/>
        </w:rPr>
        <w:t xml:space="preserve"> to various sources, together with receipts in advance. </w:t>
      </w:r>
    </w:p>
    <w:p w14:paraId="224A51C3" w14:textId="77777777" w:rsidR="0043308A" w:rsidRPr="00AD2988" w:rsidRDefault="0043308A" w:rsidP="006A5AA6">
      <w:pPr>
        <w:rPr>
          <w:lang w:val="pt-BR"/>
        </w:rPr>
      </w:pPr>
    </w:p>
    <w:tbl>
      <w:tblPr>
        <w:tblW w:w="7796" w:type="dxa"/>
        <w:tblLook w:val="04A0" w:firstRow="1" w:lastRow="0" w:firstColumn="1" w:lastColumn="0" w:noHBand="0" w:noVBand="1"/>
      </w:tblPr>
      <w:tblGrid>
        <w:gridCol w:w="1701"/>
        <w:gridCol w:w="4594"/>
        <w:gridCol w:w="1501"/>
      </w:tblGrid>
      <w:tr w:rsidR="00D75FAE" w:rsidRPr="00D75FAE" w14:paraId="3EDA05D2" w14:textId="77777777" w:rsidTr="00DE74BB">
        <w:trPr>
          <w:trHeight w:val="289"/>
        </w:trPr>
        <w:tc>
          <w:tcPr>
            <w:tcW w:w="1701" w:type="dxa"/>
            <w:tcBorders>
              <w:top w:val="nil"/>
              <w:left w:val="nil"/>
              <w:bottom w:val="nil"/>
              <w:right w:val="nil"/>
            </w:tcBorders>
            <w:shd w:val="clear" w:color="000000" w:fill="000099"/>
            <w:vAlign w:val="bottom"/>
            <w:hideMark/>
          </w:tcPr>
          <w:p w14:paraId="6313D1BB"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Total</w:t>
            </w:r>
          </w:p>
        </w:tc>
        <w:tc>
          <w:tcPr>
            <w:tcW w:w="4594" w:type="dxa"/>
            <w:tcBorders>
              <w:top w:val="nil"/>
              <w:left w:val="nil"/>
              <w:bottom w:val="nil"/>
              <w:right w:val="nil"/>
            </w:tcBorders>
            <w:shd w:val="clear" w:color="000000" w:fill="000099"/>
            <w:vAlign w:val="bottom"/>
            <w:hideMark/>
          </w:tcPr>
          <w:p w14:paraId="0A61CE80"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w:t>
            </w:r>
          </w:p>
        </w:tc>
        <w:tc>
          <w:tcPr>
            <w:tcW w:w="1501" w:type="dxa"/>
            <w:tcBorders>
              <w:top w:val="nil"/>
              <w:left w:val="nil"/>
              <w:bottom w:val="nil"/>
              <w:right w:val="nil"/>
            </w:tcBorders>
            <w:shd w:val="clear" w:color="000000" w:fill="000099"/>
            <w:vAlign w:val="bottom"/>
            <w:hideMark/>
          </w:tcPr>
          <w:p w14:paraId="653BB6A0"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Total</w:t>
            </w:r>
          </w:p>
        </w:tc>
      </w:tr>
      <w:tr w:rsidR="00D75FAE" w:rsidRPr="00D75FAE" w14:paraId="5F7C2B22" w14:textId="77777777" w:rsidTr="00DE74BB">
        <w:trPr>
          <w:trHeight w:val="289"/>
        </w:trPr>
        <w:tc>
          <w:tcPr>
            <w:tcW w:w="1701" w:type="dxa"/>
            <w:tcBorders>
              <w:top w:val="nil"/>
              <w:left w:val="nil"/>
              <w:bottom w:val="nil"/>
              <w:right w:val="nil"/>
            </w:tcBorders>
            <w:shd w:val="clear" w:color="000000" w:fill="000099"/>
            <w:vAlign w:val="bottom"/>
            <w:hideMark/>
          </w:tcPr>
          <w:p w14:paraId="4D1E202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31 March 2023</w:t>
            </w:r>
          </w:p>
        </w:tc>
        <w:tc>
          <w:tcPr>
            <w:tcW w:w="4594" w:type="dxa"/>
            <w:tcBorders>
              <w:top w:val="nil"/>
              <w:left w:val="nil"/>
              <w:bottom w:val="nil"/>
              <w:right w:val="nil"/>
            </w:tcBorders>
            <w:shd w:val="clear" w:color="000000" w:fill="000099"/>
            <w:vAlign w:val="bottom"/>
            <w:hideMark/>
          </w:tcPr>
          <w:p w14:paraId="17C37FD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501" w:type="dxa"/>
            <w:tcBorders>
              <w:top w:val="nil"/>
              <w:left w:val="nil"/>
              <w:bottom w:val="nil"/>
              <w:right w:val="nil"/>
            </w:tcBorders>
            <w:shd w:val="clear" w:color="000000" w:fill="000099"/>
            <w:vAlign w:val="bottom"/>
            <w:hideMark/>
          </w:tcPr>
          <w:p w14:paraId="420BF328"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31 March 2024</w:t>
            </w:r>
          </w:p>
        </w:tc>
      </w:tr>
      <w:tr w:rsidR="00D75FAE" w:rsidRPr="00D75FAE" w14:paraId="194D3931" w14:textId="77777777" w:rsidTr="00DE74BB">
        <w:trPr>
          <w:trHeight w:val="289"/>
        </w:trPr>
        <w:tc>
          <w:tcPr>
            <w:tcW w:w="1701" w:type="dxa"/>
            <w:tcBorders>
              <w:top w:val="nil"/>
              <w:left w:val="nil"/>
              <w:bottom w:val="nil"/>
              <w:right w:val="nil"/>
            </w:tcBorders>
            <w:shd w:val="clear" w:color="000000" w:fill="000099"/>
            <w:vAlign w:val="bottom"/>
            <w:hideMark/>
          </w:tcPr>
          <w:p w14:paraId="398F9CE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4594" w:type="dxa"/>
            <w:tcBorders>
              <w:top w:val="nil"/>
              <w:left w:val="nil"/>
              <w:bottom w:val="nil"/>
              <w:right w:val="nil"/>
            </w:tcBorders>
            <w:shd w:val="clear" w:color="000000" w:fill="000099"/>
            <w:vAlign w:val="bottom"/>
            <w:hideMark/>
          </w:tcPr>
          <w:p w14:paraId="5582424C"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Creditors</w:t>
            </w:r>
          </w:p>
        </w:tc>
        <w:tc>
          <w:tcPr>
            <w:tcW w:w="1501" w:type="dxa"/>
            <w:tcBorders>
              <w:top w:val="nil"/>
              <w:left w:val="nil"/>
              <w:bottom w:val="nil"/>
              <w:right w:val="nil"/>
            </w:tcBorders>
            <w:shd w:val="clear" w:color="000000" w:fill="000099"/>
            <w:vAlign w:val="bottom"/>
            <w:hideMark/>
          </w:tcPr>
          <w:p w14:paraId="0136404B"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2EC9A3B6" w14:textId="77777777" w:rsidTr="00DE74BB">
        <w:trPr>
          <w:trHeight w:val="289"/>
        </w:trPr>
        <w:tc>
          <w:tcPr>
            <w:tcW w:w="1701" w:type="dxa"/>
            <w:tcBorders>
              <w:top w:val="nil"/>
              <w:left w:val="nil"/>
              <w:bottom w:val="nil"/>
              <w:right w:val="nil"/>
            </w:tcBorders>
            <w:shd w:val="clear" w:color="000000" w:fill="FFFFFF"/>
            <w:vAlign w:val="bottom"/>
            <w:hideMark/>
          </w:tcPr>
          <w:p w14:paraId="4297CC44"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(1,443)</w:t>
            </w:r>
          </w:p>
        </w:tc>
        <w:tc>
          <w:tcPr>
            <w:tcW w:w="4594" w:type="dxa"/>
            <w:tcBorders>
              <w:top w:val="nil"/>
              <w:left w:val="nil"/>
              <w:bottom w:val="nil"/>
              <w:right w:val="nil"/>
            </w:tcBorders>
            <w:shd w:val="clear" w:color="000000" w:fill="FFFFFF"/>
            <w:vAlign w:val="bottom"/>
            <w:hideMark/>
          </w:tcPr>
          <w:p w14:paraId="54842C46"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Accumulated Absence Accrual</w:t>
            </w:r>
          </w:p>
        </w:tc>
        <w:tc>
          <w:tcPr>
            <w:tcW w:w="1501" w:type="dxa"/>
            <w:tcBorders>
              <w:top w:val="nil"/>
              <w:left w:val="nil"/>
              <w:bottom w:val="nil"/>
              <w:right w:val="nil"/>
            </w:tcBorders>
            <w:shd w:val="clear" w:color="000000" w:fill="CCECFF"/>
            <w:vAlign w:val="bottom"/>
            <w:hideMark/>
          </w:tcPr>
          <w:p w14:paraId="6DA35A3C"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(2,969)</w:t>
            </w:r>
          </w:p>
        </w:tc>
      </w:tr>
      <w:tr w:rsidR="00D75FAE" w:rsidRPr="00D75FAE" w14:paraId="3D0F5663" w14:textId="77777777" w:rsidTr="00DE74BB">
        <w:trPr>
          <w:trHeight w:val="289"/>
        </w:trPr>
        <w:tc>
          <w:tcPr>
            <w:tcW w:w="1701" w:type="dxa"/>
            <w:tcBorders>
              <w:top w:val="single" w:sz="4" w:space="0" w:color="auto"/>
              <w:left w:val="nil"/>
              <w:bottom w:val="single" w:sz="4" w:space="0" w:color="auto"/>
              <w:right w:val="nil"/>
            </w:tcBorders>
            <w:shd w:val="clear" w:color="000000" w:fill="FFFFFF"/>
            <w:vAlign w:val="center"/>
            <w:hideMark/>
          </w:tcPr>
          <w:p w14:paraId="089A56F6"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(1,443)</w:t>
            </w:r>
          </w:p>
        </w:tc>
        <w:tc>
          <w:tcPr>
            <w:tcW w:w="4594" w:type="dxa"/>
            <w:tcBorders>
              <w:top w:val="single" w:sz="4" w:space="0" w:color="auto"/>
              <w:left w:val="nil"/>
              <w:bottom w:val="single" w:sz="4" w:space="0" w:color="auto"/>
              <w:right w:val="nil"/>
            </w:tcBorders>
            <w:shd w:val="clear" w:color="000000" w:fill="FFFFFF"/>
            <w:vAlign w:val="center"/>
            <w:hideMark/>
          </w:tcPr>
          <w:p w14:paraId="2406C6AE"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501" w:type="dxa"/>
            <w:tcBorders>
              <w:top w:val="single" w:sz="4" w:space="0" w:color="auto"/>
              <w:left w:val="nil"/>
              <w:bottom w:val="single" w:sz="4" w:space="0" w:color="auto"/>
              <w:right w:val="nil"/>
            </w:tcBorders>
            <w:shd w:val="clear" w:color="000000" w:fill="CCECFF"/>
            <w:vAlign w:val="center"/>
            <w:hideMark/>
          </w:tcPr>
          <w:p w14:paraId="3300B43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(2,969)</w:t>
            </w:r>
          </w:p>
        </w:tc>
      </w:tr>
    </w:tbl>
    <w:p w14:paraId="0D22BD63" w14:textId="77777777" w:rsidR="00354E03" w:rsidRPr="00354E03" w:rsidRDefault="00354E03" w:rsidP="00354E03"/>
    <w:p w14:paraId="41D3D41F" w14:textId="77777777" w:rsidR="002522D4" w:rsidRPr="00A14CAC" w:rsidRDefault="002522D4" w:rsidP="00EB49F7">
      <w:pPr>
        <w:pStyle w:val="NoteHeader"/>
      </w:pPr>
      <w:bookmarkStart w:id="205" w:name="_Toc517077306"/>
      <w:bookmarkStart w:id="206" w:name="_Toc9272531"/>
      <w:bookmarkStart w:id="207" w:name="_Toc9592075"/>
      <w:bookmarkStart w:id="208" w:name="_Toc191457346"/>
      <w:r w:rsidRPr="00F40693">
        <w:t>Note 30 - Capitalisation of Borrowing Costs</w:t>
      </w:r>
      <w:bookmarkEnd w:id="205"/>
      <w:bookmarkEnd w:id="206"/>
      <w:bookmarkEnd w:id="207"/>
      <w:bookmarkEnd w:id="208"/>
      <w:r w:rsidRPr="00A14CAC">
        <w:t xml:space="preserve"> </w:t>
      </w:r>
    </w:p>
    <w:p w14:paraId="767D77DC" w14:textId="77777777" w:rsidR="002522D4" w:rsidRPr="00A14CAC" w:rsidRDefault="002522D4" w:rsidP="00EB49F7"/>
    <w:p w14:paraId="3D4EA2B0" w14:textId="6F8263BF" w:rsidR="002522D4" w:rsidRPr="00354E03" w:rsidRDefault="00D25F34" w:rsidP="00EB49F7">
      <w:r w:rsidRPr="00A14CAC">
        <w:rPr>
          <w:noProof/>
          <w:szCs w:val="20"/>
          <w:lang w:eastAsia="en-GB"/>
        </w:rPr>
        <w:t xml:space="preserve">Refer to Note 30 Office of the Police, Fire &amp; Crime Commissioner (OPFCC) </w:t>
      </w:r>
      <w:r w:rsidR="001D2D0F">
        <w:rPr>
          <w:noProof/>
          <w:szCs w:val="20"/>
          <w:lang w:eastAsia="en-GB"/>
        </w:rPr>
        <w:t xml:space="preserve">Group </w:t>
      </w:r>
      <w:r w:rsidRPr="00A14CAC">
        <w:rPr>
          <w:noProof/>
          <w:szCs w:val="20"/>
          <w:lang w:eastAsia="en-GB"/>
        </w:rPr>
        <w:t>Statement of Accounts.</w:t>
      </w:r>
    </w:p>
    <w:p w14:paraId="0CC41CB2" w14:textId="77777777" w:rsidR="00052327" w:rsidRPr="00A14CAC" w:rsidRDefault="00052327" w:rsidP="00EB49F7">
      <w:pPr>
        <w:rPr>
          <w:rFonts w:ascii="Verdana" w:hAnsi="Verdana"/>
        </w:rPr>
      </w:pPr>
    </w:p>
    <w:p w14:paraId="5A8D9B93" w14:textId="77777777" w:rsidR="002522D4" w:rsidRPr="0050526D" w:rsidRDefault="002522D4" w:rsidP="00EB49F7">
      <w:pPr>
        <w:pStyle w:val="NoteHeader"/>
      </w:pPr>
      <w:bookmarkStart w:id="209" w:name="_Toc517077307"/>
      <w:bookmarkStart w:id="210" w:name="_Toc9272532"/>
      <w:bookmarkStart w:id="211" w:name="_Toc9592076"/>
      <w:bookmarkStart w:id="212" w:name="_Toc191457347"/>
      <w:r w:rsidRPr="0050526D">
        <w:t>Note 31 - Contingent Liabilities</w:t>
      </w:r>
      <w:bookmarkEnd w:id="209"/>
      <w:bookmarkEnd w:id="210"/>
      <w:bookmarkEnd w:id="211"/>
      <w:bookmarkEnd w:id="212"/>
      <w:r w:rsidRPr="0050526D">
        <w:t xml:space="preserve"> </w:t>
      </w:r>
    </w:p>
    <w:p w14:paraId="0596381D" w14:textId="77777777" w:rsidR="00A95AD2" w:rsidRPr="0050526D" w:rsidRDefault="00A95AD2" w:rsidP="006A5AA6">
      <w:pPr>
        <w:rPr>
          <w:color w:val="auto"/>
        </w:rPr>
      </w:pPr>
      <w:bookmarkStart w:id="213" w:name="_Toc517077308"/>
      <w:bookmarkStart w:id="214" w:name="_Toc9272533"/>
    </w:p>
    <w:p w14:paraId="0981A214" w14:textId="7F1D7931" w:rsidR="005433C7" w:rsidRPr="00354E03" w:rsidRDefault="0050526D" w:rsidP="006A5AA6">
      <w:r w:rsidRPr="0050526D">
        <w:t>There were no Contingent Liabilities to disclose as at 31</w:t>
      </w:r>
      <w:r w:rsidRPr="0050526D">
        <w:rPr>
          <w:vertAlign w:val="superscript"/>
        </w:rPr>
        <w:t>st</w:t>
      </w:r>
      <w:r w:rsidR="002720C6">
        <w:t xml:space="preserve"> March 202</w:t>
      </w:r>
      <w:r w:rsidR="008F7BEB">
        <w:t>4</w:t>
      </w:r>
      <w:r w:rsidRPr="0050526D">
        <w:t>.</w:t>
      </w:r>
    </w:p>
    <w:p w14:paraId="4D338240" w14:textId="77777777" w:rsidR="009226EF" w:rsidRPr="00653D20" w:rsidRDefault="009226EF" w:rsidP="006A5AA6">
      <w:pPr>
        <w:rPr>
          <w:highlight w:val="yellow"/>
        </w:rPr>
      </w:pPr>
    </w:p>
    <w:p w14:paraId="4C18B8CD" w14:textId="77777777" w:rsidR="002522D4" w:rsidRPr="009D42D0" w:rsidRDefault="002522D4" w:rsidP="00EB49F7">
      <w:pPr>
        <w:pStyle w:val="NoteHeader"/>
      </w:pPr>
      <w:bookmarkStart w:id="215" w:name="_Toc9592077"/>
      <w:bookmarkStart w:id="216" w:name="_Toc191457348"/>
      <w:r w:rsidRPr="009D42D0">
        <w:t>Note 32 - Contingent Assets</w:t>
      </w:r>
      <w:bookmarkEnd w:id="213"/>
      <w:bookmarkEnd w:id="214"/>
      <w:bookmarkEnd w:id="215"/>
      <w:bookmarkEnd w:id="216"/>
      <w:r w:rsidRPr="009D42D0">
        <w:t xml:space="preserve"> </w:t>
      </w:r>
    </w:p>
    <w:p w14:paraId="6B766B5C" w14:textId="77777777" w:rsidR="002522D4" w:rsidRPr="009D42D0" w:rsidRDefault="002522D4" w:rsidP="00EB49F7"/>
    <w:p w14:paraId="0BD4E029" w14:textId="529B3B64" w:rsidR="00D25F34" w:rsidRPr="009D42D0" w:rsidRDefault="00D25F34" w:rsidP="005433C7">
      <w:r w:rsidRPr="009D42D0">
        <w:rPr>
          <w:noProof/>
          <w:szCs w:val="20"/>
          <w:lang w:eastAsia="en-GB"/>
        </w:rPr>
        <w:t>Refer to Note 32 Office of the Police, Fire &amp; Crime Commissioner (OPFCC)</w:t>
      </w:r>
      <w:r w:rsidR="001D2D0F">
        <w:rPr>
          <w:noProof/>
          <w:szCs w:val="20"/>
          <w:lang w:eastAsia="en-GB"/>
        </w:rPr>
        <w:t xml:space="preserve"> Group</w:t>
      </w:r>
      <w:r w:rsidRPr="009D42D0">
        <w:rPr>
          <w:noProof/>
          <w:szCs w:val="20"/>
          <w:lang w:eastAsia="en-GB"/>
        </w:rPr>
        <w:t xml:space="preserve"> Statement of Accounts.</w:t>
      </w:r>
      <w:bookmarkStart w:id="217" w:name="_Toc517077309"/>
      <w:bookmarkStart w:id="218" w:name="_Toc9272534"/>
    </w:p>
    <w:p w14:paraId="00A83201" w14:textId="77777777" w:rsidR="005433C7" w:rsidRPr="009D42D0" w:rsidRDefault="005433C7" w:rsidP="005433C7"/>
    <w:p w14:paraId="4F93112D" w14:textId="77777777" w:rsidR="002522D4" w:rsidRPr="009D42D0" w:rsidRDefault="002522D4" w:rsidP="005433C7">
      <w:pPr>
        <w:pStyle w:val="NoteHeader"/>
      </w:pPr>
      <w:bookmarkStart w:id="219" w:name="_Toc9592078"/>
      <w:bookmarkStart w:id="220" w:name="_Toc191457349"/>
      <w:r w:rsidRPr="009D42D0">
        <w:t>Note 33 - Cash and Cash Equivalents</w:t>
      </w:r>
      <w:bookmarkEnd w:id="217"/>
      <w:bookmarkEnd w:id="218"/>
      <w:bookmarkEnd w:id="219"/>
      <w:bookmarkEnd w:id="220"/>
      <w:r w:rsidRPr="009D42D0">
        <w:t xml:space="preserve"> </w:t>
      </w:r>
    </w:p>
    <w:p w14:paraId="5806C9C2" w14:textId="77777777" w:rsidR="005433C7" w:rsidRPr="009D42D0" w:rsidRDefault="005433C7" w:rsidP="00D25F34">
      <w:pPr>
        <w:rPr>
          <w:noProof/>
          <w:szCs w:val="20"/>
          <w:lang w:eastAsia="en-GB"/>
        </w:rPr>
      </w:pPr>
    </w:p>
    <w:p w14:paraId="1776F7B0" w14:textId="77777777" w:rsidR="00D25F34" w:rsidRDefault="00D25F34" w:rsidP="00D25F34">
      <w:pPr>
        <w:rPr>
          <w:noProof/>
          <w:szCs w:val="20"/>
          <w:lang w:eastAsia="en-GB"/>
        </w:rPr>
      </w:pPr>
      <w:r w:rsidRPr="009D42D0">
        <w:rPr>
          <w:noProof/>
          <w:szCs w:val="20"/>
          <w:lang w:eastAsia="en-GB"/>
        </w:rPr>
        <w:t>Refer to Note 3</w:t>
      </w:r>
      <w:r w:rsidR="002319EA" w:rsidRPr="009D42D0">
        <w:rPr>
          <w:noProof/>
          <w:szCs w:val="20"/>
          <w:lang w:eastAsia="en-GB"/>
        </w:rPr>
        <w:t>3</w:t>
      </w:r>
      <w:r w:rsidRPr="009D42D0">
        <w:rPr>
          <w:noProof/>
          <w:szCs w:val="20"/>
          <w:lang w:eastAsia="en-GB"/>
        </w:rPr>
        <w:t xml:space="preserve"> Office of the Police, Fire &amp; Crime Commissioner (OPFCC) </w:t>
      </w:r>
      <w:r w:rsidR="001D2D0F">
        <w:rPr>
          <w:noProof/>
          <w:szCs w:val="20"/>
          <w:lang w:eastAsia="en-GB"/>
        </w:rPr>
        <w:t xml:space="preserve">Group </w:t>
      </w:r>
      <w:r w:rsidRPr="009D42D0">
        <w:rPr>
          <w:noProof/>
          <w:szCs w:val="20"/>
          <w:lang w:eastAsia="en-GB"/>
        </w:rPr>
        <w:t>Statement of Accounts.</w:t>
      </w:r>
    </w:p>
    <w:p w14:paraId="5281C069" w14:textId="77777777" w:rsidR="00FC7D71" w:rsidRDefault="00FC7D71" w:rsidP="00D25F34">
      <w:pPr>
        <w:rPr>
          <w:noProof/>
          <w:szCs w:val="20"/>
          <w:lang w:eastAsia="en-GB"/>
        </w:rPr>
      </w:pPr>
    </w:p>
    <w:p w14:paraId="100436ED" w14:textId="77777777" w:rsidR="00FC7D71" w:rsidRDefault="00FC7D71" w:rsidP="00D25F34">
      <w:pPr>
        <w:rPr>
          <w:noProof/>
          <w:szCs w:val="20"/>
          <w:lang w:eastAsia="en-GB"/>
        </w:rPr>
      </w:pPr>
    </w:p>
    <w:p w14:paraId="610BF0ED" w14:textId="77777777" w:rsidR="00FC7D71" w:rsidRPr="009D42D0" w:rsidRDefault="00FC7D71" w:rsidP="00D25F34"/>
    <w:p w14:paraId="0220DB6C" w14:textId="346ABB40" w:rsidR="00BF68EF" w:rsidRDefault="00BF68EF">
      <w:pPr>
        <w:spacing w:line="240" w:lineRule="auto"/>
        <w:jc w:val="left"/>
        <w:rPr>
          <w:rFonts w:asciiTheme="minorHAnsi" w:eastAsia="Times New Roman" w:hAnsiTheme="minorHAnsi" w:cs="Times New Roman"/>
          <w:b/>
          <w:bCs/>
          <w:color w:val="18235B"/>
          <w:sz w:val="24"/>
          <w:u w:val="single"/>
          <w:lang w:val="pt-BR"/>
        </w:rPr>
      </w:pPr>
      <w:bookmarkStart w:id="221" w:name="_Toc517077310"/>
      <w:bookmarkStart w:id="222" w:name="_Toc9272535"/>
      <w:bookmarkStart w:id="223" w:name="_Toc9592079"/>
    </w:p>
    <w:p w14:paraId="418E6B31" w14:textId="3629BE81" w:rsidR="002522D4" w:rsidRPr="004A3865" w:rsidRDefault="002522D4" w:rsidP="00EB49F7">
      <w:pPr>
        <w:pStyle w:val="NoteHeader"/>
        <w:rPr>
          <w:lang w:val="pt-BR"/>
        </w:rPr>
      </w:pPr>
      <w:bookmarkStart w:id="224" w:name="_Toc109632233"/>
      <w:bookmarkStart w:id="225" w:name="_Toc191457350"/>
      <w:r w:rsidRPr="00336E57">
        <w:rPr>
          <w:lang w:val="pt-BR"/>
        </w:rPr>
        <w:lastRenderedPageBreak/>
        <w:t>Note 34 - Cash Flow from Operating Activities</w:t>
      </w:r>
      <w:bookmarkEnd w:id="221"/>
      <w:bookmarkEnd w:id="222"/>
      <w:bookmarkEnd w:id="223"/>
      <w:bookmarkEnd w:id="224"/>
      <w:bookmarkEnd w:id="225"/>
    </w:p>
    <w:p w14:paraId="0FB3100C" w14:textId="77777777" w:rsidR="005B79F6" w:rsidRDefault="005B79F6" w:rsidP="00EB49F7">
      <w:pPr>
        <w:rPr>
          <w:lang w:val="pt-BR"/>
        </w:rPr>
      </w:pPr>
    </w:p>
    <w:p w14:paraId="0C50DAD1" w14:textId="3E121BE4" w:rsidR="00FB0CCF" w:rsidRDefault="00FB0CCF" w:rsidP="00FB0CCF">
      <w:pPr>
        <w:rPr>
          <w:lang w:val="pt-BR"/>
        </w:rPr>
      </w:pPr>
      <w:r w:rsidRPr="005250C3">
        <w:rPr>
          <w:lang w:val="pt-BR"/>
        </w:rPr>
        <w:t>The cash flows for operating activities include the following items:</w:t>
      </w:r>
    </w:p>
    <w:p w14:paraId="0D2E8FCF" w14:textId="77777777" w:rsidR="008C6A1C" w:rsidRDefault="008C6A1C" w:rsidP="00FB0CCF">
      <w:pPr>
        <w:rPr>
          <w:lang w:val="pt-BR"/>
        </w:rPr>
      </w:pPr>
    </w:p>
    <w:tbl>
      <w:tblPr>
        <w:tblW w:w="7660" w:type="dxa"/>
        <w:tblLook w:val="04A0" w:firstRow="1" w:lastRow="0" w:firstColumn="1" w:lastColumn="0" w:noHBand="0" w:noVBand="1"/>
      </w:tblPr>
      <w:tblGrid>
        <w:gridCol w:w="1360"/>
        <w:gridCol w:w="5020"/>
        <w:gridCol w:w="1280"/>
      </w:tblGrid>
      <w:tr w:rsidR="00D75FAE" w:rsidRPr="00D75FAE" w14:paraId="18DD58AD" w14:textId="77777777" w:rsidTr="00D75FAE">
        <w:trPr>
          <w:trHeight w:val="300"/>
        </w:trPr>
        <w:tc>
          <w:tcPr>
            <w:tcW w:w="1360" w:type="dxa"/>
            <w:tcBorders>
              <w:top w:val="nil"/>
              <w:left w:val="nil"/>
              <w:bottom w:val="nil"/>
              <w:right w:val="nil"/>
            </w:tcBorders>
            <w:shd w:val="clear" w:color="000000" w:fill="000099"/>
            <w:vAlign w:val="bottom"/>
            <w:hideMark/>
          </w:tcPr>
          <w:p w14:paraId="49F1C6F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5B6ADBE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2D83158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49300B0C" w14:textId="77777777" w:rsidTr="00D75FAE">
        <w:trPr>
          <w:trHeight w:val="300"/>
        </w:trPr>
        <w:tc>
          <w:tcPr>
            <w:tcW w:w="1360" w:type="dxa"/>
            <w:tcBorders>
              <w:top w:val="nil"/>
              <w:left w:val="nil"/>
              <w:bottom w:val="nil"/>
              <w:right w:val="nil"/>
            </w:tcBorders>
            <w:shd w:val="clear" w:color="000000" w:fill="000099"/>
            <w:vAlign w:val="bottom"/>
            <w:hideMark/>
          </w:tcPr>
          <w:p w14:paraId="7E9F91A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4AA3A55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030A9CD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5FED6A66" w14:textId="77777777" w:rsidTr="00D75FAE">
        <w:trPr>
          <w:trHeight w:val="300"/>
        </w:trPr>
        <w:tc>
          <w:tcPr>
            <w:tcW w:w="1360" w:type="dxa"/>
            <w:tcBorders>
              <w:top w:val="nil"/>
              <w:left w:val="nil"/>
              <w:bottom w:val="nil"/>
              <w:right w:val="nil"/>
            </w:tcBorders>
            <w:shd w:val="clear" w:color="000000" w:fill="FFFFFF"/>
            <w:vAlign w:val="center"/>
            <w:hideMark/>
          </w:tcPr>
          <w:p w14:paraId="53249983"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(133)</w:t>
            </w:r>
          </w:p>
        </w:tc>
        <w:tc>
          <w:tcPr>
            <w:tcW w:w="5020" w:type="dxa"/>
            <w:tcBorders>
              <w:top w:val="nil"/>
              <w:left w:val="nil"/>
              <w:bottom w:val="nil"/>
              <w:right w:val="nil"/>
            </w:tcBorders>
            <w:shd w:val="clear" w:color="000000" w:fill="FFFFFF"/>
            <w:vAlign w:val="center"/>
            <w:hideMark/>
          </w:tcPr>
          <w:p w14:paraId="3E221261"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Interest received</w:t>
            </w:r>
          </w:p>
        </w:tc>
        <w:tc>
          <w:tcPr>
            <w:tcW w:w="1280" w:type="dxa"/>
            <w:tcBorders>
              <w:top w:val="nil"/>
              <w:left w:val="nil"/>
              <w:bottom w:val="nil"/>
              <w:right w:val="nil"/>
            </w:tcBorders>
            <w:shd w:val="clear" w:color="000000" w:fill="CCECFF"/>
            <w:vAlign w:val="bottom"/>
            <w:hideMark/>
          </w:tcPr>
          <w:p w14:paraId="3C27DA45"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(681)</w:t>
            </w:r>
          </w:p>
        </w:tc>
      </w:tr>
      <w:tr w:rsidR="00D75FAE" w:rsidRPr="00D75FAE" w14:paraId="1BC18702" w14:textId="77777777" w:rsidTr="00D75FAE">
        <w:trPr>
          <w:trHeight w:val="300"/>
        </w:trPr>
        <w:tc>
          <w:tcPr>
            <w:tcW w:w="1360" w:type="dxa"/>
            <w:tcBorders>
              <w:top w:val="nil"/>
              <w:left w:val="nil"/>
              <w:bottom w:val="nil"/>
              <w:right w:val="nil"/>
            </w:tcBorders>
            <w:shd w:val="clear" w:color="000000" w:fill="FFFFFF"/>
            <w:vAlign w:val="bottom"/>
            <w:hideMark/>
          </w:tcPr>
          <w:p w14:paraId="3217A306"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4FD5DA1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Interest paid</w:t>
            </w:r>
          </w:p>
        </w:tc>
        <w:tc>
          <w:tcPr>
            <w:tcW w:w="1280" w:type="dxa"/>
            <w:tcBorders>
              <w:top w:val="nil"/>
              <w:left w:val="nil"/>
              <w:bottom w:val="nil"/>
              <w:right w:val="nil"/>
            </w:tcBorders>
            <w:shd w:val="clear" w:color="000000" w:fill="CCECFF"/>
            <w:vAlign w:val="bottom"/>
            <w:hideMark/>
          </w:tcPr>
          <w:p w14:paraId="5A1CBE68"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0CBB7C1E"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center"/>
            <w:hideMark/>
          </w:tcPr>
          <w:p w14:paraId="6A65086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(133)</w:t>
            </w:r>
          </w:p>
        </w:tc>
        <w:tc>
          <w:tcPr>
            <w:tcW w:w="5020" w:type="dxa"/>
            <w:tcBorders>
              <w:top w:val="single" w:sz="4" w:space="0" w:color="auto"/>
              <w:left w:val="nil"/>
              <w:bottom w:val="single" w:sz="4" w:space="0" w:color="auto"/>
              <w:right w:val="nil"/>
            </w:tcBorders>
            <w:shd w:val="clear" w:color="000000" w:fill="FFFFFF"/>
            <w:vAlign w:val="center"/>
            <w:hideMark/>
          </w:tcPr>
          <w:p w14:paraId="41014059"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680E6EBF"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(681)</w:t>
            </w:r>
          </w:p>
        </w:tc>
      </w:tr>
    </w:tbl>
    <w:p w14:paraId="57C4E0A1" w14:textId="35C20D7F" w:rsidR="00EA2835" w:rsidRPr="00EA2835" w:rsidRDefault="00EA2835" w:rsidP="00FB0CCF">
      <w:pPr>
        <w:rPr>
          <w:lang w:val="pt-BR"/>
        </w:rPr>
      </w:pPr>
    </w:p>
    <w:p w14:paraId="66D54632" w14:textId="77777777" w:rsidR="00EA2835" w:rsidRDefault="00EA2835" w:rsidP="00EB49F7">
      <w:pPr>
        <w:rPr>
          <w:lang w:val="pt-BR"/>
        </w:rPr>
      </w:pPr>
    </w:p>
    <w:p w14:paraId="76D53146" w14:textId="66E58861" w:rsidR="00197378" w:rsidRDefault="002319EA" w:rsidP="00EB49F7">
      <w:pPr>
        <w:rPr>
          <w:lang w:val="pt-BR"/>
        </w:rPr>
      </w:pPr>
      <w:r w:rsidRPr="004A3865">
        <w:rPr>
          <w:lang w:val="pt-BR"/>
        </w:rPr>
        <w:t>The surplus or deficit on the provision of services has been adjusted for the following non-cash movements:</w:t>
      </w:r>
    </w:p>
    <w:p w14:paraId="0EADD6B2" w14:textId="77777777" w:rsidR="00EA2835" w:rsidRDefault="00EA2835" w:rsidP="00EB49F7">
      <w:pPr>
        <w:rPr>
          <w:lang w:val="pt-BR"/>
        </w:rPr>
      </w:pPr>
    </w:p>
    <w:tbl>
      <w:tblPr>
        <w:tblW w:w="7660" w:type="dxa"/>
        <w:tblLook w:val="04A0" w:firstRow="1" w:lastRow="0" w:firstColumn="1" w:lastColumn="0" w:noHBand="0" w:noVBand="1"/>
      </w:tblPr>
      <w:tblGrid>
        <w:gridCol w:w="1360"/>
        <w:gridCol w:w="5020"/>
        <w:gridCol w:w="1280"/>
      </w:tblGrid>
      <w:tr w:rsidR="00D75FAE" w:rsidRPr="00D75FAE" w14:paraId="36CAC0FD" w14:textId="77777777" w:rsidTr="00D75FAE">
        <w:trPr>
          <w:trHeight w:val="300"/>
        </w:trPr>
        <w:tc>
          <w:tcPr>
            <w:tcW w:w="1360" w:type="dxa"/>
            <w:tcBorders>
              <w:top w:val="nil"/>
              <w:left w:val="nil"/>
              <w:bottom w:val="nil"/>
              <w:right w:val="nil"/>
            </w:tcBorders>
            <w:shd w:val="clear" w:color="000000" w:fill="000099"/>
            <w:vAlign w:val="bottom"/>
            <w:hideMark/>
          </w:tcPr>
          <w:p w14:paraId="5771BB11"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41225D42"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5E607DE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2B3F26A1" w14:textId="77777777" w:rsidTr="00D75FAE">
        <w:trPr>
          <w:trHeight w:val="300"/>
        </w:trPr>
        <w:tc>
          <w:tcPr>
            <w:tcW w:w="1360" w:type="dxa"/>
            <w:tcBorders>
              <w:top w:val="nil"/>
              <w:left w:val="nil"/>
              <w:bottom w:val="nil"/>
              <w:right w:val="nil"/>
            </w:tcBorders>
            <w:shd w:val="clear" w:color="000000" w:fill="000099"/>
            <w:vAlign w:val="bottom"/>
            <w:hideMark/>
          </w:tcPr>
          <w:p w14:paraId="1B5A7AFC"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792CDD8D"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493C596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58DB3427" w14:textId="77777777" w:rsidTr="00D75FAE">
        <w:trPr>
          <w:trHeight w:val="300"/>
        </w:trPr>
        <w:tc>
          <w:tcPr>
            <w:tcW w:w="1360" w:type="dxa"/>
            <w:tcBorders>
              <w:top w:val="nil"/>
              <w:left w:val="nil"/>
              <w:bottom w:val="nil"/>
              <w:right w:val="nil"/>
            </w:tcBorders>
            <w:shd w:val="clear" w:color="000000" w:fill="FFFFFF"/>
            <w:vAlign w:val="center"/>
            <w:hideMark/>
          </w:tcPr>
          <w:p w14:paraId="30B9B047"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5EAC59B3"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Depreciation</w:t>
            </w:r>
          </w:p>
        </w:tc>
        <w:tc>
          <w:tcPr>
            <w:tcW w:w="1280" w:type="dxa"/>
            <w:tcBorders>
              <w:top w:val="nil"/>
              <w:left w:val="nil"/>
              <w:bottom w:val="nil"/>
              <w:right w:val="nil"/>
            </w:tcBorders>
            <w:shd w:val="clear" w:color="000000" w:fill="CCECFF"/>
            <w:vAlign w:val="center"/>
            <w:hideMark/>
          </w:tcPr>
          <w:p w14:paraId="14FA13ED"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2D5A93DA" w14:textId="77777777" w:rsidTr="00D75FAE">
        <w:trPr>
          <w:trHeight w:val="300"/>
        </w:trPr>
        <w:tc>
          <w:tcPr>
            <w:tcW w:w="1360" w:type="dxa"/>
            <w:tcBorders>
              <w:top w:val="nil"/>
              <w:left w:val="nil"/>
              <w:bottom w:val="nil"/>
              <w:right w:val="nil"/>
            </w:tcBorders>
            <w:shd w:val="clear" w:color="000000" w:fill="FFFFFF"/>
            <w:vAlign w:val="center"/>
            <w:hideMark/>
          </w:tcPr>
          <w:p w14:paraId="6C6C99D3"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D5635CE"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Impairment and downward valuations</w:t>
            </w:r>
          </w:p>
        </w:tc>
        <w:tc>
          <w:tcPr>
            <w:tcW w:w="1280" w:type="dxa"/>
            <w:tcBorders>
              <w:top w:val="nil"/>
              <w:left w:val="nil"/>
              <w:bottom w:val="nil"/>
              <w:right w:val="nil"/>
            </w:tcBorders>
            <w:shd w:val="clear" w:color="000000" w:fill="CCECFF"/>
            <w:vAlign w:val="center"/>
            <w:hideMark/>
          </w:tcPr>
          <w:p w14:paraId="0F5AE6F2"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50A8CF8E" w14:textId="77777777" w:rsidTr="00D75FAE">
        <w:trPr>
          <w:trHeight w:val="300"/>
        </w:trPr>
        <w:tc>
          <w:tcPr>
            <w:tcW w:w="1360" w:type="dxa"/>
            <w:tcBorders>
              <w:top w:val="nil"/>
              <w:left w:val="nil"/>
              <w:bottom w:val="nil"/>
              <w:right w:val="nil"/>
            </w:tcBorders>
            <w:shd w:val="clear" w:color="000000" w:fill="FFFFFF"/>
            <w:vAlign w:val="center"/>
            <w:hideMark/>
          </w:tcPr>
          <w:p w14:paraId="06E6E60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6313F14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Amortisation</w:t>
            </w:r>
          </w:p>
        </w:tc>
        <w:tc>
          <w:tcPr>
            <w:tcW w:w="1280" w:type="dxa"/>
            <w:tcBorders>
              <w:top w:val="nil"/>
              <w:left w:val="nil"/>
              <w:bottom w:val="nil"/>
              <w:right w:val="nil"/>
            </w:tcBorders>
            <w:shd w:val="clear" w:color="000000" w:fill="CCECFF"/>
            <w:vAlign w:val="center"/>
            <w:hideMark/>
          </w:tcPr>
          <w:p w14:paraId="0F1C6DB1"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2E58071D" w14:textId="77777777" w:rsidTr="00D75FAE">
        <w:trPr>
          <w:trHeight w:val="300"/>
        </w:trPr>
        <w:tc>
          <w:tcPr>
            <w:tcW w:w="1360" w:type="dxa"/>
            <w:tcBorders>
              <w:top w:val="nil"/>
              <w:left w:val="nil"/>
              <w:bottom w:val="nil"/>
              <w:right w:val="nil"/>
            </w:tcBorders>
            <w:shd w:val="clear" w:color="000000" w:fill="FFFFFF"/>
            <w:vAlign w:val="center"/>
            <w:hideMark/>
          </w:tcPr>
          <w:p w14:paraId="772F5386"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893</w:t>
            </w:r>
          </w:p>
        </w:tc>
        <w:tc>
          <w:tcPr>
            <w:tcW w:w="5020" w:type="dxa"/>
            <w:tcBorders>
              <w:top w:val="nil"/>
              <w:left w:val="nil"/>
              <w:bottom w:val="nil"/>
              <w:right w:val="nil"/>
            </w:tcBorders>
            <w:shd w:val="clear" w:color="000000" w:fill="FFFFFF"/>
            <w:vAlign w:val="center"/>
            <w:hideMark/>
          </w:tcPr>
          <w:p w14:paraId="6DA42CD2"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creditors</w:t>
            </w:r>
          </w:p>
        </w:tc>
        <w:tc>
          <w:tcPr>
            <w:tcW w:w="1280" w:type="dxa"/>
            <w:tcBorders>
              <w:top w:val="nil"/>
              <w:left w:val="nil"/>
              <w:bottom w:val="nil"/>
              <w:right w:val="nil"/>
            </w:tcBorders>
            <w:shd w:val="clear" w:color="000000" w:fill="CCECFF"/>
            <w:vAlign w:val="center"/>
            <w:hideMark/>
          </w:tcPr>
          <w:p w14:paraId="4E5858E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(1,526)</w:t>
            </w:r>
          </w:p>
        </w:tc>
      </w:tr>
      <w:tr w:rsidR="00D75FAE" w:rsidRPr="00D75FAE" w14:paraId="7A111674" w14:textId="77777777" w:rsidTr="00D75FAE">
        <w:trPr>
          <w:trHeight w:val="300"/>
        </w:trPr>
        <w:tc>
          <w:tcPr>
            <w:tcW w:w="1360" w:type="dxa"/>
            <w:tcBorders>
              <w:top w:val="nil"/>
              <w:left w:val="nil"/>
              <w:bottom w:val="nil"/>
              <w:right w:val="nil"/>
            </w:tcBorders>
            <w:shd w:val="clear" w:color="000000" w:fill="FFFFFF"/>
            <w:vAlign w:val="center"/>
            <w:hideMark/>
          </w:tcPr>
          <w:p w14:paraId="0215B1EA"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5571156"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debtors</w:t>
            </w:r>
          </w:p>
        </w:tc>
        <w:tc>
          <w:tcPr>
            <w:tcW w:w="1280" w:type="dxa"/>
            <w:tcBorders>
              <w:top w:val="nil"/>
              <w:left w:val="nil"/>
              <w:bottom w:val="nil"/>
              <w:right w:val="nil"/>
            </w:tcBorders>
            <w:shd w:val="clear" w:color="000000" w:fill="CCECFF"/>
            <w:vAlign w:val="center"/>
            <w:hideMark/>
          </w:tcPr>
          <w:p w14:paraId="4840D3F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4FF68D17" w14:textId="77777777" w:rsidTr="00D75FAE">
        <w:trPr>
          <w:trHeight w:val="300"/>
        </w:trPr>
        <w:tc>
          <w:tcPr>
            <w:tcW w:w="1360" w:type="dxa"/>
            <w:tcBorders>
              <w:top w:val="nil"/>
              <w:left w:val="nil"/>
              <w:bottom w:val="nil"/>
              <w:right w:val="nil"/>
            </w:tcBorders>
            <w:shd w:val="clear" w:color="000000" w:fill="FFFFFF"/>
            <w:vAlign w:val="center"/>
            <w:hideMark/>
          </w:tcPr>
          <w:p w14:paraId="7C974AE9"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5321C6B4"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Increase/(decrease) in inventories</w:t>
            </w:r>
          </w:p>
        </w:tc>
        <w:tc>
          <w:tcPr>
            <w:tcW w:w="1280" w:type="dxa"/>
            <w:tcBorders>
              <w:top w:val="nil"/>
              <w:left w:val="nil"/>
              <w:bottom w:val="nil"/>
              <w:right w:val="nil"/>
            </w:tcBorders>
            <w:shd w:val="clear" w:color="000000" w:fill="CCECFF"/>
            <w:vAlign w:val="center"/>
            <w:hideMark/>
          </w:tcPr>
          <w:p w14:paraId="51D0BD2F"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750E0FAD" w14:textId="77777777" w:rsidTr="00D75FAE">
        <w:trPr>
          <w:trHeight w:val="300"/>
        </w:trPr>
        <w:tc>
          <w:tcPr>
            <w:tcW w:w="1360" w:type="dxa"/>
            <w:tcBorders>
              <w:top w:val="nil"/>
              <w:left w:val="nil"/>
              <w:bottom w:val="nil"/>
              <w:right w:val="nil"/>
            </w:tcBorders>
            <w:shd w:val="clear" w:color="000000" w:fill="FFFFFF"/>
            <w:vAlign w:val="center"/>
            <w:hideMark/>
          </w:tcPr>
          <w:p w14:paraId="408F7D1A"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(53,938)</w:t>
            </w:r>
          </w:p>
        </w:tc>
        <w:tc>
          <w:tcPr>
            <w:tcW w:w="5020" w:type="dxa"/>
            <w:tcBorders>
              <w:top w:val="nil"/>
              <w:left w:val="nil"/>
              <w:bottom w:val="nil"/>
              <w:right w:val="nil"/>
            </w:tcBorders>
            <w:shd w:val="clear" w:color="000000" w:fill="FFFFFF"/>
            <w:vAlign w:val="center"/>
            <w:hideMark/>
          </w:tcPr>
          <w:p w14:paraId="5BBF2ECD"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Movement in pension liability</w:t>
            </w:r>
          </w:p>
        </w:tc>
        <w:tc>
          <w:tcPr>
            <w:tcW w:w="1280" w:type="dxa"/>
            <w:tcBorders>
              <w:top w:val="nil"/>
              <w:left w:val="nil"/>
              <w:bottom w:val="nil"/>
              <w:right w:val="nil"/>
            </w:tcBorders>
            <w:shd w:val="clear" w:color="000000" w:fill="CCECFF"/>
            <w:vAlign w:val="center"/>
            <w:hideMark/>
          </w:tcPr>
          <w:p w14:paraId="50735EF0"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000000"/>
                <w:szCs w:val="20"/>
                <w:lang w:eastAsia="en-GB"/>
              </w:rPr>
              <w:t>(22,871)</w:t>
            </w:r>
          </w:p>
        </w:tc>
      </w:tr>
      <w:tr w:rsidR="00D75FAE" w:rsidRPr="00D75FAE" w14:paraId="4E79FEB4" w14:textId="77777777" w:rsidTr="00D75FAE">
        <w:trPr>
          <w:trHeight w:val="690"/>
        </w:trPr>
        <w:tc>
          <w:tcPr>
            <w:tcW w:w="1360" w:type="dxa"/>
            <w:tcBorders>
              <w:top w:val="nil"/>
              <w:left w:val="nil"/>
              <w:bottom w:val="nil"/>
              <w:right w:val="nil"/>
            </w:tcBorders>
            <w:shd w:val="clear" w:color="000000" w:fill="FFFFFF"/>
            <w:vAlign w:val="center"/>
            <w:hideMark/>
          </w:tcPr>
          <w:p w14:paraId="377C4EAB"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36E2C279"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Carrying amount of non-current assets and non-current assets held for sale, sold or derecognised</w:t>
            </w:r>
          </w:p>
        </w:tc>
        <w:tc>
          <w:tcPr>
            <w:tcW w:w="1280" w:type="dxa"/>
            <w:tcBorders>
              <w:top w:val="nil"/>
              <w:left w:val="nil"/>
              <w:bottom w:val="nil"/>
              <w:right w:val="nil"/>
            </w:tcBorders>
            <w:shd w:val="clear" w:color="000000" w:fill="CCECFF"/>
            <w:vAlign w:val="center"/>
            <w:hideMark/>
          </w:tcPr>
          <w:p w14:paraId="344B7952"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59281B77" w14:textId="77777777" w:rsidTr="00D75FAE">
        <w:trPr>
          <w:trHeight w:val="690"/>
        </w:trPr>
        <w:tc>
          <w:tcPr>
            <w:tcW w:w="1360" w:type="dxa"/>
            <w:tcBorders>
              <w:top w:val="nil"/>
              <w:left w:val="nil"/>
              <w:bottom w:val="nil"/>
              <w:right w:val="nil"/>
            </w:tcBorders>
            <w:shd w:val="clear" w:color="000000" w:fill="FFFFFF"/>
            <w:vAlign w:val="center"/>
            <w:hideMark/>
          </w:tcPr>
          <w:p w14:paraId="392D16E8"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11D4A21E"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Other non-cash movements charged to the surplus or deficit on provision of services</w:t>
            </w:r>
          </w:p>
        </w:tc>
        <w:tc>
          <w:tcPr>
            <w:tcW w:w="1280" w:type="dxa"/>
            <w:tcBorders>
              <w:top w:val="nil"/>
              <w:left w:val="nil"/>
              <w:bottom w:val="nil"/>
              <w:right w:val="nil"/>
            </w:tcBorders>
            <w:shd w:val="clear" w:color="000000" w:fill="CCECFF"/>
            <w:vAlign w:val="center"/>
            <w:hideMark/>
          </w:tcPr>
          <w:p w14:paraId="255C1897"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6F09637F"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bottom"/>
            <w:hideMark/>
          </w:tcPr>
          <w:p w14:paraId="72B2906D"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(53,045)</w:t>
            </w:r>
          </w:p>
        </w:tc>
        <w:tc>
          <w:tcPr>
            <w:tcW w:w="5020" w:type="dxa"/>
            <w:tcBorders>
              <w:top w:val="single" w:sz="4" w:space="0" w:color="auto"/>
              <w:left w:val="nil"/>
              <w:bottom w:val="single" w:sz="4" w:space="0" w:color="auto"/>
              <w:right w:val="nil"/>
            </w:tcBorders>
            <w:shd w:val="clear" w:color="000000" w:fill="FFFFFF"/>
            <w:vAlign w:val="center"/>
            <w:hideMark/>
          </w:tcPr>
          <w:p w14:paraId="475B8A87"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1DDE2A4C"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000000"/>
                <w:szCs w:val="20"/>
                <w:lang w:eastAsia="en-GB"/>
              </w:rPr>
              <w:t>(24,397)</w:t>
            </w:r>
          </w:p>
        </w:tc>
      </w:tr>
    </w:tbl>
    <w:p w14:paraId="7A1F9629" w14:textId="77777777" w:rsidR="008B2E70" w:rsidRPr="004A3865" w:rsidRDefault="008B2E70" w:rsidP="006A5AA6">
      <w:pPr>
        <w:rPr>
          <w:lang w:val="pt-BR"/>
        </w:rPr>
      </w:pPr>
    </w:p>
    <w:p w14:paraId="3D2845E3" w14:textId="77777777" w:rsidR="002319EA" w:rsidRPr="004A3865" w:rsidRDefault="002319EA" w:rsidP="006A5AA6">
      <w:pPr>
        <w:rPr>
          <w:lang w:val="pt-BR"/>
        </w:rPr>
      </w:pPr>
      <w:r w:rsidRPr="004A3865">
        <w:rPr>
          <w:lang w:val="pt-BR"/>
        </w:rPr>
        <w:t>The surplus or deficit on the provision of services has been adjusted for the following items which are investing and financing activities:</w:t>
      </w:r>
    </w:p>
    <w:p w14:paraId="4D0DE8E4" w14:textId="77777777" w:rsidR="006A5AA6" w:rsidRPr="004A3865" w:rsidRDefault="006A5AA6" w:rsidP="006A5AA6">
      <w:pPr>
        <w:rPr>
          <w:lang w:val="pt-BR"/>
        </w:rPr>
      </w:pPr>
    </w:p>
    <w:tbl>
      <w:tblPr>
        <w:tblW w:w="7660" w:type="dxa"/>
        <w:tblLook w:val="04A0" w:firstRow="1" w:lastRow="0" w:firstColumn="1" w:lastColumn="0" w:noHBand="0" w:noVBand="1"/>
      </w:tblPr>
      <w:tblGrid>
        <w:gridCol w:w="1360"/>
        <w:gridCol w:w="5020"/>
        <w:gridCol w:w="1280"/>
      </w:tblGrid>
      <w:tr w:rsidR="00D75FAE" w:rsidRPr="00D75FAE" w14:paraId="40129CD4" w14:textId="77777777" w:rsidTr="00D75FAE">
        <w:trPr>
          <w:trHeight w:val="300"/>
        </w:trPr>
        <w:tc>
          <w:tcPr>
            <w:tcW w:w="1360" w:type="dxa"/>
            <w:tcBorders>
              <w:top w:val="nil"/>
              <w:left w:val="nil"/>
              <w:bottom w:val="nil"/>
              <w:right w:val="nil"/>
            </w:tcBorders>
            <w:shd w:val="clear" w:color="000000" w:fill="000099"/>
            <w:vAlign w:val="bottom"/>
            <w:hideMark/>
          </w:tcPr>
          <w:p w14:paraId="5379278A" w14:textId="77777777" w:rsidR="00D75FAE" w:rsidRPr="00D75FAE" w:rsidRDefault="00D75FAE" w:rsidP="00D75FAE">
            <w:pPr>
              <w:spacing w:line="240" w:lineRule="auto"/>
              <w:jc w:val="center"/>
              <w:rPr>
                <w:rFonts w:eastAsia="Times New Roman" w:cs="Calibri"/>
                <w:b/>
                <w:bCs/>
                <w:color w:val="FFFFFF"/>
                <w:szCs w:val="20"/>
                <w:lang w:eastAsia="en-GB"/>
              </w:rPr>
            </w:pPr>
            <w:bookmarkStart w:id="226" w:name="_Toc517077311"/>
            <w:bookmarkStart w:id="227" w:name="_Toc9272536"/>
            <w:r w:rsidRPr="00D75FAE">
              <w:rPr>
                <w:rFonts w:eastAsia="Times New Roman" w:cs="Calibri"/>
                <w:b/>
                <w:bCs/>
                <w:color w:val="FFFFFF"/>
                <w:szCs w:val="20"/>
                <w:lang w:eastAsia="en-GB"/>
              </w:rPr>
              <w:t>2022/23</w:t>
            </w:r>
          </w:p>
        </w:tc>
        <w:tc>
          <w:tcPr>
            <w:tcW w:w="5020" w:type="dxa"/>
            <w:tcBorders>
              <w:top w:val="nil"/>
              <w:left w:val="nil"/>
              <w:bottom w:val="nil"/>
              <w:right w:val="nil"/>
            </w:tcBorders>
            <w:shd w:val="clear" w:color="000000" w:fill="000099"/>
            <w:vAlign w:val="bottom"/>
            <w:hideMark/>
          </w:tcPr>
          <w:p w14:paraId="69EECAA6"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08E12344"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2023/24</w:t>
            </w:r>
          </w:p>
        </w:tc>
      </w:tr>
      <w:tr w:rsidR="00D75FAE" w:rsidRPr="00D75FAE" w14:paraId="4A87035F" w14:textId="77777777" w:rsidTr="00D75FAE">
        <w:trPr>
          <w:trHeight w:val="300"/>
        </w:trPr>
        <w:tc>
          <w:tcPr>
            <w:tcW w:w="1360" w:type="dxa"/>
            <w:tcBorders>
              <w:top w:val="nil"/>
              <w:left w:val="nil"/>
              <w:bottom w:val="nil"/>
              <w:right w:val="nil"/>
            </w:tcBorders>
            <w:shd w:val="clear" w:color="000000" w:fill="000099"/>
            <w:vAlign w:val="bottom"/>
            <w:hideMark/>
          </w:tcPr>
          <w:p w14:paraId="2517428A"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c>
          <w:tcPr>
            <w:tcW w:w="5020" w:type="dxa"/>
            <w:tcBorders>
              <w:top w:val="nil"/>
              <w:left w:val="nil"/>
              <w:bottom w:val="nil"/>
              <w:right w:val="nil"/>
            </w:tcBorders>
            <w:shd w:val="clear" w:color="000000" w:fill="000099"/>
            <w:vAlign w:val="bottom"/>
            <w:hideMark/>
          </w:tcPr>
          <w:p w14:paraId="08607397"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 xml:space="preserve"> </w:t>
            </w:r>
          </w:p>
        </w:tc>
        <w:tc>
          <w:tcPr>
            <w:tcW w:w="1280" w:type="dxa"/>
            <w:tcBorders>
              <w:top w:val="nil"/>
              <w:left w:val="nil"/>
              <w:bottom w:val="nil"/>
              <w:right w:val="nil"/>
            </w:tcBorders>
            <w:shd w:val="clear" w:color="000000" w:fill="000099"/>
            <w:vAlign w:val="bottom"/>
            <w:hideMark/>
          </w:tcPr>
          <w:p w14:paraId="773F17F5" w14:textId="77777777" w:rsidR="00D75FAE" w:rsidRPr="00D75FAE" w:rsidRDefault="00D75FAE" w:rsidP="00D75FAE">
            <w:pPr>
              <w:spacing w:line="240" w:lineRule="auto"/>
              <w:jc w:val="center"/>
              <w:rPr>
                <w:rFonts w:eastAsia="Times New Roman" w:cs="Calibri"/>
                <w:b/>
                <w:bCs/>
                <w:color w:val="FFFFFF"/>
                <w:szCs w:val="20"/>
                <w:lang w:eastAsia="en-GB"/>
              </w:rPr>
            </w:pPr>
            <w:r w:rsidRPr="00D75FAE">
              <w:rPr>
                <w:rFonts w:eastAsia="Times New Roman" w:cs="Calibri"/>
                <w:b/>
                <w:bCs/>
                <w:color w:val="FFFFFF"/>
                <w:szCs w:val="20"/>
                <w:lang w:eastAsia="en-GB"/>
              </w:rPr>
              <w:t>£000</w:t>
            </w:r>
          </w:p>
        </w:tc>
      </w:tr>
      <w:tr w:rsidR="00D75FAE" w:rsidRPr="00D75FAE" w14:paraId="0CF33C1D" w14:textId="77777777" w:rsidTr="00D75FAE">
        <w:trPr>
          <w:trHeight w:val="630"/>
        </w:trPr>
        <w:tc>
          <w:tcPr>
            <w:tcW w:w="1360" w:type="dxa"/>
            <w:tcBorders>
              <w:top w:val="nil"/>
              <w:left w:val="nil"/>
              <w:bottom w:val="nil"/>
              <w:right w:val="nil"/>
            </w:tcBorders>
            <w:shd w:val="clear" w:color="000000" w:fill="FFFFFF"/>
            <w:vAlign w:val="center"/>
            <w:hideMark/>
          </w:tcPr>
          <w:p w14:paraId="3899269C"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c>
          <w:tcPr>
            <w:tcW w:w="5020" w:type="dxa"/>
            <w:tcBorders>
              <w:top w:val="nil"/>
              <w:left w:val="nil"/>
              <w:bottom w:val="nil"/>
              <w:right w:val="nil"/>
            </w:tcBorders>
            <w:shd w:val="clear" w:color="000000" w:fill="FFFFFF"/>
            <w:vAlign w:val="center"/>
            <w:hideMark/>
          </w:tcPr>
          <w:p w14:paraId="666AF301" w14:textId="77777777" w:rsidR="00D75FAE" w:rsidRPr="00D75FAE" w:rsidRDefault="00D75FAE" w:rsidP="00D75FAE">
            <w:pPr>
              <w:spacing w:line="240" w:lineRule="auto"/>
              <w:jc w:val="left"/>
              <w:rPr>
                <w:rFonts w:eastAsia="Times New Roman" w:cs="Calibri"/>
                <w:color w:val="auto"/>
                <w:szCs w:val="20"/>
                <w:lang w:eastAsia="en-GB"/>
              </w:rPr>
            </w:pPr>
            <w:r w:rsidRPr="00D75FAE">
              <w:rPr>
                <w:rFonts w:eastAsia="Times New Roman" w:cs="Calibri"/>
                <w:color w:val="auto"/>
                <w:szCs w:val="20"/>
                <w:lang w:eastAsia="en-GB"/>
              </w:rPr>
              <w:t>Any other items for which the cash effects are investing or financing cash flows</w:t>
            </w:r>
          </w:p>
        </w:tc>
        <w:tc>
          <w:tcPr>
            <w:tcW w:w="1280" w:type="dxa"/>
            <w:tcBorders>
              <w:top w:val="nil"/>
              <w:left w:val="nil"/>
              <w:bottom w:val="nil"/>
              <w:right w:val="nil"/>
            </w:tcBorders>
            <w:shd w:val="clear" w:color="000000" w:fill="CCECFF"/>
            <w:vAlign w:val="center"/>
            <w:hideMark/>
          </w:tcPr>
          <w:p w14:paraId="2FF96061" w14:textId="77777777" w:rsidR="00D75FAE" w:rsidRPr="00D75FAE" w:rsidRDefault="00D75FAE" w:rsidP="00D75FAE">
            <w:pPr>
              <w:spacing w:line="240" w:lineRule="auto"/>
              <w:jc w:val="right"/>
              <w:rPr>
                <w:rFonts w:eastAsia="Times New Roman" w:cs="Calibri"/>
                <w:color w:val="auto"/>
                <w:szCs w:val="20"/>
                <w:lang w:eastAsia="en-GB"/>
              </w:rPr>
            </w:pPr>
            <w:r w:rsidRPr="00D75FAE">
              <w:rPr>
                <w:rFonts w:eastAsia="Times New Roman" w:cs="Calibri"/>
                <w:color w:val="auto"/>
                <w:szCs w:val="20"/>
                <w:lang w:eastAsia="en-GB"/>
              </w:rPr>
              <w:t>-</w:t>
            </w:r>
          </w:p>
        </w:tc>
      </w:tr>
      <w:tr w:rsidR="00D75FAE" w:rsidRPr="00D75FAE" w14:paraId="76FCE0C8" w14:textId="77777777" w:rsidTr="00D75FAE">
        <w:trPr>
          <w:trHeight w:val="300"/>
        </w:trPr>
        <w:tc>
          <w:tcPr>
            <w:tcW w:w="1360" w:type="dxa"/>
            <w:tcBorders>
              <w:top w:val="single" w:sz="4" w:space="0" w:color="auto"/>
              <w:left w:val="nil"/>
              <w:bottom w:val="single" w:sz="4" w:space="0" w:color="auto"/>
              <w:right w:val="nil"/>
            </w:tcBorders>
            <w:shd w:val="clear" w:color="000000" w:fill="FFFFFF"/>
            <w:vAlign w:val="bottom"/>
            <w:hideMark/>
          </w:tcPr>
          <w:p w14:paraId="6A55D3F6"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w:t>
            </w:r>
          </w:p>
        </w:tc>
        <w:tc>
          <w:tcPr>
            <w:tcW w:w="5020" w:type="dxa"/>
            <w:tcBorders>
              <w:top w:val="single" w:sz="4" w:space="0" w:color="auto"/>
              <w:left w:val="nil"/>
              <w:bottom w:val="single" w:sz="4" w:space="0" w:color="auto"/>
              <w:right w:val="nil"/>
            </w:tcBorders>
            <w:shd w:val="clear" w:color="000000" w:fill="FFFFFF"/>
            <w:vAlign w:val="center"/>
            <w:hideMark/>
          </w:tcPr>
          <w:p w14:paraId="79B183BE" w14:textId="77777777" w:rsidR="00D75FAE" w:rsidRPr="00D75FAE" w:rsidRDefault="00D75FAE" w:rsidP="00D75FAE">
            <w:pPr>
              <w:spacing w:line="240" w:lineRule="auto"/>
              <w:jc w:val="left"/>
              <w:rPr>
                <w:rFonts w:eastAsia="Times New Roman" w:cs="Calibri"/>
                <w:b/>
                <w:bCs/>
                <w:color w:val="auto"/>
                <w:szCs w:val="20"/>
                <w:lang w:eastAsia="en-GB"/>
              </w:rPr>
            </w:pPr>
            <w:r w:rsidRPr="00D75FAE">
              <w:rPr>
                <w:rFonts w:eastAsia="Times New Roman" w:cs="Calibri"/>
                <w:b/>
                <w:bCs/>
                <w:color w:val="auto"/>
                <w:szCs w:val="20"/>
                <w:lang w:eastAsia="en-GB"/>
              </w:rPr>
              <w:t>Total</w:t>
            </w:r>
          </w:p>
        </w:tc>
        <w:tc>
          <w:tcPr>
            <w:tcW w:w="1280" w:type="dxa"/>
            <w:tcBorders>
              <w:top w:val="single" w:sz="4" w:space="0" w:color="auto"/>
              <w:left w:val="nil"/>
              <w:bottom w:val="single" w:sz="4" w:space="0" w:color="auto"/>
              <w:right w:val="nil"/>
            </w:tcBorders>
            <w:shd w:val="clear" w:color="000000" w:fill="CCECFF"/>
            <w:vAlign w:val="bottom"/>
            <w:hideMark/>
          </w:tcPr>
          <w:p w14:paraId="2A180823" w14:textId="77777777" w:rsidR="00D75FAE" w:rsidRPr="00D75FAE" w:rsidRDefault="00D75FAE" w:rsidP="00D75FAE">
            <w:pPr>
              <w:spacing w:line="240" w:lineRule="auto"/>
              <w:jc w:val="right"/>
              <w:rPr>
                <w:rFonts w:eastAsia="Times New Roman" w:cs="Calibri"/>
                <w:b/>
                <w:bCs/>
                <w:color w:val="auto"/>
                <w:szCs w:val="20"/>
                <w:lang w:eastAsia="en-GB"/>
              </w:rPr>
            </w:pPr>
            <w:r w:rsidRPr="00D75FAE">
              <w:rPr>
                <w:rFonts w:eastAsia="Times New Roman" w:cs="Calibri"/>
                <w:b/>
                <w:bCs/>
                <w:color w:val="auto"/>
                <w:szCs w:val="20"/>
                <w:lang w:eastAsia="en-GB"/>
              </w:rPr>
              <w:t>-</w:t>
            </w:r>
          </w:p>
        </w:tc>
      </w:tr>
    </w:tbl>
    <w:p w14:paraId="6CFCB6D3" w14:textId="77777777" w:rsidR="008B2E70" w:rsidRPr="00653D20" w:rsidRDefault="008B2E70" w:rsidP="005433C7">
      <w:pPr>
        <w:rPr>
          <w:highlight w:val="yellow"/>
          <w:lang w:val="pt-BR"/>
        </w:rPr>
      </w:pPr>
    </w:p>
    <w:p w14:paraId="36367F75" w14:textId="65E0DA06" w:rsidR="002522D4" w:rsidRPr="00653D20" w:rsidRDefault="002522D4" w:rsidP="005433C7">
      <w:pPr>
        <w:pStyle w:val="NoteHeader"/>
        <w:rPr>
          <w:lang w:val="pt-BR"/>
        </w:rPr>
      </w:pPr>
      <w:bookmarkStart w:id="228" w:name="_Toc9592080"/>
      <w:bookmarkStart w:id="229" w:name="_Toc109632234"/>
      <w:bookmarkStart w:id="230" w:name="_Toc191457351"/>
      <w:r w:rsidRPr="00653D20">
        <w:rPr>
          <w:lang w:val="pt-BR"/>
        </w:rPr>
        <w:t>Note 35 - Cash Flow from Investing Activities</w:t>
      </w:r>
      <w:bookmarkEnd w:id="226"/>
      <w:bookmarkEnd w:id="227"/>
      <w:bookmarkEnd w:id="228"/>
      <w:bookmarkEnd w:id="229"/>
      <w:bookmarkEnd w:id="230"/>
    </w:p>
    <w:p w14:paraId="63C479CD" w14:textId="77777777" w:rsidR="005433C7" w:rsidRPr="00653D20" w:rsidRDefault="005433C7" w:rsidP="002319EA">
      <w:pPr>
        <w:rPr>
          <w:noProof/>
          <w:szCs w:val="20"/>
          <w:lang w:eastAsia="en-GB"/>
        </w:rPr>
      </w:pPr>
    </w:p>
    <w:p w14:paraId="1FDF83CF" w14:textId="7D9E5153" w:rsidR="002522D4" w:rsidRPr="008441E1" w:rsidRDefault="002319EA" w:rsidP="002522D4">
      <w:pPr>
        <w:sectPr w:rsidR="002522D4" w:rsidRPr="008441E1" w:rsidSect="00161E23">
          <w:headerReference w:type="default" r:id="rId20"/>
          <w:type w:val="continuous"/>
          <w:pgSz w:w="11900" w:h="16840"/>
          <w:pgMar w:top="1418" w:right="985" w:bottom="1418" w:left="1276" w:header="709" w:footer="397" w:gutter="0"/>
          <w:cols w:space="708"/>
          <w:docGrid w:linePitch="360"/>
        </w:sectPr>
      </w:pPr>
      <w:r w:rsidRPr="00653D20">
        <w:rPr>
          <w:noProof/>
          <w:szCs w:val="20"/>
          <w:lang w:eastAsia="en-GB"/>
        </w:rPr>
        <w:t xml:space="preserve">Refer to Note 35 Office of the Police, Fire &amp; Crime Commissioner (OPFCC) </w:t>
      </w:r>
      <w:r w:rsidR="001D2D0F">
        <w:rPr>
          <w:noProof/>
          <w:szCs w:val="20"/>
          <w:lang w:eastAsia="en-GB"/>
        </w:rPr>
        <w:t xml:space="preserve">Group </w:t>
      </w:r>
      <w:r w:rsidRPr="00653D20">
        <w:rPr>
          <w:noProof/>
          <w:szCs w:val="20"/>
          <w:lang w:eastAsia="en-GB"/>
        </w:rPr>
        <w:t>Statement of Accounts.</w:t>
      </w:r>
    </w:p>
    <w:p w14:paraId="13867BB9" w14:textId="2C187D8C" w:rsidR="00354E03" w:rsidRDefault="00354E03" w:rsidP="008441E1">
      <w:pPr>
        <w:spacing w:line="240" w:lineRule="auto"/>
        <w:jc w:val="left"/>
        <w:rPr>
          <w:rFonts w:asciiTheme="minorHAnsi" w:eastAsia="Times New Roman" w:hAnsiTheme="minorHAnsi" w:cs="Times New Roman"/>
          <w:b/>
          <w:bCs/>
          <w:color w:val="25316C"/>
          <w:sz w:val="24"/>
          <w:u w:val="single"/>
        </w:rPr>
      </w:pPr>
      <w:bookmarkStart w:id="231" w:name="_Toc517077312"/>
      <w:bookmarkStart w:id="232" w:name="_Toc9272537"/>
      <w:bookmarkStart w:id="233" w:name="_Toc9592081"/>
    </w:p>
    <w:p w14:paraId="222CDBD3" w14:textId="77777777" w:rsidR="008441E1" w:rsidRDefault="008441E1">
      <w:pPr>
        <w:spacing w:line="240" w:lineRule="auto"/>
        <w:jc w:val="left"/>
        <w:rPr>
          <w:rFonts w:asciiTheme="minorHAnsi" w:eastAsia="Times New Roman" w:hAnsiTheme="minorHAnsi" w:cs="Times New Roman"/>
          <w:b/>
          <w:bCs/>
          <w:color w:val="25316C"/>
          <w:sz w:val="24"/>
          <w:u w:val="single"/>
        </w:rPr>
      </w:pPr>
      <w:bookmarkStart w:id="234" w:name="_Toc109632235"/>
      <w:r>
        <w:br w:type="page"/>
      </w:r>
    </w:p>
    <w:p w14:paraId="7883C7E1" w14:textId="16620B70" w:rsidR="002522D4" w:rsidRPr="00653D20" w:rsidRDefault="002522D4" w:rsidP="008441E1">
      <w:pPr>
        <w:pStyle w:val="NoteHeader"/>
      </w:pPr>
      <w:bookmarkStart w:id="235" w:name="_Toc191457352"/>
      <w:r w:rsidRPr="00653D20">
        <w:lastRenderedPageBreak/>
        <w:t>Note 36 - Termination Benefits</w:t>
      </w:r>
      <w:bookmarkEnd w:id="231"/>
      <w:bookmarkEnd w:id="232"/>
      <w:bookmarkEnd w:id="233"/>
      <w:bookmarkEnd w:id="234"/>
      <w:bookmarkEnd w:id="235"/>
      <w:r w:rsidRPr="00653D20">
        <w:t xml:space="preserve"> </w:t>
      </w:r>
    </w:p>
    <w:p w14:paraId="7297F60D" w14:textId="77777777" w:rsidR="00D810FB" w:rsidRPr="00653D20" w:rsidRDefault="00D810FB" w:rsidP="008441E1"/>
    <w:p w14:paraId="4AC73F8B" w14:textId="77777777" w:rsidR="00D810FB" w:rsidRPr="00653D20" w:rsidRDefault="00D810FB" w:rsidP="008441E1">
      <w:r w:rsidRPr="00653D20">
        <w:t xml:space="preserve">The </w:t>
      </w:r>
      <w:r w:rsidR="001D2D0F">
        <w:t>O</w:t>
      </w:r>
      <w:r w:rsidRPr="00653D20">
        <w:t>CC has taken account of termination benefits in accordance of IAS 19.  The termination benefits are dealt with separately from other employee benefits because the event which gives rise to an obligation is the termination rather than employee service.</w:t>
      </w:r>
    </w:p>
    <w:p w14:paraId="58DD83D9" w14:textId="77777777" w:rsidR="00D810FB" w:rsidRPr="00653D20" w:rsidRDefault="00D810FB" w:rsidP="008441E1"/>
    <w:p w14:paraId="4517F931" w14:textId="77777777" w:rsidR="00D810FB" w:rsidRPr="00323C68" w:rsidRDefault="00D810FB" w:rsidP="008441E1">
      <w:r w:rsidRPr="00653D20">
        <w:t xml:space="preserve">The </w:t>
      </w:r>
      <w:r w:rsidR="001D2D0F">
        <w:t>O</w:t>
      </w:r>
      <w:r w:rsidRPr="00653D20">
        <w:t xml:space="preserve">CC would have incurred costs if the termination was either a decision to terminate an employee's employment prior to their retirement date, or an employee's decision to accept voluntary redundancy in </w:t>
      </w:r>
      <w:r w:rsidRPr="00323C68">
        <w:t>exchange for those benefits.</w:t>
      </w:r>
    </w:p>
    <w:p w14:paraId="43BFB314" w14:textId="77777777" w:rsidR="00D810FB" w:rsidRPr="00323C68" w:rsidRDefault="00D810FB" w:rsidP="008441E1"/>
    <w:p w14:paraId="2C45DDC9" w14:textId="2F89578D" w:rsidR="00653D20" w:rsidRPr="00837A71" w:rsidRDefault="00653D20" w:rsidP="008441E1">
      <w:r w:rsidRPr="00323C68">
        <w:t xml:space="preserve">The </w:t>
      </w:r>
      <w:r w:rsidR="001D2D0F" w:rsidRPr="00323C68">
        <w:t>O</w:t>
      </w:r>
      <w:r w:rsidRPr="00323C68">
        <w:t xml:space="preserve">CC terminated the contract </w:t>
      </w:r>
      <w:r w:rsidR="008C3689" w:rsidRPr="00323C68">
        <w:t xml:space="preserve">of </w:t>
      </w:r>
      <w:r w:rsidR="00EC4882">
        <w:t>two</w:t>
      </w:r>
      <w:r w:rsidR="008C3689" w:rsidRPr="00323C68">
        <w:t xml:space="preserve"> employee</w:t>
      </w:r>
      <w:r w:rsidR="00EC4882">
        <w:t>s</w:t>
      </w:r>
      <w:r w:rsidR="008C3689" w:rsidRPr="00323C68">
        <w:t xml:space="preserve"> in 202</w:t>
      </w:r>
      <w:r w:rsidR="008F7BEB">
        <w:t>3</w:t>
      </w:r>
      <w:r w:rsidR="008C3689" w:rsidRPr="00323C68">
        <w:t>/2</w:t>
      </w:r>
      <w:r w:rsidR="008F7BEB">
        <w:t>4</w:t>
      </w:r>
      <w:r w:rsidRPr="00323C68">
        <w:t>, summarised below:</w:t>
      </w:r>
    </w:p>
    <w:p w14:paraId="0F5A217E" w14:textId="33E3EE78" w:rsidR="00653D20" w:rsidRDefault="00653D20" w:rsidP="008441E1">
      <w:bookmarkStart w:id="236" w:name="_Toc517077313"/>
      <w:bookmarkStart w:id="237" w:name="_Toc9272538"/>
      <w:bookmarkStart w:id="238" w:name="_Toc9592082"/>
    </w:p>
    <w:tbl>
      <w:tblPr>
        <w:tblW w:w="0" w:type="auto"/>
        <w:tblLook w:val="04A0" w:firstRow="1" w:lastRow="0" w:firstColumn="1" w:lastColumn="0" w:noHBand="0" w:noVBand="1"/>
      </w:tblPr>
      <w:tblGrid>
        <w:gridCol w:w="2005"/>
        <w:gridCol w:w="944"/>
        <w:gridCol w:w="928"/>
        <w:gridCol w:w="902"/>
        <w:gridCol w:w="959"/>
        <w:gridCol w:w="918"/>
        <w:gridCol w:w="959"/>
        <w:gridCol w:w="990"/>
        <w:gridCol w:w="1034"/>
      </w:tblGrid>
      <w:tr w:rsidR="006C57FC" w:rsidRPr="006C57FC" w14:paraId="3521ECF2" w14:textId="77777777" w:rsidTr="00DE74BB">
        <w:trPr>
          <w:trHeight w:val="825"/>
        </w:trPr>
        <w:tc>
          <w:tcPr>
            <w:tcW w:w="0" w:type="auto"/>
            <w:shd w:val="clear" w:color="000000" w:fill="000099"/>
            <w:vAlign w:val="center"/>
            <w:hideMark/>
          </w:tcPr>
          <w:p w14:paraId="5FCB67D1"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Exit Package Cost Band</w:t>
            </w:r>
            <w:r w:rsidRPr="006C57FC">
              <w:rPr>
                <w:rFonts w:eastAsia="Times New Roman" w:cs="Calibri"/>
                <w:color w:val="FFFFFF"/>
                <w:sz w:val="18"/>
                <w:szCs w:val="18"/>
                <w:lang w:eastAsia="en-GB"/>
              </w:rPr>
              <w:br/>
              <w:t>(including Special Payments)</w:t>
            </w:r>
          </w:p>
        </w:tc>
        <w:tc>
          <w:tcPr>
            <w:tcW w:w="0" w:type="auto"/>
            <w:gridSpan w:val="2"/>
            <w:shd w:val="clear" w:color="000000" w:fill="000099"/>
            <w:hideMark/>
          </w:tcPr>
          <w:p w14:paraId="195AB4AA"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Number of Compulsory</w:t>
            </w:r>
            <w:r w:rsidRPr="006C57FC">
              <w:rPr>
                <w:rFonts w:eastAsia="Times New Roman" w:cs="Calibri"/>
                <w:color w:val="FFFFFF"/>
                <w:sz w:val="18"/>
                <w:szCs w:val="18"/>
                <w:lang w:eastAsia="en-GB"/>
              </w:rPr>
              <w:br/>
              <w:t>Redundancies</w:t>
            </w:r>
          </w:p>
        </w:tc>
        <w:tc>
          <w:tcPr>
            <w:tcW w:w="0" w:type="auto"/>
            <w:gridSpan w:val="2"/>
            <w:shd w:val="clear" w:color="000000" w:fill="000099"/>
            <w:hideMark/>
          </w:tcPr>
          <w:p w14:paraId="47D19B46"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Number of Other </w:t>
            </w:r>
            <w:r w:rsidRPr="006C57FC">
              <w:rPr>
                <w:rFonts w:eastAsia="Times New Roman" w:cs="Calibri"/>
                <w:color w:val="FFFFFF"/>
                <w:sz w:val="18"/>
                <w:szCs w:val="18"/>
                <w:lang w:eastAsia="en-GB"/>
              </w:rPr>
              <w:br/>
              <w:t>Departures Agreed</w:t>
            </w:r>
          </w:p>
        </w:tc>
        <w:tc>
          <w:tcPr>
            <w:tcW w:w="0" w:type="auto"/>
            <w:gridSpan w:val="2"/>
            <w:shd w:val="clear" w:color="000000" w:fill="000099"/>
            <w:hideMark/>
          </w:tcPr>
          <w:p w14:paraId="4F3EAB23"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Total Number of Exit </w:t>
            </w:r>
            <w:r w:rsidRPr="006C57FC">
              <w:rPr>
                <w:rFonts w:eastAsia="Times New Roman" w:cs="Calibri"/>
                <w:color w:val="FFFFFF"/>
                <w:sz w:val="18"/>
                <w:szCs w:val="18"/>
                <w:lang w:eastAsia="en-GB"/>
              </w:rPr>
              <w:br/>
              <w:t xml:space="preserve">Packages by Cost Band </w:t>
            </w:r>
          </w:p>
        </w:tc>
        <w:tc>
          <w:tcPr>
            <w:tcW w:w="0" w:type="auto"/>
            <w:gridSpan w:val="2"/>
            <w:shd w:val="clear" w:color="000000" w:fill="000099"/>
            <w:hideMark/>
          </w:tcPr>
          <w:p w14:paraId="32384E55" w14:textId="50E1C7E9"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 xml:space="preserve">Total </w:t>
            </w:r>
            <w:r w:rsidR="00EC4882">
              <w:rPr>
                <w:rFonts w:eastAsia="Times New Roman" w:cs="Calibri"/>
                <w:color w:val="FFFFFF"/>
                <w:sz w:val="18"/>
                <w:szCs w:val="18"/>
                <w:lang w:eastAsia="en-GB"/>
              </w:rPr>
              <w:t>C</w:t>
            </w:r>
            <w:r w:rsidRPr="006C57FC">
              <w:rPr>
                <w:rFonts w:eastAsia="Times New Roman" w:cs="Calibri"/>
                <w:color w:val="FFFFFF"/>
                <w:sz w:val="18"/>
                <w:szCs w:val="18"/>
                <w:lang w:eastAsia="en-GB"/>
              </w:rPr>
              <w:t>ost of Exit Packages</w:t>
            </w:r>
            <w:r w:rsidRPr="006C57FC">
              <w:rPr>
                <w:rFonts w:eastAsia="Times New Roman" w:cs="Calibri"/>
                <w:color w:val="FFFFFF"/>
                <w:sz w:val="18"/>
                <w:szCs w:val="18"/>
                <w:lang w:eastAsia="en-GB"/>
              </w:rPr>
              <w:br/>
              <w:t>in each Band</w:t>
            </w:r>
          </w:p>
        </w:tc>
      </w:tr>
      <w:tr w:rsidR="006C57FC" w:rsidRPr="006C57FC" w14:paraId="5E4DA6C9" w14:textId="77777777" w:rsidTr="00DE74BB">
        <w:trPr>
          <w:trHeight w:val="300"/>
        </w:trPr>
        <w:tc>
          <w:tcPr>
            <w:tcW w:w="0" w:type="auto"/>
            <w:shd w:val="clear" w:color="000000" w:fill="000099"/>
            <w:noWrap/>
            <w:vAlign w:val="bottom"/>
            <w:hideMark/>
          </w:tcPr>
          <w:p w14:paraId="718BC020"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 </w:t>
            </w:r>
          </w:p>
        </w:tc>
        <w:tc>
          <w:tcPr>
            <w:tcW w:w="0" w:type="auto"/>
            <w:shd w:val="clear" w:color="000000" w:fill="000099"/>
            <w:vAlign w:val="bottom"/>
            <w:hideMark/>
          </w:tcPr>
          <w:p w14:paraId="19567F04"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26538BCE"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6E271F05"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6DDE0411"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794EE6C0"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62F74736"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c>
          <w:tcPr>
            <w:tcW w:w="0" w:type="auto"/>
            <w:shd w:val="clear" w:color="000000" w:fill="000099"/>
            <w:vAlign w:val="bottom"/>
            <w:hideMark/>
          </w:tcPr>
          <w:p w14:paraId="4373DF5F"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2022/23</w:t>
            </w:r>
          </w:p>
        </w:tc>
        <w:tc>
          <w:tcPr>
            <w:tcW w:w="0" w:type="auto"/>
            <w:shd w:val="clear" w:color="000000" w:fill="000099"/>
            <w:vAlign w:val="bottom"/>
            <w:hideMark/>
          </w:tcPr>
          <w:p w14:paraId="4F4D29E9"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2023/24</w:t>
            </w:r>
          </w:p>
        </w:tc>
      </w:tr>
      <w:tr w:rsidR="006C57FC" w:rsidRPr="006C57FC" w14:paraId="1207AD37" w14:textId="77777777" w:rsidTr="00DE74BB">
        <w:trPr>
          <w:trHeight w:val="339"/>
        </w:trPr>
        <w:tc>
          <w:tcPr>
            <w:tcW w:w="0" w:type="auto"/>
            <w:shd w:val="clear" w:color="000000" w:fill="000099"/>
            <w:noWrap/>
            <w:vAlign w:val="bottom"/>
            <w:hideMark/>
          </w:tcPr>
          <w:p w14:paraId="6404505F" w14:textId="77777777" w:rsidR="006C57FC" w:rsidRPr="006C57FC" w:rsidRDefault="006C57FC" w:rsidP="008441E1">
            <w:pPr>
              <w:spacing w:line="240" w:lineRule="auto"/>
              <w:jc w:val="left"/>
              <w:rPr>
                <w:rFonts w:eastAsia="Times New Roman" w:cs="Calibri"/>
                <w:color w:val="FFFFFF"/>
                <w:sz w:val="18"/>
                <w:szCs w:val="18"/>
                <w:lang w:eastAsia="en-GB"/>
              </w:rPr>
            </w:pPr>
            <w:r w:rsidRPr="006C57FC">
              <w:rPr>
                <w:rFonts w:eastAsia="Times New Roman" w:cs="Calibri"/>
                <w:color w:val="FFFFFF"/>
                <w:sz w:val="18"/>
                <w:szCs w:val="18"/>
                <w:lang w:eastAsia="en-GB"/>
              </w:rPr>
              <w:t> </w:t>
            </w:r>
          </w:p>
        </w:tc>
        <w:tc>
          <w:tcPr>
            <w:tcW w:w="0" w:type="auto"/>
            <w:shd w:val="clear" w:color="000000" w:fill="000099"/>
            <w:noWrap/>
            <w:vAlign w:val="bottom"/>
            <w:hideMark/>
          </w:tcPr>
          <w:p w14:paraId="148C472C"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649323B8"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7BCE47A5"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339F842C"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099E4FF3"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noWrap/>
            <w:vAlign w:val="bottom"/>
            <w:hideMark/>
          </w:tcPr>
          <w:p w14:paraId="196DC717" w14:textId="77777777" w:rsidR="006C57FC" w:rsidRPr="006C57FC" w:rsidRDefault="006C57FC" w:rsidP="008441E1">
            <w:pPr>
              <w:spacing w:line="240" w:lineRule="auto"/>
              <w:jc w:val="center"/>
              <w:rPr>
                <w:rFonts w:eastAsia="Times New Roman" w:cs="Calibri"/>
                <w:color w:val="FFFFFF"/>
                <w:sz w:val="18"/>
                <w:szCs w:val="18"/>
                <w:lang w:eastAsia="en-GB"/>
              </w:rPr>
            </w:pPr>
            <w:r w:rsidRPr="006C57FC">
              <w:rPr>
                <w:rFonts w:eastAsia="Times New Roman" w:cs="Calibri"/>
                <w:color w:val="FFFFFF"/>
                <w:sz w:val="18"/>
                <w:szCs w:val="18"/>
                <w:lang w:eastAsia="en-GB"/>
              </w:rPr>
              <w:t>FTE</w:t>
            </w:r>
          </w:p>
        </w:tc>
        <w:tc>
          <w:tcPr>
            <w:tcW w:w="0" w:type="auto"/>
            <w:shd w:val="clear" w:color="000000" w:fill="000099"/>
            <w:vAlign w:val="bottom"/>
            <w:hideMark/>
          </w:tcPr>
          <w:p w14:paraId="237B7E78"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£000</w:t>
            </w:r>
          </w:p>
        </w:tc>
        <w:tc>
          <w:tcPr>
            <w:tcW w:w="0" w:type="auto"/>
            <w:shd w:val="clear" w:color="000000" w:fill="000099"/>
            <w:vAlign w:val="bottom"/>
            <w:hideMark/>
          </w:tcPr>
          <w:p w14:paraId="53AF9583" w14:textId="77777777" w:rsidR="006C57FC" w:rsidRPr="006C57FC" w:rsidRDefault="006C57FC" w:rsidP="008441E1">
            <w:pPr>
              <w:spacing w:line="240" w:lineRule="auto"/>
              <w:jc w:val="center"/>
              <w:rPr>
                <w:rFonts w:eastAsia="Times New Roman" w:cs="Calibri"/>
                <w:color w:val="FFFFFF"/>
                <w:szCs w:val="20"/>
                <w:lang w:eastAsia="en-GB"/>
              </w:rPr>
            </w:pPr>
            <w:r w:rsidRPr="006C57FC">
              <w:rPr>
                <w:rFonts w:eastAsia="Times New Roman" w:cs="Calibri"/>
                <w:color w:val="FFFFFF"/>
                <w:szCs w:val="20"/>
                <w:lang w:eastAsia="en-GB"/>
              </w:rPr>
              <w:t>£000</w:t>
            </w:r>
          </w:p>
        </w:tc>
      </w:tr>
      <w:tr w:rsidR="006C57FC" w:rsidRPr="006C57FC" w14:paraId="4B7CBF54" w14:textId="77777777" w:rsidTr="00DE74BB">
        <w:trPr>
          <w:trHeight w:val="300"/>
        </w:trPr>
        <w:tc>
          <w:tcPr>
            <w:tcW w:w="0" w:type="auto"/>
            <w:tcBorders>
              <w:right w:val="single" w:sz="4" w:space="0" w:color="auto"/>
            </w:tcBorders>
            <w:shd w:val="clear" w:color="000000" w:fill="FFFFFF"/>
            <w:noWrap/>
            <w:vAlign w:val="center"/>
            <w:hideMark/>
          </w:tcPr>
          <w:p w14:paraId="4B8CDCAA"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£0 - £20,000</w:t>
            </w:r>
          </w:p>
        </w:tc>
        <w:tc>
          <w:tcPr>
            <w:tcW w:w="0" w:type="auto"/>
            <w:tcBorders>
              <w:left w:val="single" w:sz="4" w:space="0" w:color="auto"/>
            </w:tcBorders>
            <w:shd w:val="clear" w:color="000000" w:fill="FFFFFF"/>
            <w:noWrap/>
            <w:vAlign w:val="center"/>
            <w:hideMark/>
          </w:tcPr>
          <w:p w14:paraId="75FA3CB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right w:val="single" w:sz="4" w:space="0" w:color="auto"/>
            </w:tcBorders>
            <w:shd w:val="clear" w:color="000000" w:fill="CCECFF"/>
            <w:noWrap/>
            <w:vAlign w:val="center"/>
            <w:hideMark/>
          </w:tcPr>
          <w:p w14:paraId="1BF9672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49F7B92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F8719E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3CF8D19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right w:val="single" w:sz="4" w:space="0" w:color="auto"/>
            </w:tcBorders>
            <w:shd w:val="clear" w:color="000000" w:fill="CCECFF"/>
            <w:noWrap/>
            <w:vAlign w:val="center"/>
            <w:hideMark/>
          </w:tcPr>
          <w:p w14:paraId="308D433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3658085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12 </w:t>
            </w:r>
          </w:p>
        </w:tc>
        <w:tc>
          <w:tcPr>
            <w:tcW w:w="0" w:type="auto"/>
            <w:shd w:val="clear" w:color="000000" w:fill="CCECFF"/>
            <w:noWrap/>
            <w:vAlign w:val="center"/>
            <w:hideMark/>
          </w:tcPr>
          <w:p w14:paraId="6A43F0E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20 </w:t>
            </w:r>
          </w:p>
        </w:tc>
      </w:tr>
      <w:tr w:rsidR="006C57FC" w:rsidRPr="006C57FC" w14:paraId="3EF69223" w14:textId="77777777" w:rsidTr="00DE74BB">
        <w:trPr>
          <w:trHeight w:val="300"/>
        </w:trPr>
        <w:tc>
          <w:tcPr>
            <w:tcW w:w="0" w:type="auto"/>
            <w:tcBorders>
              <w:right w:val="single" w:sz="4" w:space="0" w:color="auto"/>
            </w:tcBorders>
            <w:shd w:val="clear" w:color="000000" w:fill="FFFFFF"/>
            <w:noWrap/>
            <w:vAlign w:val="center"/>
            <w:hideMark/>
          </w:tcPr>
          <w:p w14:paraId="0BC4E052"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1ADE655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60E33D6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8B7A77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08A003D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7DBFAB1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D1276D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86674B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5D98836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6EB6507C" w14:textId="77777777" w:rsidTr="00DE74BB">
        <w:trPr>
          <w:trHeight w:val="300"/>
        </w:trPr>
        <w:tc>
          <w:tcPr>
            <w:tcW w:w="0" w:type="auto"/>
            <w:tcBorders>
              <w:right w:val="single" w:sz="4" w:space="0" w:color="auto"/>
            </w:tcBorders>
            <w:shd w:val="clear" w:color="000000" w:fill="FFFFFF"/>
            <w:noWrap/>
            <w:vAlign w:val="center"/>
            <w:hideMark/>
          </w:tcPr>
          <w:p w14:paraId="145122A2"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£20,001 - £40,000</w:t>
            </w:r>
          </w:p>
        </w:tc>
        <w:tc>
          <w:tcPr>
            <w:tcW w:w="0" w:type="auto"/>
            <w:tcBorders>
              <w:left w:val="single" w:sz="4" w:space="0" w:color="auto"/>
            </w:tcBorders>
            <w:shd w:val="clear" w:color="000000" w:fill="FFFFFF"/>
            <w:noWrap/>
            <w:vAlign w:val="center"/>
            <w:hideMark/>
          </w:tcPr>
          <w:p w14:paraId="07AA532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2C43EE4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45182894"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4AD97DF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14C37D6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2AAD884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1 </w:t>
            </w:r>
          </w:p>
        </w:tc>
        <w:tc>
          <w:tcPr>
            <w:tcW w:w="0" w:type="auto"/>
            <w:tcBorders>
              <w:left w:val="single" w:sz="4" w:space="0" w:color="auto"/>
            </w:tcBorders>
            <w:shd w:val="clear" w:color="000000" w:fill="FFFFFF"/>
            <w:noWrap/>
            <w:vAlign w:val="center"/>
            <w:hideMark/>
          </w:tcPr>
          <w:p w14:paraId="5E5181F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77F4358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34 </w:t>
            </w:r>
          </w:p>
        </w:tc>
      </w:tr>
      <w:tr w:rsidR="006C57FC" w:rsidRPr="006C57FC" w14:paraId="1AEC943C" w14:textId="77777777" w:rsidTr="00DE74BB">
        <w:trPr>
          <w:trHeight w:val="300"/>
        </w:trPr>
        <w:tc>
          <w:tcPr>
            <w:tcW w:w="0" w:type="auto"/>
            <w:tcBorders>
              <w:right w:val="single" w:sz="4" w:space="0" w:color="auto"/>
            </w:tcBorders>
            <w:shd w:val="clear" w:color="000000" w:fill="FFFFFF"/>
            <w:noWrap/>
            <w:vAlign w:val="center"/>
            <w:hideMark/>
          </w:tcPr>
          <w:p w14:paraId="633A9A28"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5A38ED23"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54EE342D"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515481B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201C58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9041A7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7D78578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0CC3433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39F5849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1343AF8E" w14:textId="77777777" w:rsidTr="00DE74BB">
        <w:trPr>
          <w:trHeight w:val="300"/>
        </w:trPr>
        <w:tc>
          <w:tcPr>
            <w:tcW w:w="0" w:type="auto"/>
            <w:tcBorders>
              <w:right w:val="single" w:sz="4" w:space="0" w:color="auto"/>
            </w:tcBorders>
            <w:shd w:val="clear" w:color="000000" w:fill="FFFFFF"/>
            <w:noWrap/>
            <w:vAlign w:val="center"/>
            <w:hideMark/>
          </w:tcPr>
          <w:p w14:paraId="00FF938C"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£60,001 - £80,000</w:t>
            </w:r>
          </w:p>
        </w:tc>
        <w:tc>
          <w:tcPr>
            <w:tcW w:w="0" w:type="auto"/>
            <w:tcBorders>
              <w:left w:val="single" w:sz="4" w:space="0" w:color="auto"/>
            </w:tcBorders>
            <w:shd w:val="clear" w:color="000000" w:fill="FFFFFF"/>
            <w:noWrap/>
            <w:vAlign w:val="center"/>
            <w:hideMark/>
          </w:tcPr>
          <w:p w14:paraId="67CC1BD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1C556AA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13E9D35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0C5DE423"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905CE4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EC78981"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7F3028B"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10B5387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r>
      <w:tr w:rsidR="006C57FC" w:rsidRPr="006C57FC" w14:paraId="55107307" w14:textId="77777777" w:rsidTr="00DE74BB">
        <w:trPr>
          <w:trHeight w:val="300"/>
        </w:trPr>
        <w:tc>
          <w:tcPr>
            <w:tcW w:w="0" w:type="auto"/>
            <w:tcBorders>
              <w:right w:val="single" w:sz="4" w:space="0" w:color="auto"/>
            </w:tcBorders>
            <w:shd w:val="clear" w:color="000000" w:fill="FFFFFF"/>
            <w:noWrap/>
            <w:vAlign w:val="center"/>
            <w:hideMark/>
          </w:tcPr>
          <w:p w14:paraId="26B2A644"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2EA143B7"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7BAF821E"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171FB36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3632760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48E68478"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right w:val="single" w:sz="4" w:space="0" w:color="auto"/>
            </w:tcBorders>
            <w:shd w:val="clear" w:color="000000" w:fill="CCECFF"/>
            <w:noWrap/>
            <w:vAlign w:val="center"/>
            <w:hideMark/>
          </w:tcPr>
          <w:p w14:paraId="4E74C396"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tcBorders>
            <w:shd w:val="clear" w:color="000000" w:fill="FFFFFF"/>
            <w:noWrap/>
            <w:vAlign w:val="center"/>
            <w:hideMark/>
          </w:tcPr>
          <w:p w14:paraId="7080431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shd w:val="clear" w:color="000000" w:fill="CCECFF"/>
            <w:noWrap/>
            <w:vAlign w:val="center"/>
            <w:hideMark/>
          </w:tcPr>
          <w:p w14:paraId="039A648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6C57FC" w14:paraId="6ED74FA3" w14:textId="77777777" w:rsidTr="00DE74BB">
        <w:trPr>
          <w:trHeight w:val="300"/>
        </w:trPr>
        <w:tc>
          <w:tcPr>
            <w:tcW w:w="0" w:type="auto"/>
            <w:tcBorders>
              <w:right w:val="single" w:sz="4" w:space="0" w:color="auto"/>
            </w:tcBorders>
            <w:shd w:val="clear" w:color="000000" w:fill="FFFFFF"/>
            <w:noWrap/>
            <w:vAlign w:val="center"/>
            <w:hideMark/>
          </w:tcPr>
          <w:p w14:paraId="7319AC68"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£160,001 - £180,000</w:t>
            </w:r>
          </w:p>
        </w:tc>
        <w:tc>
          <w:tcPr>
            <w:tcW w:w="0" w:type="auto"/>
            <w:tcBorders>
              <w:left w:val="single" w:sz="4" w:space="0" w:color="auto"/>
            </w:tcBorders>
            <w:shd w:val="clear" w:color="000000" w:fill="FFFFFF"/>
            <w:noWrap/>
            <w:vAlign w:val="center"/>
            <w:hideMark/>
          </w:tcPr>
          <w:p w14:paraId="3AF7FBF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5689A850"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7A0AFBB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1268C3CD"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582C5B3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right w:val="single" w:sz="4" w:space="0" w:color="auto"/>
            </w:tcBorders>
            <w:shd w:val="clear" w:color="000000" w:fill="CCECFF"/>
            <w:noWrap/>
            <w:vAlign w:val="center"/>
            <w:hideMark/>
          </w:tcPr>
          <w:p w14:paraId="38B48C0C"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tcBorders>
              <w:left w:val="single" w:sz="4" w:space="0" w:color="auto"/>
            </w:tcBorders>
            <w:shd w:val="clear" w:color="000000" w:fill="FFFFFF"/>
            <w:noWrap/>
            <w:vAlign w:val="center"/>
            <w:hideMark/>
          </w:tcPr>
          <w:p w14:paraId="016D893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c>
          <w:tcPr>
            <w:tcW w:w="0" w:type="auto"/>
            <w:shd w:val="clear" w:color="000000" w:fill="CCECFF"/>
            <w:noWrap/>
            <w:vAlign w:val="center"/>
            <w:hideMark/>
          </w:tcPr>
          <w:p w14:paraId="6236E40A"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xml:space="preserve">              -   </w:t>
            </w:r>
          </w:p>
        </w:tc>
      </w:tr>
      <w:tr w:rsidR="006C57FC" w:rsidRPr="006C57FC" w14:paraId="6240F242" w14:textId="77777777" w:rsidTr="00DE74BB">
        <w:trPr>
          <w:trHeight w:val="300"/>
        </w:trPr>
        <w:tc>
          <w:tcPr>
            <w:tcW w:w="0" w:type="auto"/>
            <w:tcBorders>
              <w:bottom w:val="single" w:sz="4" w:space="0" w:color="auto"/>
              <w:right w:val="single" w:sz="4" w:space="0" w:color="auto"/>
            </w:tcBorders>
            <w:shd w:val="clear" w:color="000000" w:fill="FFFFFF"/>
            <w:noWrap/>
            <w:vAlign w:val="center"/>
            <w:hideMark/>
          </w:tcPr>
          <w:p w14:paraId="55171D1F" w14:textId="77777777" w:rsidR="006C57FC" w:rsidRPr="00EC4882" w:rsidRDefault="006C57FC" w:rsidP="008441E1">
            <w:pPr>
              <w:spacing w:line="240" w:lineRule="auto"/>
              <w:jc w:val="left"/>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72C5004E"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0AA9AC92"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2A4E16CF"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10CDDEC4"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44E7B75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right w:val="single" w:sz="4" w:space="0" w:color="auto"/>
            </w:tcBorders>
            <w:shd w:val="clear" w:color="000000" w:fill="CCECFF"/>
            <w:noWrap/>
            <w:vAlign w:val="center"/>
            <w:hideMark/>
          </w:tcPr>
          <w:p w14:paraId="0870FF37"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left w:val="single" w:sz="4" w:space="0" w:color="auto"/>
              <w:bottom w:val="single" w:sz="4" w:space="0" w:color="auto"/>
            </w:tcBorders>
            <w:shd w:val="clear" w:color="000000" w:fill="FFFFFF"/>
            <w:noWrap/>
            <w:vAlign w:val="center"/>
            <w:hideMark/>
          </w:tcPr>
          <w:p w14:paraId="71FB9175"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c>
          <w:tcPr>
            <w:tcW w:w="0" w:type="auto"/>
            <w:tcBorders>
              <w:bottom w:val="single" w:sz="4" w:space="0" w:color="auto"/>
            </w:tcBorders>
            <w:shd w:val="clear" w:color="000000" w:fill="CCECFF"/>
            <w:noWrap/>
            <w:vAlign w:val="center"/>
            <w:hideMark/>
          </w:tcPr>
          <w:p w14:paraId="5B082359" w14:textId="77777777" w:rsidR="006C57FC" w:rsidRPr="00EC4882" w:rsidRDefault="006C57FC" w:rsidP="00FC7D71">
            <w:pPr>
              <w:spacing w:line="240" w:lineRule="auto"/>
              <w:rPr>
                <w:rFonts w:asciiTheme="minorHAnsi" w:eastAsia="Times New Roman" w:hAnsiTheme="minorHAnsi" w:cstheme="minorHAnsi"/>
                <w:color w:val="auto"/>
                <w:sz w:val="18"/>
                <w:szCs w:val="18"/>
                <w:lang w:eastAsia="en-GB"/>
              </w:rPr>
            </w:pPr>
            <w:r w:rsidRPr="00EC4882">
              <w:rPr>
                <w:rFonts w:asciiTheme="minorHAnsi" w:eastAsia="Times New Roman" w:hAnsiTheme="minorHAnsi" w:cstheme="minorHAnsi"/>
                <w:color w:val="auto"/>
                <w:sz w:val="18"/>
                <w:szCs w:val="18"/>
                <w:lang w:eastAsia="en-GB"/>
              </w:rPr>
              <w:t> </w:t>
            </w:r>
          </w:p>
        </w:tc>
      </w:tr>
      <w:tr w:rsidR="006C57FC" w:rsidRPr="00DE74BB" w14:paraId="3310C485" w14:textId="77777777" w:rsidTr="00DE74BB">
        <w:trPr>
          <w:trHeight w:val="300"/>
        </w:trPr>
        <w:tc>
          <w:tcPr>
            <w:tcW w:w="0" w:type="auto"/>
            <w:tcBorders>
              <w:top w:val="single" w:sz="4" w:space="0" w:color="auto"/>
              <w:bottom w:val="single" w:sz="4" w:space="0" w:color="auto"/>
              <w:right w:val="single" w:sz="4" w:space="0" w:color="auto"/>
            </w:tcBorders>
            <w:shd w:val="clear" w:color="000000" w:fill="FFFFFF"/>
            <w:noWrap/>
            <w:vAlign w:val="center"/>
            <w:hideMark/>
          </w:tcPr>
          <w:p w14:paraId="709AC183" w14:textId="77777777" w:rsidR="006C57FC" w:rsidRPr="00DE74BB" w:rsidRDefault="006C57FC" w:rsidP="008441E1">
            <w:pPr>
              <w:spacing w:line="240" w:lineRule="auto"/>
              <w:jc w:val="left"/>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Total</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7BFEC23C"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776E7D8A"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64D3202D"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128640BB"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2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436E0C5E"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 </w:t>
            </w:r>
          </w:p>
        </w:tc>
        <w:tc>
          <w:tcPr>
            <w:tcW w:w="0" w:type="auto"/>
            <w:tcBorders>
              <w:top w:val="single" w:sz="4" w:space="0" w:color="auto"/>
              <w:bottom w:val="single" w:sz="4" w:space="0" w:color="auto"/>
              <w:right w:val="single" w:sz="4" w:space="0" w:color="auto"/>
            </w:tcBorders>
            <w:shd w:val="clear" w:color="000000" w:fill="CCECFF"/>
            <w:noWrap/>
            <w:vAlign w:val="center"/>
            <w:hideMark/>
          </w:tcPr>
          <w:p w14:paraId="6FDD4218"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2 </w:t>
            </w:r>
          </w:p>
        </w:tc>
        <w:tc>
          <w:tcPr>
            <w:tcW w:w="0" w:type="auto"/>
            <w:tcBorders>
              <w:top w:val="single" w:sz="4" w:space="0" w:color="auto"/>
              <w:left w:val="single" w:sz="4" w:space="0" w:color="auto"/>
              <w:bottom w:val="single" w:sz="4" w:space="0" w:color="auto"/>
            </w:tcBorders>
            <w:shd w:val="clear" w:color="000000" w:fill="FFFFFF"/>
            <w:noWrap/>
            <w:vAlign w:val="center"/>
            <w:hideMark/>
          </w:tcPr>
          <w:p w14:paraId="163D8BA8"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12 </w:t>
            </w:r>
          </w:p>
        </w:tc>
        <w:tc>
          <w:tcPr>
            <w:tcW w:w="0" w:type="auto"/>
            <w:tcBorders>
              <w:top w:val="single" w:sz="4" w:space="0" w:color="auto"/>
              <w:bottom w:val="single" w:sz="4" w:space="0" w:color="auto"/>
            </w:tcBorders>
            <w:shd w:val="clear" w:color="000000" w:fill="CCECFF"/>
            <w:noWrap/>
            <w:vAlign w:val="center"/>
            <w:hideMark/>
          </w:tcPr>
          <w:p w14:paraId="5223661A" w14:textId="77777777" w:rsidR="006C57FC" w:rsidRPr="00DE74BB" w:rsidRDefault="006C57FC" w:rsidP="00FC7D71">
            <w:pPr>
              <w:spacing w:line="240" w:lineRule="auto"/>
              <w:rPr>
                <w:rFonts w:asciiTheme="minorHAnsi" w:eastAsia="Times New Roman" w:hAnsiTheme="minorHAnsi" w:cstheme="minorHAnsi"/>
                <w:b/>
                <w:bCs/>
                <w:color w:val="auto"/>
                <w:sz w:val="18"/>
                <w:szCs w:val="18"/>
                <w:lang w:eastAsia="en-GB"/>
              </w:rPr>
            </w:pPr>
            <w:r w:rsidRPr="00DE74BB">
              <w:rPr>
                <w:rFonts w:asciiTheme="minorHAnsi" w:eastAsia="Times New Roman" w:hAnsiTheme="minorHAnsi" w:cstheme="minorHAnsi"/>
                <w:b/>
                <w:bCs/>
                <w:color w:val="auto"/>
                <w:sz w:val="18"/>
                <w:szCs w:val="18"/>
                <w:lang w:eastAsia="en-GB"/>
              </w:rPr>
              <w:t xml:space="preserve">              54 </w:t>
            </w:r>
          </w:p>
        </w:tc>
      </w:tr>
    </w:tbl>
    <w:p w14:paraId="5EA2FDD7" w14:textId="6F42FE13" w:rsidR="002575CB" w:rsidRDefault="002575CB" w:rsidP="008441E1"/>
    <w:p w14:paraId="7B1F6DEB" w14:textId="77777777" w:rsidR="00CF7F22" w:rsidRPr="00336E57" w:rsidRDefault="00CF7F22" w:rsidP="008441E1"/>
    <w:p w14:paraId="2DF10D4E" w14:textId="77777777" w:rsidR="002522D4" w:rsidRPr="007C22F8" w:rsidRDefault="002522D4" w:rsidP="008441E1">
      <w:pPr>
        <w:pStyle w:val="NoteHeader"/>
      </w:pPr>
      <w:bookmarkStart w:id="239" w:name="_Toc109632236"/>
      <w:bookmarkStart w:id="240" w:name="_Toc191457353"/>
      <w:r w:rsidRPr="007C22F8">
        <w:t>Note 37 - Pension Schemes Accounted for as Defined Contribution Schemes</w:t>
      </w:r>
      <w:bookmarkEnd w:id="236"/>
      <w:bookmarkEnd w:id="237"/>
      <w:bookmarkEnd w:id="238"/>
      <w:bookmarkEnd w:id="239"/>
      <w:bookmarkEnd w:id="240"/>
      <w:r w:rsidRPr="007C22F8">
        <w:t xml:space="preserve"> </w:t>
      </w:r>
    </w:p>
    <w:p w14:paraId="139827E7" w14:textId="77777777" w:rsidR="003C09E9" w:rsidRPr="00141772" w:rsidRDefault="003C09E9" w:rsidP="008441E1">
      <w:pPr>
        <w:rPr>
          <w:b/>
        </w:rPr>
      </w:pPr>
    </w:p>
    <w:p w14:paraId="4F3F9618" w14:textId="77777777" w:rsidR="003C09E9" w:rsidRPr="00141772" w:rsidRDefault="003C09E9" w:rsidP="008441E1">
      <w:pPr>
        <w:pStyle w:val="VAHeadingLevel3"/>
        <w:rPr>
          <w:rFonts w:eastAsia="Calibri"/>
        </w:rPr>
      </w:pPr>
      <w:r w:rsidRPr="00141772">
        <w:rPr>
          <w:rFonts w:eastAsia="Calibri"/>
        </w:rPr>
        <w:t>a) Participation in Pension Schemes</w:t>
      </w:r>
    </w:p>
    <w:p w14:paraId="556DF401" w14:textId="77777777" w:rsidR="003C09E9" w:rsidRPr="00141772" w:rsidRDefault="003C09E9" w:rsidP="008441E1">
      <w:pPr>
        <w:rPr>
          <w:bCs/>
        </w:rPr>
      </w:pPr>
    </w:p>
    <w:p w14:paraId="44D63F79" w14:textId="1CD9AC87" w:rsidR="00A56345" w:rsidRDefault="00A56345" w:rsidP="008441E1">
      <w:r>
        <w:t>As part of the terms and conditions of employment of its officers and other employees, the OPFCC</w:t>
      </w:r>
      <w:r w:rsidR="00C357E3">
        <w:t xml:space="preserve"> and OCC</w:t>
      </w:r>
      <w:r>
        <w:t xml:space="preserve"> offer retirement benefits.  Although these benefits will not actually be payable until the employees retire, </w:t>
      </w:r>
      <w:r w:rsidR="00C357E3">
        <w:t>there is</w:t>
      </w:r>
      <w:r>
        <w:t xml:space="preserve"> a commitment to make the payments that need to be disclosed at the time that employees earn their future entitlement.</w:t>
      </w:r>
    </w:p>
    <w:p w14:paraId="6A4DD846" w14:textId="77777777" w:rsidR="00A56345" w:rsidRDefault="00A56345" w:rsidP="008441E1"/>
    <w:p w14:paraId="476EF508" w14:textId="77777777" w:rsidR="00A56345" w:rsidRDefault="00A56345" w:rsidP="008441E1">
      <w:r>
        <w:t>The Group participates in pension schemes for both Police Staff and Police Officers, as follows:</w:t>
      </w:r>
    </w:p>
    <w:p w14:paraId="06BB1A90" w14:textId="77777777" w:rsidR="00A56345" w:rsidRDefault="00A56345" w:rsidP="008441E1">
      <w:pPr>
        <w:rPr>
          <w:bCs/>
        </w:rPr>
      </w:pPr>
    </w:p>
    <w:p w14:paraId="52F6B3F1" w14:textId="2AE65B2F" w:rsidR="00A56345" w:rsidRPr="008441E1" w:rsidRDefault="00A56345" w:rsidP="008441E1">
      <w:pPr>
        <w:pStyle w:val="RedBullet"/>
        <w:rPr>
          <w:rFonts w:eastAsia="Calibri"/>
        </w:rPr>
      </w:pPr>
      <w:r w:rsidRPr="008441E1">
        <w:rPr>
          <w:rFonts w:eastAsia="Calibri"/>
        </w:rPr>
        <w:t>The Local Government Pension Scheme for Police Staff, administered by West Northamptonshire Council.  This is a funded scheme, meaning that the OPFCC</w:t>
      </w:r>
      <w:r w:rsidR="008F7BEB" w:rsidRPr="008441E1">
        <w:rPr>
          <w:rFonts w:eastAsia="Calibri"/>
        </w:rPr>
        <w:t xml:space="preserve"> and OCC </w:t>
      </w:r>
      <w:r w:rsidRPr="008441E1">
        <w:rPr>
          <w:rFonts w:eastAsia="Calibri"/>
        </w:rPr>
        <w:t xml:space="preserve">pay contributions into a fund, calculated at a level intended to balance the pension liabilities with investment assets.  The </w:t>
      </w:r>
      <w:r w:rsidR="00C357E3" w:rsidRPr="008441E1">
        <w:rPr>
          <w:rFonts w:eastAsia="Calibri"/>
        </w:rPr>
        <w:t>a</w:t>
      </w:r>
      <w:r w:rsidRPr="008441E1">
        <w:rPr>
          <w:rFonts w:eastAsia="Calibri"/>
        </w:rPr>
        <w:t>ctuary to the fund is Hymans Robertson LLP.  The</w:t>
      </w:r>
      <w:r w:rsidR="00C357E3" w:rsidRPr="008441E1">
        <w:rPr>
          <w:rFonts w:eastAsia="Calibri"/>
        </w:rPr>
        <w:t xml:space="preserve"> OPFCC and OCC</w:t>
      </w:r>
      <w:r w:rsidRPr="008441E1">
        <w:rPr>
          <w:rFonts w:eastAsia="Calibri"/>
        </w:rPr>
        <w:t xml:space="preserve"> schemes are pooled under one LGPS pension group. </w:t>
      </w:r>
    </w:p>
    <w:p w14:paraId="5D621624" w14:textId="77777777" w:rsidR="00A56345" w:rsidRPr="008441E1" w:rsidRDefault="00A56345" w:rsidP="008441E1">
      <w:pPr>
        <w:pStyle w:val="RedBullet"/>
        <w:numPr>
          <w:ilvl w:val="0"/>
          <w:numId w:val="0"/>
        </w:numPr>
        <w:ind w:left="720"/>
        <w:rPr>
          <w:rFonts w:eastAsia="Calibri"/>
        </w:rPr>
      </w:pPr>
    </w:p>
    <w:p w14:paraId="473063CE" w14:textId="71DD97FC" w:rsidR="004024D0" w:rsidRPr="008441E1" w:rsidRDefault="00A56345" w:rsidP="008441E1">
      <w:pPr>
        <w:pStyle w:val="RedBullet"/>
        <w:rPr>
          <w:rFonts w:eastAsia="Calibri"/>
        </w:rPr>
      </w:pPr>
      <w:r w:rsidRPr="008441E1">
        <w:rPr>
          <w:rFonts w:eastAsia="Calibri"/>
        </w:rPr>
        <w:t xml:space="preserve">The Police Pension Scheme for Police Officers includes the following pension schemes; the Police Pension Scheme (PPS), the New Police Pension Scheme (NPPS) and Police Pension Scheme 2015 (PPS).  All schemes are administered by XPS on behalf of the Group.  These are unfunded, meaning that there are no investment assets built-up to meet the pension’s liabilities, and cash has to be generated to meet actual pension’s payments as they eventually fall due.  These are defined benefit schemes (lump sum payments and periodic pension).  New funding arrangements commenced on 1 April 2006 that required a police pension fund account to be created.  </w:t>
      </w:r>
      <w:r w:rsidRPr="008441E1">
        <w:rPr>
          <w:rFonts w:eastAsia="Calibri"/>
        </w:rPr>
        <w:lastRenderedPageBreak/>
        <w:t>This account is credited with employer contributions, and any shortfall over retirements benefits paid is met by a contribution by the OPFCC, which is in turn met by Home Office Pensions Top Up Grant.  If there is a surplus, it is paid to the OPFCC in the first instance before being recouped by the Home Office.  The levels of pension contribution rates are set nationally by the Home Office, following review by the Government Actuary’s Department (GAD).</w:t>
      </w:r>
    </w:p>
    <w:p w14:paraId="5D1C862C" w14:textId="77777777" w:rsidR="004024D0" w:rsidRPr="008441E1" w:rsidRDefault="004024D0" w:rsidP="008441E1">
      <w:pPr>
        <w:pStyle w:val="RedBullet"/>
        <w:numPr>
          <w:ilvl w:val="0"/>
          <w:numId w:val="0"/>
        </w:numPr>
        <w:ind w:left="720"/>
        <w:rPr>
          <w:rFonts w:eastAsia="Calibri"/>
        </w:rPr>
      </w:pPr>
    </w:p>
    <w:p w14:paraId="6C0CD746" w14:textId="057FE109" w:rsidR="00DF7EA7" w:rsidRPr="008441E1" w:rsidRDefault="004024D0" w:rsidP="008441E1">
      <w:pPr>
        <w:pStyle w:val="RedBullet"/>
      </w:pPr>
      <w:bookmarkStart w:id="241" w:name="_Hlk135998405"/>
      <w:r w:rsidRPr="008441E1">
        <w:t>The Local Government Pension Scheme contributions payable by employers are determined by the actuary to the Pension Fund based on triennial valuations, the most recent of which was at 31</w:t>
      </w:r>
      <w:r w:rsidR="00A924BD" w:rsidRPr="008441E1">
        <w:t>st</w:t>
      </w:r>
      <w:r w:rsidR="00F77991" w:rsidRPr="008441E1">
        <w:t xml:space="preserve"> </w:t>
      </w:r>
      <w:r w:rsidRPr="008441E1">
        <w:t>March 2022 which changed the level of contributions from 2023/24</w:t>
      </w:r>
      <w:r w:rsidR="00DF7EA7" w:rsidRPr="008441E1">
        <w:t xml:space="preserve"> onwards.  Therefore</w:t>
      </w:r>
      <w:r w:rsidR="00C357E3" w:rsidRPr="008441E1">
        <w:t>,</w:t>
      </w:r>
      <w:r w:rsidR="00DF7EA7" w:rsidRPr="008441E1">
        <w:t xml:space="preserve"> 2024/25 contributions are expected to be consistent with 2023/24 contributions.</w:t>
      </w:r>
    </w:p>
    <w:p w14:paraId="0D94A41D" w14:textId="786D72BF" w:rsidR="003C09E9" w:rsidRPr="00DF7EA7" w:rsidRDefault="00A924BD" w:rsidP="008441E1">
      <w:pPr>
        <w:pStyle w:val="RedBullet"/>
        <w:numPr>
          <w:ilvl w:val="0"/>
          <w:numId w:val="0"/>
        </w:numPr>
        <w:spacing w:line="240" w:lineRule="auto"/>
        <w:rPr>
          <w:bCs/>
        </w:rPr>
      </w:pPr>
      <w:r w:rsidRPr="00DF7EA7">
        <w:rPr>
          <w:rFonts w:cs="Arial"/>
        </w:rPr>
        <w:t xml:space="preserve"> </w:t>
      </w:r>
      <w:r w:rsidR="004024D0" w:rsidRPr="00DF7EA7">
        <w:rPr>
          <w:rFonts w:cs="Arial"/>
        </w:rPr>
        <w:t xml:space="preserve"> </w:t>
      </w:r>
      <w:bookmarkEnd w:id="241"/>
    </w:p>
    <w:p w14:paraId="1A68B30C" w14:textId="77777777" w:rsidR="003C09E9" w:rsidRPr="00141772" w:rsidRDefault="003C09E9" w:rsidP="008441E1">
      <w:pPr>
        <w:pStyle w:val="VAHeadingLevel3"/>
        <w:rPr>
          <w:rFonts w:eastAsia="Calibri"/>
        </w:rPr>
      </w:pPr>
      <w:r w:rsidRPr="00141772">
        <w:rPr>
          <w:rFonts w:eastAsia="Calibri"/>
        </w:rPr>
        <w:t>(b) Transactions Relating to Retirement Benefits</w:t>
      </w:r>
    </w:p>
    <w:p w14:paraId="3DA983EA" w14:textId="77777777" w:rsidR="003C09E9" w:rsidRPr="00141772" w:rsidRDefault="003C09E9" w:rsidP="008441E1">
      <w:pPr>
        <w:rPr>
          <w:bCs/>
        </w:rPr>
      </w:pPr>
    </w:p>
    <w:p w14:paraId="2B367676" w14:textId="0AD33ECF" w:rsidR="003C09E9" w:rsidRPr="003C09E9" w:rsidRDefault="003C09E9" w:rsidP="008441E1">
      <w:pPr>
        <w:rPr>
          <w:bCs/>
          <w:highlight w:val="yellow"/>
        </w:rPr>
      </w:pPr>
      <w:r w:rsidRPr="00141772">
        <w:rPr>
          <w:bCs/>
        </w:rPr>
        <w:t>Under IAS</w:t>
      </w:r>
      <w:r w:rsidR="008268B9">
        <w:rPr>
          <w:bCs/>
        </w:rPr>
        <w:t xml:space="preserve"> </w:t>
      </w:r>
      <w:r w:rsidRPr="00141772">
        <w:rPr>
          <w:bCs/>
        </w:rPr>
        <w:t>19</w:t>
      </w:r>
      <w:r>
        <w:rPr>
          <w:bCs/>
        </w:rPr>
        <w:t>,</w:t>
      </w:r>
      <w:r w:rsidRPr="00141772">
        <w:rPr>
          <w:bCs/>
        </w:rPr>
        <w:t xml:space="preserve"> the cost of retirement benefits is recognised in the </w:t>
      </w:r>
      <w:r>
        <w:rPr>
          <w:bCs/>
        </w:rPr>
        <w:t xml:space="preserve">Comprehensive </w:t>
      </w:r>
      <w:r w:rsidRPr="00141772">
        <w:rPr>
          <w:bCs/>
        </w:rPr>
        <w:t xml:space="preserve">Income and Expenditure Account when employees earn them, rather than when the benefits are actually paid as pensions. </w:t>
      </w:r>
      <w:r>
        <w:rPr>
          <w:bCs/>
        </w:rPr>
        <w:t xml:space="preserve"> </w:t>
      </w:r>
      <w:r w:rsidRPr="00141772">
        <w:rPr>
          <w:bCs/>
        </w:rPr>
        <w:t xml:space="preserve">However, the charge that is required to be made against the precept is based on the cash payable in the year, by reversing the real cost of retirement </w:t>
      </w:r>
      <w:r w:rsidRPr="003C09E9">
        <w:rPr>
          <w:bCs/>
        </w:rPr>
        <w:t>benefits out of the Statement of Movement in Reserves in the General</w:t>
      </w:r>
      <w:r w:rsidRPr="00141772">
        <w:rPr>
          <w:bCs/>
        </w:rPr>
        <w:t xml:space="preserve"> Fund Balance. </w:t>
      </w:r>
    </w:p>
    <w:p w14:paraId="636B4729" w14:textId="77777777" w:rsidR="003C09E9" w:rsidRPr="00141772" w:rsidRDefault="003C09E9" w:rsidP="008441E1">
      <w:pPr>
        <w:rPr>
          <w:bCs/>
        </w:rPr>
      </w:pPr>
    </w:p>
    <w:p w14:paraId="2595D5E0" w14:textId="77777777" w:rsidR="003C09E9" w:rsidRPr="00141772" w:rsidRDefault="003C09E9" w:rsidP="008441E1">
      <w:pPr>
        <w:pStyle w:val="VAHeadingLevel3"/>
        <w:rPr>
          <w:rFonts w:eastAsia="Calibri"/>
        </w:rPr>
      </w:pPr>
      <w:r w:rsidRPr="00141772">
        <w:rPr>
          <w:rFonts w:eastAsia="Calibri"/>
        </w:rPr>
        <w:t>Pensions liabilities and future considerations</w:t>
      </w:r>
    </w:p>
    <w:p w14:paraId="003AAE06" w14:textId="77777777" w:rsidR="003C09E9" w:rsidRPr="00141772" w:rsidRDefault="003C09E9" w:rsidP="008441E1">
      <w:pPr>
        <w:rPr>
          <w:bCs/>
          <w:iCs/>
        </w:rPr>
      </w:pPr>
    </w:p>
    <w:p w14:paraId="6632BFC5" w14:textId="0FDC48F0" w:rsidR="003C09E9" w:rsidRPr="00141772" w:rsidRDefault="003C09E9" w:rsidP="008441E1">
      <w:r w:rsidRPr="00141772">
        <w:t xml:space="preserve">The current service costs contained in the table below are </w:t>
      </w:r>
      <w:r w:rsidR="009657AF">
        <w:t>part of</w:t>
      </w:r>
      <w:r w:rsidRPr="00141772">
        <w:t xml:space="preserve"> the following values contained within the Comprehensive Income and Expenditure Statement. </w:t>
      </w:r>
    </w:p>
    <w:p w14:paraId="43F3CD1F" w14:textId="77777777" w:rsidR="003C09E9" w:rsidRPr="00141772" w:rsidRDefault="003C09E9" w:rsidP="008441E1">
      <w:pPr>
        <w:rPr>
          <w:bCs/>
          <w:iCs/>
        </w:rPr>
      </w:pPr>
    </w:p>
    <w:p w14:paraId="7B10FD58" w14:textId="7CA0068D" w:rsidR="003C09E9" w:rsidRPr="008441E1" w:rsidRDefault="003C09E9" w:rsidP="008441E1">
      <w:pPr>
        <w:pStyle w:val="RedBullet"/>
      </w:pPr>
      <w:r w:rsidRPr="008441E1">
        <w:t xml:space="preserve">Local Government Pension </w:t>
      </w:r>
      <w:r w:rsidR="007002A7" w:rsidRPr="008441E1">
        <w:t>Scheme:</w:t>
      </w:r>
      <w:r w:rsidRPr="008441E1">
        <w:t xml:space="preserve"> within Police Staff Pay and Allowances.</w:t>
      </w:r>
    </w:p>
    <w:p w14:paraId="55D40610" w14:textId="6009DDD7" w:rsidR="003C09E9" w:rsidRPr="008441E1" w:rsidRDefault="003C09E9" w:rsidP="008441E1">
      <w:pPr>
        <w:pStyle w:val="RedBullet"/>
      </w:pPr>
      <w:r w:rsidRPr="008441E1">
        <w:t xml:space="preserve">Police Pension </w:t>
      </w:r>
      <w:r w:rsidR="007002A7" w:rsidRPr="008441E1">
        <w:t>Scheme:</w:t>
      </w:r>
      <w:r w:rsidRPr="008441E1">
        <w:t xml:space="preserve"> within Police Officer Pay and Allowances</w:t>
      </w:r>
      <w:r w:rsidR="00B96465">
        <w:t>.</w:t>
      </w:r>
    </w:p>
    <w:p w14:paraId="4DE9BEB7" w14:textId="1B464128" w:rsidR="004E5450" w:rsidRDefault="004E5450" w:rsidP="008441E1">
      <w:pPr>
        <w:pStyle w:val="RedBullet"/>
        <w:numPr>
          <w:ilvl w:val="0"/>
          <w:numId w:val="0"/>
        </w:numPr>
      </w:pPr>
    </w:p>
    <w:p w14:paraId="1081FCBD" w14:textId="77777777" w:rsidR="004024D0" w:rsidRDefault="004024D0" w:rsidP="008441E1">
      <w:pPr>
        <w:pStyle w:val="VAHeadingLevel2"/>
        <w:rPr>
          <w:rFonts w:eastAsia="Calibri"/>
        </w:rPr>
      </w:pPr>
    </w:p>
    <w:p w14:paraId="5A8EFAA5" w14:textId="77777777" w:rsidR="00DF7EA7" w:rsidRDefault="00DF7EA7" w:rsidP="008441E1">
      <w:pPr>
        <w:pStyle w:val="VAHeadingLevel2"/>
        <w:rPr>
          <w:rFonts w:eastAsia="Calibri"/>
        </w:rPr>
      </w:pPr>
    </w:p>
    <w:p w14:paraId="3E2FEBF4" w14:textId="77777777" w:rsidR="009E53F6" w:rsidRDefault="009E53F6" w:rsidP="008441E1">
      <w:pPr>
        <w:spacing w:line="240" w:lineRule="auto"/>
        <w:jc w:val="left"/>
        <w:rPr>
          <w:rFonts w:asciiTheme="minorHAnsi" w:eastAsia="Calibri" w:hAnsiTheme="minorHAnsi" w:cs="Times New Roman"/>
          <w:bCs/>
          <w:color w:val="25316C"/>
          <w:sz w:val="24"/>
        </w:rPr>
      </w:pPr>
      <w:r>
        <w:rPr>
          <w:rFonts w:eastAsia="Calibri"/>
        </w:rPr>
        <w:br w:type="page"/>
      </w:r>
    </w:p>
    <w:p w14:paraId="3EA0F9C0" w14:textId="3DD8B8A2" w:rsidR="00A56345" w:rsidRDefault="00A56345" w:rsidP="008441E1">
      <w:pPr>
        <w:pStyle w:val="VAHeadingLevel2"/>
        <w:rPr>
          <w:rFonts w:ascii="Calibri" w:eastAsia="Calibri" w:hAnsi="Calibri"/>
          <w:color w:val="990033"/>
        </w:rPr>
      </w:pPr>
      <w:r>
        <w:rPr>
          <w:rFonts w:eastAsia="Calibri"/>
        </w:rPr>
        <w:lastRenderedPageBreak/>
        <w:t>Group Pensions Revenue Items</w:t>
      </w:r>
    </w:p>
    <w:tbl>
      <w:tblPr>
        <w:tblW w:w="5031" w:type="pct"/>
        <w:tblLook w:val="04A0" w:firstRow="1" w:lastRow="0" w:firstColumn="1" w:lastColumn="0" w:noHBand="0" w:noVBand="1"/>
      </w:tblPr>
      <w:tblGrid>
        <w:gridCol w:w="4065"/>
        <w:gridCol w:w="939"/>
        <w:gridCol w:w="939"/>
        <w:gridCol w:w="939"/>
        <w:gridCol w:w="939"/>
        <w:gridCol w:w="939"/>
        <w:gridCol w:w="939"/>
      </w:tblGrid>
      <w:tr w:rsidR="00311794" w:rsidRPr="00ED769E" w14:paraId="19C5214F" w14:textId="53056D39" w:rsidTr="00311794">
        <w:trPr>
          <w:trHeight w:val="305"/>
        </w:trPr>
        <w:tc>
          <w:tcPr>
            <w:tcW w:w="2096" w:type="pct"/>
            <w:vMerge w:val="restart"/>
            <w:tcBorders>
              <w:top w:val="nil"/>
              <w:left w:val="nil"/>
              <w:bottom w:val="nil"/>
              <w:right w:val="nil"/>
            </w:tcBorders>
            <w:shd w:val="clear" w:color="000000" w:fill="000099"/>
            <w:vAlign w:val="center"/>
            <w:hideMark/>
          </w:tcPr>
          <w:p w14:paraId="584E55E7" w14:textId="0C935270" w:rsidR="00311794" w:rsidRPr="00ED769E" w:rsidRDefault="00311794" w:rsidP="00ED769E">
            <w:pPr>
              <w:spacing w:line="240" w:lineRule="auto"/>
              <w:jc w:val="left"/>
              <w:rPr>
                <w:rFonts w:eastAsia="Times New Roman" w:cs="Calibri"/>
                <w:color w:val="FFFFFF"/>
                <w:szCs w:val="20"/>
                <w:lang w:eastAsia="en-GB"/>
              </w:rPr>
            </w:pPr>
            <w:r w:rsidRPr="00ED769E">
              <w:rPr>
                <w:rFonts w:eastAsia="Times New Roman" w:cs="Calibri"/>
                <w:color w:val="FFFFFF"/>
                <w:szCs w:val="20"/>
                <w:lang w:eastAsia="en-GB"/>
              </w:rPr>
              <w:t> </w:t>
            </w:r>
            <w:r w:rsidRPr="00ED769E">
              <w:rPr>
                <w:rFonts w:eastAsia="Times New Roman" w:cs="Calibri"/>
                <w:b/>
                <w:bCs/>
                <w:color w:val="FFFFFF"/>
                <w:szCs w:val="20"/>
                <w:lang w:eastAsia="en-GB"/>
              </w:rPr>
              <w:t>Comprehensive Income and Expenditur</w:t>
            </w:r>
            <w:r>
              <w:rPr>
                <w:rFonts w:eastAsia="Times New Roman" w:cs="Calibri"/>
                <w:b/>
                <w:bCs/>
                <w:color w:val="FFFFFF"/>
                <w:szCs w:val="20"/>
                <w:lang w:eastAsia="en-GB"/>
              </w:rPr>
              <w:t>e</w:t>
            </w:r>
          </w:p>
        </w:tc>
        <w:tc>
          <w:tcPr>
            <w:tcW w:w="968" w:type="pct"/>
            <w:gridSpan w:val="2"/>
            <w:vMerge w:val="restart"/>
            <w:tcBorders>
              <w:top w:val="nil"/>
              <w:left w:val="nil"/>
              <w:bottom w:val="nil"/>
              <w:right w:val="nil"/>
            </w:tcBorders>
            <w:shd w:val="clear" w:color="000000" w:fill="000099"/>
            <w:vAlign w:val="center"/>
            <w:hideMark/>
          </w:tcPr>
          <w:p w14:paraId="50425682"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Local Government</w:t>
            </w:r>
            <w:r w:rsidRPr="00ED769E">
              <w:rPr>
                <w:rFonts w:eastAsia="Times New Roman" w:cs="Calibri"/>
                <w:b/>
                <w:bCs/>
                <w:color w:val="FFFFFF"/>
                <w:szCs w:val="20"/>
                <w:lang w:eastAsia="en-GB"/>
              </w:rPr>
              <w:br/>
              <w:t>Pension Scheme</w:t>
            </w:r>
          </w:p>
        </w:tc>
        <w:tc>
          <w:tcPr>
            <w:tcW w:w="968" w:type="pct"/>
            <w:gridSpan w:val="2"/>
            <w:vMerge w:val="restart"/>
            <w:tcBorders>
              <w:top w:val="nil"/>
              <w:left w:val="nil"/>
              <w:bottom w:val="nil"/>
              <w:right w:val="nil"/>
            </w:tcBorders>
            <w:shd w:val="clear" w:color="000000" w:fill="000099"/>
            <w:vAlign w:val="center"/>
            <w:hideMark/>
          </w:tcPr>
          <w:p w14:paraId="1BFDA008"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Police Pension Scheme</w:t>
            </w:r>
          </w:p>
        </w:tc>
        <w:tc>
          <w:tcPr>
            <w:tcW w:w="967" w:type="pct"/>
            <w:gridSpan w:val="2"/>
            <w:vMerge w:val="restart"/>
            <w:tcBorders>
              <w:top w:val="nil"/>
              <w:left w:val="nil"/>
              <w:bottom w:val="nil"/>
              <w:right w:val="nil"/>
            </w:tcBorders>
            <w:shd w:val="clear" w:color="000000" w:fill="000099"/>
            <w:vAlign w:val="center"/>
            <w:hideMark/>
          </w:tcPr>
          <w:p w14:paraId="6BF10E79"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TOTAL</w:t>
            </w:r>
          </w:p>
        </w:tc>
      </w:tr>
      <w:tr w:rsidR="00311794" w:rsidRPr="00ED769E" w14:paraId="225DD4D9" w14:textId="77777777" w:rsidTr="00311794">
        <w:trPr>
          <w:trHeight w:val="294"/>
        </w:trPr>
        <w:tc>
          <w:tcPr>
            <w:tcW w:w="2096" w:type="pct"/>
            <w:vMerge/>
            <w:tcBorders>
              <w:top w:val="nil"/>
              <w:left w:val="nil"/>
              <w:bottom w:val="nil"/>
              <w:right w:val="nil"/>
            </w:tcBorders>
            <w:vAlign w:val="center"/>
            <w:hideMark/>
          </w:tcPr>
          <w:p w14:paraId="3A9B9629" w14:textId="77777777" w:rsidR="00311794" w:rsidRPr="00ED769E" w:rsidRDefault="00311794" w:rsidP="00ED769E">
            <w:pPr>
              <w:spacing w:line="240" w:lineRule="auto"/>
              <w:jc w:val="left"/>
              <w:rPr>
                <w:rFonts w:eastAsia="Times New Roman" w:cs="Calibri"/>
                <w:color w:val="FFFFFF"/>
                <w:szCs w:val="20"/>
                <w:lang w:eastAsia="en-GB"/>
              </w:rPr>
            </w:pPr>
          </w:p>
        </w:tc>
        <w:tc>
          <w:tcPr>
            <w:tcW w:w="968" w:type="pct"/>
            <w:gridSpan w:val="2"/>
            <w:vMerge/>
            <w:tcBorders>
              <w:top w:val="nil"/>
              <w:left w:val="nil"/>
              <w:bottom w:val="nil"/>
              <w:right w:val="nil"/>
            </w:tcBorders>
            <w:vAlign w:val="center"/>
            <w:hideMark/>
          </w:tcPr>
          <w:p w14:paraId="7DDC8127" w14:textId="77777777" w:rsidR="00311794" w:rsidRPr="00ED769E" w:rsidRDefault="00311794" w:rsidP="00ED769E">
            <w:pPr>
              <w:spacing w:line="240" w:lineRule="auto"/>
              <w:jc w:val="left"/>
              <w:rPr>
                <w:rFonts w:eastAsia="Times New Roman" w:cs="Calibri"/>
                <w:b/>
                <w:bCs/>
                <w:color w:val="FFFFFF"/>
                <w:szCs w:val="20"/>
                <w:lang w:eastAsia="en-GB"/>
              </w:rPr>
            </w:pPr>
          </w:p>
        </w:tc>
        <w:tc>
          <w:tcPr>
            <w:tcW w:w="968" w:type="pct"/>
            <w:gridSpan w:val="2"/>
            <w:vMerge/>
            <w:tcBorders>
              <w:top w:val="nil"/>
              <w:left w:val="nil"/>
              <w:bottom w:val="nil"/>
              <w:right w:val="nil"/>
            </w:tcBorders>
            <w:vAlign w:val="center"/>
            <w:hideMark/>
          </w:tcPr>
          <w:p w14:paraId="0F53A257" w14:textId="77777777" w:rsidR="00311794" w:rsidRPr="00ED769E" w:rsidRDefault="00311794" w:rsidP="00ED769E">
            <w:pPr>
              <w:spacing w:line="240" w:lineRule="auto"/>
              <w:jc w:val="left"/>
              <w:rPr>
                <w:rFonts w:eastAsia="Times New Roman" w:cs="Calibri"/>
                <w:b/>
                <w:bCs/>
                <w:color w:val="FFFFFF"/>
                <w:szCs w:val="20"/>
                <w:lang w:eastAsia="en-GB"/>
              </w:rPr>
            </w:pPr>
          </w:p>
        </w:tc>
        <w:tc>
          <w:tcPr>
            <w:tcW w:w="967" w:type="pct"/>
            <w:gridSpan w:val="2"/>
            <w:vMerge/>
            <w:tcBorders>
              <w:top w:val="nil"/>
              <w:left w:val="nil"/>
              <w:bottom w:val="nil"/>
              <w:right w:val="nil"/>
            </w:tcBorders>
            <w:vAlign w:val="center"/>
            <w:hideMark/>
          </w:tcPr>
          <w:p w14:paraId="1687B01C" w14:textId="77777777" w:rsidR="00311794" w:rsidRPr="00ED769E" w:rsidRDefault="00311794" w:rsidP="00ED769E">
            <w:pPr>
              <w:spacing w:line="240" w:lineRule="auto"/>
              <w:jc w:val="left"/>
              <w:rPr>
                <w:rFonts w:eastAsia="Times New Roman" w:cs="Calibri"/>
                <w:b/>
                <w:bCs/>
                <w:color w:val="FFFFFF"/>
                <w:szCs w:val="20"/>
                <w:lang w:eastAsia="en-GB"/>
              </w:rPr>
            </w:pPr>
          </w:p>
        </w:tc>
      </w:tr>
      <w:tr w:rsidR="00311794" w:rsidRPr="00ED769E" w14:paraId="03E36628" w14:textId="77777777" w:rsidTr="00311794">
        <w:trPr>
          <w:trHeight w:val="294"/>
        </w:trPr>
        <w:tc>
          <w:tcPr>
            <w:tcW w:w="2096" w:type="pct"/>
            <w:tcBorders>
              <w:top w:val="nil"/>
              <w:left w:val="nil"/>
              <w:right w:val="nil"/>
            </w:tcBorders>
            <w:shd w:val="clear" w:color="000000" w:fill="000099"/>
            <w:vAlign w:val="center"/>
            <w:hideMark/>
          </w:tcPr>
          <w:p w14:paraId="04BB3AD0" w14:textId="4FDA80FD" w:rsidR="00311794" w:rsidRPr="00ED769E" w:rsidRDefault="00311794" w:rsidP="00ED769E">
            <w:pPr>
              <w:spacing w:line="240" w:lineRule="auto"/>
              <w:jc w:val="left"/>
              <w:rPr>
                <w:rFonts w:eastAsia="Times New Roman" w:cs="Calibri"/>
                <w:b/>
                <w:bCs/>
                <w:color w:val="FFFFFF"/>
                <w:szCs w:val="20"/>
                <w:lang w:eastAsia="en-GB"/>
              </w:rPr>
            </w:pPr>
          </w:p>
        </w:tc>
        <w:tc>
          <w:tcPr>
            <w:tcW w:w="484" w:type="pct"/>
            <w:tcBorders>
              <w:top w:val="nil"/>
              <w:left w:val="nil"/>
              <w:right w:val="nil"/>
            </w:tcBorders>
            <w:shd w:val="clear" w:color="000000" w:fill="000099"/>
            <w:vAlign w:val="center"/>
            <w:hideMark/>
          </w:tcPr>
          <w:p w14:paraId="1DCBF6F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34CDF417"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c>
          <w:tcPr>
            <w:tcW w:w="484" w:type="pct"/>
            <w:tcBorders>
              <w:top w:val="nil"/>
              <w:left w:val="nil"/>
              <w:right w:val="nil"/>
            </w:tcBorders>
            <w:shd w:val="clear" w:color="000000" w:fill="000099"/>
            <w:vAlign w:val="center"/>
            <w:hideMark/>
          </w:tcPr>
          <w:p w14:paraId="5C19DD1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674380D0"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c>
          <w:tcPr>
            <w:tcW w:w="484" w:type="pct"/>
            <w:tcBorders>
              <w:top w:val="nil"/>
              <w:left w:val="nil"/>
              <w:right w:val="nil"/>
            </w:tcBorders>
            <w:shd w:val="clear" w:color="000000" w:fill="000099"/>
            <w:vAlign w:val="center"/>
            <w:hideMark/>
          </w:tcPr>
          <w:p w14:paraId="23B19404"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2022/23</w:t>
            </w:r>
          </w:p>
        </w:tc>
        <w:tc>
          <w:tcPr>
            <w:tcW w:w="484" w:type="pct"/>
            <w:tcBorders>
              <w:top w:val="nil"/>
              <w:left w:val="nil"/>
              <w:right w:val="nil"/>
            </w:tcBorders>
            <w:shd w:val="clear" w:color="000000" w:fill="000099"/>
            <w:vAlign w:val="center"/>
            <w:hideMark/>
          </w:tcPr>
          <w:p w14:paraId="6E8818DE"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2023/24</w:t>
            </w:r>
          </w:p>
        </w:tc>
      </w:tr>
      <w:tr w:rsidR="00311794" w:rsidRPr="00ED769E" w14:paraId="215FA8F3" w14:textId="77777777" w:rsidTr="00311794">
        <w:trPr>
          <w:trHeight w:val="80"/>
        </w:trPr>
        <w:tc>
          <w:tcPr>
            <w:tcW w:w="2096" w:type="pct"/>
            <w:tcBorders>
              <w:top w:val="nil"/>
              <w:left w:val="nil"/>
              <w:right w:val="nil"/>
            </w:tcBorders>
            <w:shd w:val="clear" w:color="000000" w:fill="000099"/>
            <w:vAlign w:val="center"/>
            <w:hideMark/>
          </w:tcPr>
          <w:p w14:paraId="15797C5E" w14:textId="77777777" w:rsidR="00311794" w:rsidRPr="00ED769E" w:rsidRDefault="00311794" w:rsidP="008C6A1C">
            <w:pPr>
              <w:spacing w:line="240" w:lineRule="auto"/>
              <w:jc w:val="center"/>
              <w:rPr>
                <w:rFonts w:eastAsia="Times New Roman" w:cs="Calibri"/>
                <w:b/>
                <w:bCs/>
                <w:color w:val="FFFFFF"/>
                <w:szCs w:val="20"/>
                <w:lang w:eastAsia="en-GB"/>
              </w:rPr>
            </w:pPr>
          </w:p>
        </w:tc>
        <w:tc>
          <w:tcPr>
            <w:tcW w:w="484" w:type="pct"/>
            <w:tcBorders>
              <w:top w:val="nil"/>
              <w:left w:val="nil"/>
              <w:right w:val="nil"/>
            </w:tcBorders>
            <w:shd w:val="clear" w:color="000000" w:fill="000099"/>
            <w:noWrap/>
            <w:vAlign w:val="center"/>
            <w:hideMark/>
          </w:tcPr>
          <w:p w14:paraId="70A4EBBA"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01F426A6"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0E7B6D53"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301DB36A"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7E78C511"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c>
          <w:tcPr>
            <w:tcW w:w="484" w:type="pct"/>
            <w:tcBorders>
              <w:top w:val="nil"/>
              <w:left w:val="nil"/>
              <w:right w:val="nil"/>
            </w:tcBorders>
            <w:shd w:val="clear" w:color="000000" w:fill="000099"/>
            <w:noWrap/>
            <w:vAlign w:val="center"/>
            <w:hideMark/>
          </w:tcPr>
          <w:p w14:paraId="7A2D1C07" w14:textId="77777777" w:rsidR="00311794" w:rsidRPr="00ED769E" w:rsidRDefault="00311794" w:rsidP="00ED769E">
            <w:pPr>
              <w:spacing w:line="240" w:lineRule="auto"/>
              <w:jc w:val="center"/>
              <w:rPr>
                <w:rFonts w:eastAsia="Times New Roman" w:cs="Calibri"/>
                <w:b/>
                <w:bCs/>
                <w:color w:val="FFFFFF"/>
                <w:szCs w:val="20"/>
                <w:lang w:eastAsia="en-GB"/>
              </w:rPr>
            </w:pPr>
            <w:r w:rsidRPr="00ED769E">
              <w:rPr>
                <w:rFonts w:eastAsia="Times New Roman" w:cs="Calibri"/>
                <w:b/>
                <w:bCs/>
                <w:color w:val="FFFFFF"/>
                <w:szCs w:val="20"/>
                <w:lang w:eastAsia="en-GB"/>
              </w:rPr>
              <w:t>£000</w:t>
            </w:r>
          </w:p>
        </w:tc>
      </w:tr>
      <w:tr w:rsidR="00311794" w:rsidRPr="00ED769E" w14:paraId="3E9F30A6" w14:textId="77777777" w:rsidTr="00311794">
        <w:trPr>
          <w:trHeight w:val="294"/>
        </w:trPr>
        <w:tc>
          <w:tcPr>
            <w:tcW w:w="2096" w:type="pct"/>
            <w:tcBorders>
              <w:left w:val="nil"/>
              <w:bottom w:val="nil"/>
            </w:tcBorders>
            <w:shd w:val="clear" w:color="auto" w:fill="FFFFFF" w:themeFill="background1"/>
            <w:hideMark/>
          </w:tcPr>
          <w:p w14:paraId="6DE13C9B" w14:textId="42D2E06B" w:rsidR="00311794" w:rsidRPr="00ED769E" w:rsidRDefault="00311794" w:rsidP="00311794">
            <w:pPr>
              <w:rPr>
                <w:lang w:eastAsia="en-GB"/>
              </w:rPr>
            </w:pPr>
          </w:p>
        </w:tc>
        <w:tc>
          <w:tcPr>
            <w:tcW w:w="484" w:type="pct"/>
            <w:tcBorders>
              <w:bottom w:val="nil"/>
            </w:tcBorders>
            <w:shd w:val="clear" w:color="auto" w:fill="FFFFFF" w:themeFill="background1"/>
          </w:tcPr>
          <w:p w14:paraId="74DEE756" w14:textId="4819A46B" w:rsidR="00311794" w:rsidRPr="00ED769E" w:rsidRDefault="00311794" w:rsidP="00311794">
            <w:pPr>
              <w:rPr>
                <w:u w:val="single"/>
                <w:lang w:eastAsia="en-GB"/>
              </w:rPr>
            </w:pPr>
          </w:p>
        </w:tc>
        <w:tc>
          <w:tcPr>
            <w:tcW w:w="484" w:type="pct"/>
            <w:tcBorders>
              <w:bottom w:val="nil"/>
              <w:right w:val="single" w:sz="4" w:space="0" w:color="auto"/>
            </w:tcBorders>
            <w:shd w:val="clear" w:color="000000" w:fill="CCECFF"/>
          </w:tcPr>
          <w:p w14:paraId="265DD723" w14:textId="46CD2BE4" w:rsidR="00311794" w:rsidRPr="00ED769E" w:rsidRDefault="00311794" w:rsidP="00311794">
            <w:pPr>
              <w:rPr>
                <w:u w:val="single"/>
                <w:lang w:eastAsia="en-GB"/>
              </w:rPr>
            </w:pPr>
          </w:p>
        </w:tc>
        <w:tc>
          <w:tcPr>
            <w:tcW w:w="484" w:type="pct"/>
            <w:tcBorders>
              <w:left w:val="single" w:sz="4" w:space="0" w:color="auto"/>
              <w:bottom w:val="nil"/>
            </w:tcBorders>
            <w:shd w:val="clear" w:color="000000" w:fill="FFFFFF"/>
          </w:tcPr>
          <w:p w14:paraId="79132E28" w14:textId="12CFBE88" w:rsidR="00311794" w:rsidRPr="00ED769E" w:rsidRDefault="00311794" w:rsidP="00311794">
            <w:pPr>
              <w:rPr>
                <w:u w:val="single"/>
                <w:lang w:eastAsia="en-GB"/>
              </w:rPr>
            </w:pPr>
          </w:p>
        </w:tc>
        <w:tc>
          <w:tcPr>
            <w:tcW w:w="484" w:type="pct"/>
            <w:tcBorders>
              <w:bottom w:val="nil"/>
              <w:right w:val="single" w:sz="4" w:space="0" w:color="auto"/>
            </w:tcBorders>
            <w:shd w:val="clear" w:color="000000" w:fill="CCECFF"/>
          </w:tcPr>
          <w:p w14:paraId="6FDEA991" w14:textId="12AD061A" w:rsidR="00311794" w:rsidRPr="00ED769E" w:rsidRDefault="00311794" w:rsidP="00311794">
            <w:pPr>
              <w:rPr>
                <w:u w:val="single"/>
                <w:lang w:eastAsia="en-GB"/>
              </w:rPr>
            </w:pPr>
          </w:p>
        </w:tc>
        <w:tc>
          <w:tcPr>
            <w:tcW w:w="484" w:type="pct"/>
            <w:tcBorders>
              <w:left w:val="single" w:sz="4" w:space="0" w:color="auto"/>
              <w:bottom w:val="nil"/>
            </w:tcBorders>
            <w:shd w:val="clear" w:color="000000" w:fill="FFFFFF"/>
          </w:tcPr>
          <w:p w14:paraId="4C1C1563" w14:textId="2503825E" w:rsidR="00311794" w:rsidRPr="00ED769E" w:rsidRDefault="00311794" w:rsidP="00311794">
            <w:pPr>
              <w:rPr>
                <w:color w:val="FF0000"/>
                <w:lang w:eastAsia="en-GB"/>
              </w:rPr>
            </w:pPr>
          </w:p>
        </w:tc>
        <w:tc>
          <w:tcPr>
            <w:tcW w:w="484" w:type="pct"/>
            <w:tcBorders>
              <w:bottom w:val="nil"/>
              <w:right w:val="nil"/>
            </w:tcBorders>
            <w:shd w:val="clear" w:color="000000" w:fill="CCECFF"/>
          </w:tcPr>
          <w:p w14:paraId="6C6D5E97" w14:textId="09949ACE" w:rsidR="00311794" w:rsidRPr="00ED769E" w:rsidRDefault="00311794" w:rsidP="00311794">
            <w:pPr>
              <w:rPr>
                <w:color w:val="FF0000"/>
                <w:lang w:eastAsia="en-GB"/>
              </w:rPr>
            </w:pPr>
          </w:p>
        </w:tc>
      </w:tr>
      <w:tr w:rsidR="00311794" w:rsidRPr="00ED769E" w14:paraId="3882B69C" w14:textId="77777777" w:rsidTr="00311794">
        <w:trPr>
          <w:trHeight w:val="294"/>
        </w:trPr>
        <w:tc>
          <w:tcPr>
            <w:tcW w:w="2096" w:type="pct"/>
            <w:tcBorders>
              <w:left w:val="nil"/>
              <w:bottom w:val="nil"/>
            </w:tcBorders>
            <w:shd w:val="clear" w:color="000000" w:fill="FFFFFF"/>
            <w:vAlign w:val="center"/>
            <w:hideMark/>
          </w:tcPr>
          <w:p w14:paraId="7C1A24AC"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Net Cost of Services</w:t>
            </w:r>
          </w:p>
        </w:tc>
        <w:tc>
          <w:tcPr>
            <w:tcW w:w="484" w:type="pct"/>
            <w:tcBorders>
              <w:bottom w:val="nil"/>
            </w:tcBorders>
            <w:shd w:val="clear" w:color="auto" w:fill="FFFFFF" w:themeFill="background1"/>
            <w:vAlign w:val="center"/>
          </w:tcPr>
          <w:p w14:paraId="11FDC88F"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bottom w:val="nil"/>
              <w:right w:val="single" w:sz="4" w:space="0" w:color="auto"/>
            </w:tcBorders>
            <w:shd w:val="clear" w:color="000000" w:fill="CCECFF"/>
            <w:vAlign w:val="center"/>
          </w:tcPr>
          <w:p w14:paraId="5003C2FB"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left w:val="single" w:sz="4" w:space="0" w:color="auto"/>
              <w:bottom w:val="nil"/>
            </w:tcBorders>
            <w:shd w:val="clear" w:color="000000" w:fill="FFFFFF"/>
            <w:vAlign w:val="center"/>
          </w:tcPr>
          <w:p w14:paraId="3B5BF764"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bottom w:val="nil"/>
              <w:right w:val="single" w:sz="4" w:space="0" w:color="auto"/>
            </w:tcBorders>
            <w:shd w:val="clear" w:color="000000" w:fill="CCECFF"/>
            <w:vAlign w:val="center"/>
          </w:tcPr>
          <w:p w14:paraId="522E99DC" w14:textId="77777777" w:rsidR="00311794" w:rsidRPr="00ED769E" w:rsidRDefault="00311794" w:rsidP="00ED769E">
            <w:pPr>
              <w:spacing w:line="240" w:lineRule="auto"/>
              <w:jc w:val="left"/>
              <w:rPr>
                <w:rFonts w:eastAsia="Times New Roman" w:cs="Calibri"/>
                <w:color w:val="auto"/>
                <w:szCs w:val="20"/>
                <w:u w:val="single"/>
                <w:lang w:eastAsia="en-GB"/>
              </w:rPr>
            </w:pPr>
          </w:p>
        </w:tc>
        <w:tc>
          <w:tcPr>
            <w:tcW w:w="484" w:type="pct"/>
            <w:tcBorders>
              <w:left w:val="single" w:sz="4" w:space="0" w:color="auto"/>
              <w:bottom w:val="nil"/>
            </w:tcBorders>
            <w:shd w:val="clear" w:color="000000" w:fill="FFFFFF"/>
            <w:vAlign w:val="center"/>
          </w:tcPr>
          <w:p w14:paraId="60D1614A" w14:textId="2220700B" w:rsidR="00311794" w:rsidRPr="00ED769E" w:rsidRDefault="00311794" w:rsidP="00311794">
            <w:pPr>
              <w:spacing w:line="240" w:lineRule="auto"/>
              <w:rPr>
                <w:rFonts w:eastAsia="Times New Roman" w:cs="Calibri"/>
                <w:color w:val="FF0000"/>
                <w:szCs w:val="20"/>
                <w:lang w:eastAsia="en-GB"/>
              </w:rPr>
            </w:pPr>
          </w:p>
        </w:tc>
        <w:tc>
          <w:tcPr>
            <w:tcW w:w="484" w:type="pct"/>
            <w:tcBorders>
              <w:bottom w:val="nil"/>
              <w:right w:val="nil"/>
            </w:tcBorders>
            <w:shd w:val="clear" w:color="000000" w:fill="CCECFF"/>
            <w:vAlign w:val="center"/>
          </w:tcPr>
          <w:p w14:paraId="5B8E41F3" w14:textId="1AC56781" w:rsidR="00311794" w:rsidRPr="00ED769E" w:rsidRDefault="00311794" w:rsidP="00ED769E">
            <w:pPr>
              <w:spacing w:line="240" w:lineRule="auto"/>
              <w:jc w:val="right"/>
              <w:rPr>
                <w:rFonts w:eastAsia="Times New Roman" w:cs="Calibri"/>
                <w:color w:val="FF0000"/>
                <w:szCs w:val="20"/>
                <w:lang w:eastAsia="en-GB"/>
              </w:rPr>
            </w:pPr>
          </w:p>
        </w:tc>
      </w:tr>
      <w:tr w:rsidR="00311794" w:rsidRPr="00ED769E" w14:paraId="26EB7059" w14:textId="77777777" w:rsidTr="00311794">
        <w:trPr>
          <w:trHeight w:val="294"/>
        </w:trPr>
        <w:tc>
          <w:tcPr>
            <w:tcW w:w="2096" w:type="pct"/>
            <w:tcBorders>
              <w:top w:val="nil"/>
              <w:left w:val="nil"/>
              <w:bottom w:val="nil"/>
            </w:tcBorders>
            <w:shd w:val="clear" w:color="000000" w:fill="FFFFFF"/>
            <w:vAlign w:val="center"/>
            <w:hideMark/>
          </w:tcPr>
          <w:p w14:paraId="09A43F0A"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xml:space="preserve">Current service cost </w:t>
            </w:r>
          </w:p>
        </w:tc>
        <w:tc>
          <w:tcPr>
            <w:tcW w:w="484" w:type="pct"/>
            <w:tcBorders>
              <w:top w:val="nil"/>
              <w:left w:val="nil"/>
              <w:bottom w:val="nil"/>
              <w:right w:val="nil"/>
            </w:tcBorders>
            <w:shd w:val="clear" w:color="000000" w:fill="FFFFFF"/>
            <w:noWrap/>
            <w:vAlign w:val="center"/>
            <w:hideMark/>
          </w:tcPr>
          <w:p w14:paraId="7D13173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(14,544)</w:t>
            </w:r>
          </w:p>
        </w:tc>
        <w:tc>
          <w:tcPr>
            <w:tcW w:w="484" w:type="pct"/>
            <w:tcBorders>
              <w:top w:val="nil"/>
              <w:left w:val="nil"/>
              <w:bottom w:val="nil"/>
              <w:right w:val="single" w:sz="4" w:space="0" w:color="auto"/>
            </w:tcBorders>
            <w:shd w:val="clear" w:color="000000" w:fill="CCECFF"/>
            <w:noWrap/>
            <w:vAlign w:val="center"/>
            <w:hideMark/>
          </w:tcPr>
          <w:p w14:paraId="606F1FE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(7,178)</w:t>
            </w:r>
          </w:p>
        </w:tc>
        <w:tc>
          <w:tcPr>
            <w:tcW w:w="484" w:type="pct"/>
            <w:tcBorders>
              <w:top w:val="nil"/>
              <w:left w:val="nil"/>
              <w:bottom w:val="nil"/>
              <w:right w:val="nil"/>
            </w:tcBorders>
            <w:shd w:val="clear" w:color="000000" w:fill="FFFFFF"/>
            <w:noWrap/>
            <w:vAlign w:val="center"/>
            <w:hideMark/>
          </w:tcPr>
          <w:p w14:paraId="2227C94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(29,700)</w:t>
            </w:r>
          </w:p>
        </w:tc>
        <w:tc>
          <w:tcPr>
            <w:tcW w:w="484" w:type="pct"/>
            <w:tcBorders>
              <w:top w:val="nil"/>
              <w:left w:val="nil"/>
              <w:bottom w:val="nil"/>
              <w:right w:val="single" w:sz="4" w:space="0" w:color="auto"/>
            </w:tcBorders>
            <w:shd w:val="clear" w:color="000000" w:fill="CCECFF"/>
            <w:noWrap/>
            <w:vAlign w:val="center"/>
            <w:hideMark/>
          </w:tcPr>
          <w:p w14:paraId="6B621D0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(9,750)</w:t>
            </w:r>
          </w:p>
        </w:tc>
        <w:tc>
          <w:tcPr>
            <w:tcW w:w="484" w:type="pct"/>
            <w:tcBorders>
              <w:top w:val="nil"/>
              <w:left w:val="nil"/>
              <w:bottom w:val="nil"/>
              <w:right w:val="nil"/>
            </w:tcBorders>
            <w:shd w:val="clear" w:color="000000" w:fill="FFFFFF"/>
            <w:vAlign w:val="center"/>
            <w:hideMark/>
          </w:tcPr>
          <w:p w14:paraId="2E01A7F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(44,244)</w:t>
            </w:r>
          </w:p>
        </w:tc>
        <w:tc>
          <w:tcPr>
            <w:tcW w:w="484" w:type="pct"/>
            <w:tcBorders>
              <w:top w:val="nil"/>
              <w:left w:val="nil"/>
              <w:bottom w:val="nil"/>
              <w:right w:val="nil"/>
            </w:tcBorders>
            <w:shd w:val="clear" w:color="000000" w:fill="CCECFF"/>
            <w:vAlign w:val="center"/>
            <w:hideMark/>
          </w:tcPr>
          <w:p w14:paraId="109638C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(16,928)</w:t>
            </w:r>
          </w:p>
        </w:tc>
      </w:tr>
      <w:tr w:rsidR="00311794" w:rsidRPr="00ED769E" w14:paraId="13394678" w14:textId="77777777" w:rsidTr="00311794">
        <w:trPr>
          <w:trHeight w:val="294"/>
        </w:trPr>
        <w:tc>
          <w:tcPr>
            <w:tcW w:w="2096" w:type="pct"/>
            <w:tcBorders>
              <w:top w:val="nil"/>
              <w:left w:val="nil"/>
              <w:bottom w:val="nil"/>
            </w:tcBorders>
            <w:shd w:val="clear" w:color="000000" w:fill="FFFFFF"/>
            <w:vAlign w:val="center"/>
            <w:hideMark/>
          </w:tcPr>
          <w:p w14:paraId="3141D36F"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Unfunded</w:t>
            </w:r>
          </w:p>
        </w:tc>
        <w:tc>
          <w:tcPr>
            <w:tcW w:w="484" w:type="pct"/>
            <w:tcBorders>
              <w:top w:val="nil"/>
              <w:left w:val="nil"/>
              <w:bottom w:val="nil"/>
              <w:right w:val="nil"/>
            </w:tcBorders>
            <w:shd w:val="clear" w:color="000000" w:fill="FFFFFF"/>
            <w:noWrap/>
            <w:vAlign w:val="center"/>
            <w:hideMark/>
          </w:tcPr>
          <w:p w14:paraId="45591FA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071FBA0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noWrap/>
            <w:vAlign w:val="center"/>
            <w:hideMark/>
          </w:tcPr>
          <w:p w14:paraId="672FB9FD"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2CFF01E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vAlign w:val="center"/>
            <w:hideMark/>
          </w:tcPr>
          <w:p w14:paraId="4DF85FA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CCECFF"/>
            <w:vAlign w:val="center"/>
            <w:hideMark/>
          </w:tcPr>
          <w:p w14:paraId="4C7A124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r>
      <w:tr w:rsidR="00311794" w:rsidRPr="00ED769E" w14:paraId="459F16D1" w14:textId="77777777" w:rsidTr="00311794">
        <w:trPr>
          <w:trHeight w:val="294"/>
        </w:trPr>
        <w:tc>
          <w:tcPr>
            <w:tcW w:w="2096" w:type="pct"/>
            <w:tcBorders>
              <w:top w:val="nil"/>
              <w:left w:val="nil"/>
              <w:bottom w:val="nil"/>
            </w:tcBorders>
            <w:shd w:val="clear" w:color="000000" w:fill="FFFFFF"/>
            <w:vAlign w:val="center"/>
            <w:hideMark/>
          </w:tcPr>
          <w:p w14:paraId="17512158"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Past service cost/Transfers in</w:t>
            </w:r>
          </w:p>
        </w:tc>
        <w:tc>
          <w:tcPr>
            <w:tcW w:w="484" w:type="pct"/>
            <w:tcBorders>
              <w:top w:val="nil"/>
              <w:left w:val="nil"/>
              <w:bottom w:val="nil"/>
              <w:right w:val="nil"/>
            </w:tcBorders>
            <w:shd w:val="clear" w:color="000000" w:fill="FFFFFF"/>
            <w:noWrap/>
            <w:vAlign w:val="center"/>
            <w:hideMark/>
          </w:tcPr>
          <w:p w14:paraId="1E78FCD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2288B61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(39)</w:t>
            </w:r>
          </w:p>
        </w:tc>
        <w:tc>
          <w:tcPr>
            <w:tcW w:w="484" w:type="pct"/>
            <w:tcBorders>
              <w:top w:val="nil"/>
              <w:left w:val="nil"/>
              <w:bottom w:val="nil"/>
              <w:right w:val="nil"/>
            </w:tcBorders>
            <w:shd w:val="clear" w:color="000000" w:fill="FFFFFF"/>
            <w:noWrap/>
            <w:vAlign w:val="center"/>
            <w:hideMark/>
          </w:tcPr>
          <w:p w14:paraId="71BDB4F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(170)</w:t>
            </w:r>
          </w:p>
        </w:tc>
        <w:tc>
          <w:tcPr>
            <w:tcW w:w="484" w:type="pct"/>
            <w:tcBorders>
              <w:top w:val="nil"/>
              <w:left w:val="nil"/>
              <w:bottom w:val="nil"/>
              <w:right w:val="single" w:sz="4" w:space="0" w:color="auto"/>
            </w:tcBorders>
            <w:shd w:val="clear" w:color="000000" w:fill="CCECFF"/>
            <w:noWrap/>
            <w:vAlign w:val="center"/>
            <w:hideMark/>
          </w:tcPr>
          <w:p w14:paraId="15D36AA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(40)</w:t>
            </w:r>
          </w:p>
        </w:tc>
        <w:tc>
          <w:tcPr>
            <w:tcW w:w="484" w:type="pct"/>
            <w:tcBorders>
              <w:top w:val="nil"/>
              <w:left w:val="nil"/>
              <w:bottom w:val="nil"/>
              <w:right w:val="nil"/>
            </w:tcBorders>
            <w:shd w:val="clear" w:color="000000" w:fill="FFFFFF"/>
            <w:vAlign w:val="center"/>
            <w:hideMark/>
          </w:tcPr>
          <w:p w14:paraId="6AB042B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(170)</w:t>
            </w:r>
          </w:p>
        </w:tc>
        <w:tc>
          <w:tcPr>
            <w:tcW w:w="484" w:type="pct"/>
            <w:tcBorders>
              <w:top w:val="nil"/>
              <w:left w:val="nil"/>
              <w:bottom w:val="nil"/>
              <w:right w:val="nil"/>
            </w:tcBorders>
            <w:shd w:val="clear" w:color="000000" w:fill="CCECFF"/>
            <w:vAlign w:val="center"/>
            <w:hideMark/>
          </w:tcPr>
          <w:p w14:paraId="06FB63F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(79)</w:t>
            </w:r>
          </w:p>
        </w:tc>
      </w:tr>
      <w:tr w:rsidR="00311794" w:rsidRPr="00ED769E" w14:paraId="50E8DF64" w14:textId="77777777" w:rsidTr="00311794">
        <w:trPr>
          <w:trHeight w:val="294"/>
        </w:trPr>
        <w:tc>
          <w:tcPr>
            <w:tcW w:w="2096" w:type="pct"/>
            <w:tcBorders>
              <w:top w:val="nil"/>
              <w:left w:val="nil"/>
              <w:bottom w:val="nil"/>
            </w:tcBorders>
            <w:shd w:val="clear" w:color="000000" w:fill="FFFFFF"/>
            <w:vAlign w:val="center"/>
            <w:hideMark/>
          </w:tcPr>
          <w:p w14:paraId="033B28DF"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0F9B976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5F0D151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13EE810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3FD7A39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4EAB6903"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center"/>
            <w:hideMark/>
          </w:tcPr>
          <w:p w14:paraId="20E888C9"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7245796B" w14:textId="77777777" w:rsidTr="00311794">
        <w:trPr>
          <w:trHeight w:val="342"/>
        </w:trPr>
        <w:tc>
          <w:tcPr>
            <w:tcW w:w="2096" w:type="pct"/>
            <w:tcBorders>
              <w:top w:val="nil"/>
              <w:left w:val="nil"/>
              <w:bottom w:val="nil"/>
            </w:tcBorders>
            <w:shd w:val="clear" w:color="000000" w:fill="FFFFFF"/>
            <w:vAlign w:val="center"/>
            <w:hideMark/>
          </w:tcPr>
          <w:p w14:paraId="10CEF318"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 xml:space="preserve">Net Operating Expenditure </w:t>
            </w:r>
          </w:p>
        </w:tc>
        <w:tc>
          <w:tcPr>
            <w:tcW w:w="484" w:type="pct"/>
            <w:tcBorders>
              <w:top w:val="nil"/>
              <w:left w:val="nil"/>
              <w:bottom w:val="nil"/>
              <w:right w:val="nil"/>
            </w:tcBorders>
            <w:shd w:val="clear" w:color="000000" w:fill="FFFFFF"/>
            <w:noWrap/>
            <w:vAlign w:val="center"/>
            <w:hideMark/>
          </w:tcPr>
          <w:p w14:paraId="6E50AB8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27D1ECC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3B7677A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4AD9DD5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230D6D56"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center"/>
            <w:hideMark/>
          </w:tcPr>
          <w:p w14:paraId="5528331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19E8F2FA" w14:textId="77777777" w:rsidTr="00311794">
        <w:trPr>
          <w:trHeight w:val="294"/>
        </w:trPr>
        <w:tc>
          <w:tcPr>
            <w:tcW w:w="2096" w:type="pct"/>
            <w:tcBorders>
              <w:top w:val="nil"/>
              <w:left w:val="nil"/>
              <w:bottom w:val="nil"/>
            </w:tcBorders>
            <w:shd w:val="clear" w:color="000000" w:fill="FFFFFF"/>
            <w:vAlign w:val="center"/>
            <w:hideMark/>
          </w:tcPr>
          <w:p w14:paraId="6E500351"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Interest Costs**</w:t>
            </w:r>
          </w:p>
        </w:tc>
        <w:tc>
          <w:tcPr>
            <w:tcW w:w="484" w:type="pct"/>
            <w:tcBorders>
              <w:top w:val="nil"/>
              <w:left w:val="nil"/>
              <w:bottom w:val="nil"/>
              <w:right w:val="nil"/>
            </w:tcBorders>
            <w:shd w:val="clear" w:color="000000" w:fill="FFFFFF"/>
            <w:noWrap/>
            <w:vAlign w:val="center"/>
            <w:hideMark/>
          </w:tcPr>
          <w:p w14:paraId="0E9C3E8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(8,214)</w:t>
            </w:r>
          </w:p>
        </w:tc>
        <w:tc>
          <w:tcPr>
            <w:tcW w:w="484" w:type="pct"/>
            <w:tcBorders>
              <w:top w:val="nil"/>
              <w:left w:val="nil"/>
              <w:bottom w:val="nil"/>
              <w:right w:val="single" w:sz="4" w:space="0" w:color="auto"/>
            </w:tcBorders>
            <w:shd w:val="clear" w:color="000000" w:fill="CCECFF"/>
            <w:noWrap/>
            <w:vAlign w:val="center"/>
            <w:hideMark/>
          </w:tcPr>
          <w:p w14:paraId="1B177D8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(9,807)</w:t>
            </w:r>
          </w:p>
        </w:tc>
        <w:tc>
          <w:tcPr>
            <w:tcW w:w="484" w:type="pct"/>
            <w:tcBorders>
              <w:top w:val="nil"/>
              <w:left w:val="nil"/>
              <w:bottom w:val="nil"/>
              <w:right w:val="nil"/>
            </w:tcBorders>
            <w:shd w:val="clear" w:color="000000" w:fill="FFFFFF"/>
            <w:noWrap/>
            <w:vAlign w:val="center"/>
            <w:hideMark/>
          </w:tcPr>
          <w:p w14:paraId="6F36D47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(37,700)</w:t>
            </w:r>
          </w:p>
        </w:tc>
        <w:tc>
          <w:tcPr>
            <w:tcW w:w="484" w:type="pct"/>
            <w:tcBorders>
              <w:top w:val="nil"/>
              <w:left w:val="nil"/>
              <w:bottom w:val="nil"/>
              <w:right w:val="single" w:sz="4" w:space="0" w:color="auto"/>
            </w:tcBorders>
            <w:shd w:val="clear" w:color="000000" w:fill="CCECFF"/>
            <w:noWrap/>
            <w:vAlign w:val="center"/>
            <w:hideMark/>
          </w:tcPr>
          <w:p w14:paraId="2581DD2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(46,880)</w:t>
            </w:r>
          </w:p>
        </w:tc>
        <w:tc>
          <w:tcPr>
            <w:tcW w:w="484" w:type="pct"/>
            <w:tcBorders>
              <w:top w:val="nil"/>
              <w:left w:val="nil"/>
              <w:bottom w:val="nil"/>
              <w:right w:val="nil"/>
            </w:tcBorders>
            <w:shd w:val="clear" w:color="000000" w:fill="FFFFFF"/>
            <w:vAlign w:val="center"/>
            <w:hideMark/>
          </w:tcPr>
          <w:p w14:paraId="020F029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(45,914)</w:t>
            </w:r>
          </w:p>
        </w:tc>
        <w:tc>
          <w:tcPr>
            <w:tcW w:w="484" w:type="pct"/>
            <w:tcBorders>
              <w:top w:val="nil"/>
              <w:left w:val="nil"/>
              <w:bottom w:val="nil"/>
              <w:right w:val="nil"/>
            </w:tcBorders>
            <w:shd w:val="clear" w:color="000000" w:fill="CCECFF"/>
            <w:vAlign w:val="center"/>
            <w:hideMark/>
          </w:tcPr>
          <w:p w14:paraId="14E3C66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(56,687)</w:t>
            </w:r>
          </w:p>
        </w:tc>
      </w:tr>
      <w:tr w:rsidR="00311794" w:rsidRPr="00ED769E" w14:paraId="6B61DD5B" w14:textId="77777777" w:rsidTr="00311794">
        <w:trPr>
          <w:trHeight w:val="294"/>
        </w:trPr>
        <w:tc>
          <w:tcPr>
            <w:tcW w:w="2096" w:type="pct"/>
            <w:tcBorders>
              <w:top w:val="nil"/>
              <w:left w:val="nil"/>
              <w:bottom w:val="nil"/>
            </w:tcBorders>
            <w:shd w:val="clear" w:color="000000" w:fill="FFFFFF"/>
            <w:vAlign w:val="center"/>
            <w:hideMark/>
          </w:tcPr>
          <w:p w14:paraId="18BE25C2" w14:textId="7022188A"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Expected return on employers’ assets**</w:t>
            </w:r>
          </w:p>
        </w:tc>
        <w:tc>
          <w:tcPr>
            <w:tcW w:w="484" w:type="pct"/>
            <w:tcBorders>
              <w:top w:val="nil"/>
              <w:left w:val="nil"/>
              <w:bottom w:val="nil"/>
              <w:right w:val="nil"/>
            </w:tcBorders>
            <w:shd w:val="clear" w:color="000000" w:fill="FFFFFF"/>
            <w:noWrap/>
            <w:vAlign w:val="center"/>
            <w:hideMark/>
          </w:tcPr>
          <w:p w14:paraId="51BB46A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5,894</w:t>
            </w:r>
          </w:p>
        </w:tc>
        <w:tc>
          <w:tcPr>
            <w:tcW w:w="484" w:type="pct"/>
            <w:tcBorders>
              <w:top w:val="nil"/>
              <w:left w:val="nil"/>
              <w:bottom w:val="nil"/>
              <w:right w:val="single" w:sz="4" w:space="0" w:color="auto"/>
            </w:tcBorders>
            <w:shd w:val="clear" w:color="000000" w:fill="CCECFF"/>
            <w:noWrap/>
            <w:vAlign w:val="center"/>
            <w:hideMark/>
          </w:tcPr>
          <w:p w14:paraId="1892353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9,888</w:t>
            </w:r>
          </w:p>
        </w:tc>
        <w:tc>
          <w:tcPr>
            <w:tcW w:w="484" w:type="pct"/>
            <w:tcBorders>
              <w:top w:val="nil"/>
              <w:left w:val="nil"/>
              <w:bottom w:val="nil"/>
              <w:right w:val="nil"/>
            </w:tcBorders>
            <w:shd w:val="clear" w:color="000000" w:fill="FFFFFF"/>
            <w:noWrap/>
            <w:vAlign w:val="center"/>
            <w:hideMark/>
          </w:tcPr>
          <w:p w14:paraId="3C107E8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single" w:sz="4" w:space="0" w:color="auto"/>
            </w:tcBorders>
            <w:shd w:val="clear" w:color="000000" w:fill="CCECFF"/>
            <w:noWrap/>
            <w:vAlign w:val="center"/>
            <w:hideMark/>
          </w:tcPr>
          <w:p w14:paraId="5FD220E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w:t>
            </w:r>
          </w:p>
        </w:tc>
        <w:tc>
          <w:tcPr>
            <w:tcW w:w="484" w:type="pct"/>
            <w:tcBorders>
              <w:top w:val="nil"/>
              <w:left w:val="nil"/>
              <w:bottom w:val="nil"/>
              <w:right w:val="nil"/>
            </w:tcBorders>
            <w:shd w:val="clear" w:color="000000" w:fill="FFFFFF"/>
            <w:vAlign w:val="center"/>
            <w:hideMark/>
          </w:tcPr>
          <w:p w14:paraId="1B4562C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5,894</w:t>
            </w:r>
          </w:p>
        </w:tc>
        <w:tc>
          <w:tcPr>
            <w:tcW w:w="484" w:type="pct"/>
            <w:tcBorders>
              <w:top w:val="nil"/>
              <w:left w:val="nil"/>
              <w:bottom w:val="nil"/>
              <w:right w:val="nil"/>
            </w:tcBorders>
            <w:shd w:val="clear" w:color="000000" w:fill="CCECFF"/>
            <w:vAlign w:val="center"/>
            <w:hideMark/>
          </w:tcPr>
          <w:p w14:paraId="4FEA9DB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9,888</w:t>
            </w:r>
          </w:p>
        </w:tc>
      </w:tr>
      <w:tr w:rsidR="00311794" w:rsidRPr="00ED769E" w14:paraId="760147A7" w14:textId="77777777" w:rsidTr="00311794">
        <w:trPr>
          <w:trHeight w:val="294"/>
        </w:trPr>
        <w:tc>
          <w:tcPr>
            <w:tcW w:w="2096" w:type="pct"/>
            <w:tcBorders>
              <w:top w:val="nil"/>
              <w:left w:val="nil"/>
              <w:bottom w:val="single" w:sz="4" w:space="0" w:color="auto"/>
            </w:tcBorders>
            <w:shd w:val="clear" w:color="000000" w:fill="FFFFFF"/>
            <w:vAlign w:val="center"/>
            <w:hideMark/>
          </w:tcPr>
          <w:p w14:paraId="2475E286"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97FE8E6"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1B169E9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4DCDE07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6E2818A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single" w:sz="4" w:space="0" w:color="auto"/>
              <w:right w:val="nil"/>
            </w:tcBorders>
            <w:shd w:val="clear" w:color="000000" w:fill="FFFFFF"/>
            <w:vAlign w:val="center"/>
            <w:hideMark/>
          </w:tcPr>
          <w:p w14:paraId="1345C091"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75F939B0" w14:textId="77777777" w:rsidR="00311794" w:rsidRPr="00ED769E" w:rsidRDefault="00311794" w:rsidP="00ED769E">
            <w:pPr>
              <w:spacing w:line="240" w:lineRule="auto"/>
              <w:jc w:val="right"/>
              <w:rPr>
                <w:rFonts w:eastAsia="Times New Roman" w:cs="Calibri"/>
                <w:color w:val="FF0000"/>
                <w:szCs w:val="20"/>
                <w:lang w:eastAsia="en-GB"/>
              </w:rPr>
            </w:pPr>
            <w:r w:rsidRPr="00ED769E">
              <w:rPr>
                <w:rFonts w:eastAsia="Times New Roman" w:cs="Calibri"/>
                <w:color w:val="FF0000"/>
                <w:szCs w:val="20"/>
                <w:lang w:eastAsia="en-GB"/>
              </w:rPr>
              <w:t> </w:t>
            </w:r>
          </w:p>
        </w:tc>
      </w:tr>
      <w:tr w:rsidR="00311794" w:rsidRPr="00ED769E" w14:paraId="48235B75" w14:textId="77777777" w:rsidTr="00311794">
        <w:trPr>
          <w:trHeight w:val="429"/>
        </w:trPr>
        <w:tc>
          <w:tcPr>
            <w:tcW w:w="2096" w:type="pct"/>
            <w:tcBorders>
              <w:top w:val="single" w:sz="4" w:space="0" w:color="auto"/>
              <w:left w:val="nil"/>
              <w:bottom w:val="single" w:sz="4" w:space="0" w:color="auto"/>
            </w:tcBorders>
            <w:shd w:val="clear" w:color="000000" w:fill="FFFFFF"/>
            <w:vAlign w:val="center"/>
            <w:hideMark/>
          </w:tcPr>
          <w:p w14:paraId="2A26D9AA" w14:textId="77777777" w:rsidR="00311794" w:rsidRPr="00ED769E" w:rsidRDefault="00311794" w:rsidP="00ED769E">
            <w:pPr>
              <w:spacing w:line="240" w:lineRule="auto"/>
              <w:jc w:val="left"/>
              <w:rPr>
                <w:rFonts w:eastAsia="Times New Roman" w:cs="Calibri"/>
                <w:b/>
                <w:bCs/>
                <w:color w:val="auto"/>
                <w:szCs w:val="20"/>
                <w:lang w:eastAsia="en-GB"/>
              </w:rPr>
            </w:pPr>
            <w:r w:rsidRPr="00ED769E">
              <w:rPr>
                <w:rFonts w:eastAsia="Times New Roman" w:cs="Calibri"/>
                <w:b/>
                <w:bCs/>
                <w:color w:val="auto"/>
                <w:szCs w:val="20"/>
                <w:lang w:eastAsia="en-GB"/>
              </w:rPr>
              <w:t>Net Charge to the Income and Expenditure Account</w:t>
            </w:r>
          </w:p>
        </w:tc>
        <w:tc>
          <w:tcPr>
            <w:tcW w:w="484" w:type="pct"/>
            <w:tcBorders>
              <w:top w:val="single" w:sz="4" w:space="0" w:color="auto"/>
              <w:left w:val="nil"/>
              <w:bottom w:val="single" w:sz="4" w:space="0" w:color="auto"/>
              <w:right w:val="nil"/>
            </w:tcBorders>
            <w:shd w:val="clear" w:color="000000" w:fill="FFFFFF"/>
            <w:noWrap/>
            <w:vAlign w:val="center"/>
            <w:hideMark/>
          </w:tcPr>
          <w:p w14:paraId="2F791C4F"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(16,864)</w:t>
            </w:r>
          </w:p>
        </w:tc>
        <w:tc>
          <w:tcPr>
            <w:tcW w:w="484" w:type="pct"/>
            <w:tcBorders>
              <w:top w:val="single" w:sz="4" w:space="0" w:color="auto"/>
              <w:left w:val="nil"/>
              <w:bottom w:val="single" w:sz="4" w:space="0" w:color="auto"/>
              <w:right w:val="single" w:sz="4" w:space="0" w:color="auto"/>
            </w:tcBorders>
            <w:shd w:val="clear" w:color="000000" w:fill="CCECFF"/>
            <w:noWrap/>
            <w:vAlign w:val="center"/>
            <w:hideMark/>
          </w:tcPr>
          <w:p w14:paraId="543FDC76"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(7,136)</w:t>
            </w:r>
          </w:p>
        </w:tc>
        <w:tc>
          <w:tcPr>
            <w:tcW w:w="484" w:type="pct"/>
            <w:tcBorders>
              <w:top w:val="single" w:sz="4" w:space="0" w:color="auto"/>
              <w:left w:val="nil"/>
              <w:bottom w:val="single" w:sz="4" w:space="0" w:color="auto"/>
              <w:right w:val="nil"/>
            </w:tcBorders>
            <w:shd w:val="clear" w:color="000000" w:fill="FFFFFF"/>
            <w:noWrap/>
            <w:vAlign w:val="center"/>
            <w:hideMark/>
          </w:tcPr>
          <w:p w14:paraId="30F98BEF"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(67,570)</w:t>
            </w:r>
          </w:p>
        </w:tc>
        <w:tc>
          <w:tcPr>
            <w:tcW w:w="484" w:type="pct"/>
            <w:tcBorders>
              <w:top w:val="single" w:sz="4" w:space="0" w:color="auto"/>
              <w:left w:val="nil"/>
              <w:bottom w:val="single" w:sz="4" w:space="0" w:color="auto"/>
              <w:right w:val="single" w:sz="4" w:space="0" w:color="auto"/>
            </w:tcBorders>
            <w:shd w:val="clear" w:color="000000" w:fill="CCECFF"/>
            <w:noWrap/>
            <w:vAlign w:val="center"/>
            <w:hideMark/>
          </w:tcPr>
          <w:p w14:paraId="707A2D55"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(56,670)</w:t>
            </w:r>
          </w:p>
        </w:tc>
        <w:tc>
          <w:tcPr>
            <w:tcW w:w="484" w:type="pct"/>
            <w:tcBorders>
              <w:top w:val="nil"/>
              <w:left w:val="nil"/>
              <w:bottom w:val="single" w:sz="4" w:space="0" w:color="auto"/>
              <w:right w:val="nil"/>
            </w:tcBorders>
            <w:shd w:val="clear" w:color="000000" w:fill="FFFFFF"/>
            <w:noWrap/>
            <w:vAlign w:val="center"/>
            <w:hideMark/>
          </w:tcPr>
          <w:p w14:paraId="1A2A0A18"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(84,434)</w:t>
            </w:r>
          </w:p>
        </w:tc>
        <w:tc>
          <w:tcPr>
            <w:tcW w:w="484" w:type="pct"/>
            <w:tcBorders>
              <w:top w:val="single" w:sz="4" w:space="0" w:color="auto"/>
              <w:left w:val="nil"/>
              <w:bottom w:val="single" w:sz="4" w:space="0" w:color="auto"/>
              <w:right w:val="nil"/>
            </w:tcBorders>
            <w:shd w:val="clear" w:color="000000" w:fill="CCECFF"/>
            <w:noWrap/>
            <w:vAlign w:val="center"/>
            <w:hideMark/>
          </w:tcPr>
          <w:p w14:paraId="59D20A11"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(63,806)</w:t>
            </w:r>
          </w:p>
        </w:tc>
      </w:tr>
      <w:tr w:rsidR="00311794" w:rsidRPr="00ED769E" w14:paraId="7745282B" w14:textId="77777777" w:rsidTr="00311794">
        <w:trPr>
          <w:trHeight w:val="294"/>
        </w:trPr>
        <w:tc>
          <w:tcPr>
            <w:tcW w:w="2096" w:type="pct"/>
            <w:tcBorders>
              <w:top w:val="single" w:sz="4" w:space="0" w:color="auto"/>
              <w:left w:val="nil"/>
              <w:bottom w:val="nil"/>
            </w:tcBorders>
            <w:shd w:val="clear" w:color="000000" w:fill="FFFFFF"/>
            <w:vAlign w:val="center"/>
            <w:hideMark/>
          </w:tcPr>
          <w:p w14:paraId="0F787E02"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1C86D8C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bottom"/>
            <w:hideMark/>
          </w:tcPr>
          <w:p w14:paraId="7C376A7C"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single" w:sz="4" w:space="0" w:color="auto"/>
              <w:left w:val="nil"/>
              <w:bottom w:val="nil"/>
              <w:right w:val="nil"/>
            </w:tcBorders>
            <w:shd w:val="clear" w:color="000000" w:fill="FFFFFF"/>
            <w:vAlign w:val="center"/>
            <w:hideMark/>
          </w:tcPr>
          <w:p w14:paraId="74FD249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E716CFA"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 </w:t>
            </w:r>
          </w:p>
        </w:tc>
        <w:tc>
          <w:tcPr>
            <w:tcW w:w="484" w:type="pct"/>
            <w:tcBorders>
              <w:top w:val="nil"/>
              <w:left w:val="nil"/>
              <w:bottom w:val="nil"/>
              <w:right w:val="nil"/>
            </w:tcBorders>
            <w:shd w:val="clear" w:color="000000" w:fill="FFFFFF"/>
            <w:vAlign w:val="center"/>
            <w:hideMark/>
          </w:tcPr>
          <w:p w14:paraId="506E8E9B"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noWrap/>
            <w:vAlign w:val="bottom"/>
            <w:hideMark/>
          </w:tcPr>
          <w:p w14:paraId="3C61BDB4"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49F7B193" w14:textId="77777777" w:rsidTr="00311794">
        <w:trPr>
          <w:trHeight w:val="294"/>
        </w:trPr>
        <w:tc>
          <w:tcPr>
            <w:tcW w:w="2096" w:type="pct"/>
            <w:tcBorders>
              <w:top w:val="nil"/>
              <w:left w:val="nil"/>
              <w:bottom w:val="nil"/>
            </w:tcBorders>
            <w:shd w:val="clear" w:color="000000" w:fill="FFFFFF"/>
            <w:vAlign w:val="center"/>
            <w:hideMark/>
          </w:tcPr>
          <w:p w14:paraId="33230344" w14:textId="77777777" w:rsidR="00311794" w:rsidRPr="00ED769E" w:rsidRDefault="00311794" w:rsidP="00ED769E">
            <w:pPr>
              <w:spacing w:line="240" w:lineRule="auto"/>
              <w:jc w:val="left"/>
              <w:rPr>
                <w:rFonts w:eastAsia="Times New Roman" w:cs="Calibri"/>
                <w:b/>
                <w:bCs/>
                <w:color w:val="auto"/>
                <w:szCs w:val="20"/>
                <w:u w:val="single"/>
                <w:lang w:eastAsia="en-GB"/>
              </w:rPr>
            </w:pPr>
            <w:r w:rsidRPr="00ED769E">
              <w:rPr>
                <w:rFonts w:eastAsia="Times New Roman" w:cs="Calibri"/>
                <w:b/>
                <w:bCs/>
                <w:color w:val="auto"/>
                <w:szCs w:val="20"/>
                <w:u w:val="single"/>
                <w:lang w:eastAsia="en-GB"/>
              </w:rPr>
              <w:t>Movement In Reserves</w:t>
            </w:r>
          </w:p>
        </w:tc>
        <w:tc>
          <w:tcPr>
            <w:tcW w:w="484" w:type="pct"/>
            <w:tcBorders>
              <w:top w:val="nil"/>
              <w:left w:val="nil"/>
              <w:bottom w:val="nil"/>
              <w:right w:val="nil"/>
            </w:tcBorders>
            <w:shd w:val="clear" w:color="000000" w:fill="FFFFFF"/>
            <w:vAlign w:val="center"/>
            <w:hideMark/>
          </w:tcPr>
          <w:p w14:paraId="6141151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18D378A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03C7D82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4BC79A8" w14:textId="77777777" w:rsidR="00311794" w:rsidRPr="00ED769E" w:rsidRDefault="00311794" w:rsidP="00ED769E">
            <w:pPr>
              <w:spacing w:line="240" w:lineRule="auto"/>
              <w:jc w:val="right"/>
              <w:rPr>
                <w:rFonts w:eastAsia="Times New Roman" w:cs="Calibri"/>
                <w:b/>
                <w:bCs/>
                <w:color w:val="auto"/>
                <w:szCs w:val="20"/>
                <w:lang w:eastAsia="en-GB"/>
              </w:rPr>
            </w:pPr>
            <w:r w:rsidRPr="00ED769E">
              <w:rPr>
                <w:rFonts w:eastAsia="Times New Roman" w:cs="Calibri"/>
                <w:b/>
                <w:bCs/>
                <w:color w:val="auto"/>
                <w:szCs w:val="20"/>
                <w:lang w:eastAsia="en-GB"/>
              </w:rPr>
              <w:t> </w:t>
            </w:r>
          </w:p>
        </w:tc>
        <w:tc>
          <w:tcPr>
            <w:tcW w:w="484" w:type="pct"/>
            <w:tcBorders>
              <w:top w:val="nil"/>
              <w:left w:val="nil"/>
              <w:bottom w:val="nil"/>
              <w:right w:val="nil"/>
            </w:tcBorders>
            <w:shd w:val="clear" w:color="000000" w:fill="FFFFFF"/>
            <w:vAlign w:val="center"/>
            <w:hideMark/>
          </w:tcPr>
          <w:p w14:paraId="6D93F6EC"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6074B43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6F0220F4" w14:textId="77777777" w:rsidTr="00311794">
        <w:trPr>
          <w:trHeight w:val="294"/>
        </w:trPr>
        <w:tc>
          <w:tcPr>
            <w:tcW w:w="2096" w:type="pct"/>
            <w:tcBorders>
              <w:top w:val="nil"/>
              <w:left w:val="nil"/>
              <w:bottom w:val="nil"/>
            </w:tcBorders>
            <w:shd w:val="clear" w:color="000000" w:fill="FFFFFF"/>
            <w:vAlign w:val="center"/>
            <w:hideMark/>
          </w:tcPr>
          <w:p w14:paraId="3E64228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Movement on Pensions Reserve</w:t>
            </w:r>
          </w:p>
        </w:tc>
        <w:tc>
          <w:tcPr>
            <w:tcW w:w="484" w:type="pct"/>
            <w:tcBorders>
              <w:top w:val="nil"/>
              <w:left w:val="nil"/>
              <w:bottom w:val="nil"/>
              <w:right w:val="nil"/>
            </w:tcBorders>
            <w:shd w:val="clear" w:color="000000" w:fill="FFFFFF"/>
            <w:vAlign w:val="center"/>
            <w:hideMark/>
          </w:tcPr>
          <w:p w14:paraId="228E665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82,175</w:t>
            </w:r>
          </w:p>
        </w:tc>
        <w:tc>
          <w:tcPr>
            <w:tcW w:w="484" w:type="pct"/>
            <w:tcBorders>
              <w:top w:val="nil"/>
              <w:left w:val="nil"/>
              <w:bottom w:val="nil"/>
              <w:right w:val="single" w:sz="4" w:space="0" w:color="auto"/>
            </w:tcBorders>
            <w:shd w:val="clear" w:color="000000" w:fill="CCECFF"/>
            <w:vAlign w:val="center"/>
            <w:hideMark/>
          </w:tcPr>
          <w:p w14:paraId="4BFA1A9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19,706</w:t>
            </w:r>
          </w:p>
        </w:tc>
        <w:tc>
          <w:tcPr>
            <w:tcW w:w="484" w:type="pct"/>
            <w:tcBorders>
              <w:top w:val="nil"/>
              <w:left w:val="nil"/>
              <w:bottom w:val="nil"/>
              <w:right w:val="nil"/>
            </w:tcBorders>
            <w:shd w:val="clear" w:color="000000" w:fill="FFFFFF"/>
            <w:vAlign w:val="center"/>
            <w:hideMark/>
          </w:tcPr>
          <w:p w14:paraId="54DBB32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400,600</w:t>
            </w:r>
          </w:p>
        </w:tc>
        <w:tc>
          <w:tcPr>
            <w:tcW w:w="484" w:type="pct"/>
            <w:tcBorders>
              <w:top w:val="nil"/>
              <w:left w:val="nil"/>
              <w:bottom w:val="nil"/>
              <w:right w:val="single" w:sz="4" w:space="0" w:color="auto"/>
            </w:tcBorders>
            <w:shd w:val="clear" w:color="000000" w:fill="CCECFF"/>
            <w:vAlign w:val="center"/>
            <w:hideMark/>
          </w:tcPr>
          <w:p w14:paraId="0B75C3C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(34,890)</w:t>
            </w:r>
          </w:p>
        </w:tc>
        <w:tc>
          <w:tcPr>
            <w:tcW w:w="484" w:type="pct"/>
            <w:tcBorders>
              <w:top w:val="nil"/>
              <w:left w:val="nil"/>
              <w:bottom w:val="nil"/>
              <w:right w:val="nil"/>
            </w:tcBorders>
            <w:shd w:val="clear" w:color="000000" w:fill="FFFFFF"/>
            <w:vAlign w:val="center"/>
            <w:hideMark/>
          </w:tcPr>
          <w:p w14:paraId="3FE3870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482,775</w:t>
            </w:r>
          </w:p>
        </w:tc>
        <w:tc>
          <w:tcPr>
            <w:tcW w:w="484" w:type="pct"/>
            <w:tcBorders>
              <w:top w:val="nil"/>
              <w:left w:val="nil"/>
              <w:bottom w:val="nil"/>
              <w:right w:val="nil"/>
            </w:tcBorders>
            <w:shd w:val="clear" w:color="000000" w:fill="CCECFF"/>
            <w:vAlign w:val="center"/>
            <w:hideMark/>
          </w:tcPr>
          <w:p w14:paraId="16BED43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(15,184)</w:t>
            </w:r>
          </w:p>
        </w:tc>
      </w:tr>
      <w:tr w:rsidR="00311794" w:rsidRPr="00ED769E" w14:paraId="72A71E04" w14:textId="77777777" w:rsidTr="00311794">
        <w:trPr>
          <w:trHeight w:val="674"/>
        </w:trPr>
        <w:tc>
          <w:tcPr>
            <w:tcW w:w="2096" w:type="pct"/>
            <w:tcBorders>
              <w:top w:val="nil"/>
              <w:left w:val="nil"/>
              <w:bottom w:val="nil"/>
            </w:tcBorders>
            <w:shd w:val="clear" w:color="000000" w:fill="FFFFFF"/>
            <w:vAlign w:val="center"/>
            <w:hideMark/>
          </w:tcPr>
          <w:p w14:paraId="3FB71EC9"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(Reversal of net charges made for retirement benefits in accordance with IAS 19)</w:t>
            </w:r>
          </w:p>
        </w:tc>
        <w:tc>
          <w:tcPr>
            <w:tcW w:w="484" w:type="pct"/>
            <w:tcBorders>
              <w:top w:val="nil"/>
              <w:left w:val="nil"/>
              <w:bottom w:val="nil"/>
              <w:right w:val="nil"/>
            </w:tcBorders>
            <w:shd w:val="clear" w:color="000000" w:fill="FFFFFF"/>
            <w:vAlign w:val="center"/>
            <w:hideMark/>
          </w:tcPr>
          <w:p w14:paraId="6F24DF7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749D6E8E"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6A742E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69BDB755"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2E2F32EA"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63C0F83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73511D3C" w14:textId="77777777" w:rsidTr="00311794">
        <w:trPr>
          <w:trHeight w:val="294"/>
        </w:trPr>
        <w:tc>
          <w:tcPr>
            <w:tcW w:w="2096" w:type="pct"/>
            <w:tcBorders>
              <w:top w:val="nil"/>
              <w:left w:val="nil"/>
              <w:bottom w:val="nil"/>
            </w:tcBorders>
            <w:shd w:val="clear" w:color="000000" w:fill="FFFFFF"/>
            <w:vAlign w:val="center"/>
            <w:hideMark/>
          </w:tcPr>
          <w:p w14:paraId="10377E76"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3BFB23D9"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2C9B116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53F7608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543EF92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0EE92C68"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22594017"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396D1DEC" w14:textId="77777777" w:rsidTr="00311794">
        <w:trPr>
          <w:trHeight w:val="721"/>
        </w:trPr>
        <w:tc>
          <w:tcPr>
            <w:tcW w:w="2096" w:type="pct"/>
            <w:tcBorders>
              <w:top w:val="nil"/>
              <w:left w:val="nil"/>
              <w:bottom w:val="nil"/>
            </w:tcBorders>
            <w:shd w:val="clear" w:color="000000" w:fill="FFFFFF"/>
            <w:vAlign w:val="center"/>
            <w:hideMark/>
          </w:tcPr>
          <w:p w14:paraId="09DB87E7" w14:textId="77777777" w:rsidR="00311794" w:rsidRPr="00ED769E" w:rsidRDefault="00311794" w:rsidP="00ED769E">
            <w:pPr>
              <w:spacing w:line="240" w:lineRule="auto"/>
              <w:jc w:val="left"/>
              <w:rPr>
                <w:rFonts w:eastAsia="Times New Roman" w:cs="Calibri"/>
                <w:b/>
                <w:bCs/>
                <w:color w:val="auto"/>
                <w:szCs w:val="20"/>
                <w:u w:val="single"/>
                <w:lang w:eastAsia="en-GB"/>
              </w:rPr>
            </w:pPr>
            <w:r w:rsidRPr="00ED769E">
              <w:rPr>
                <w:rFonts w:eastAsia="Times New Roman" w:cs="Calibri"/>
                <w:b/>
                <w:bCs/>
                <w:color w:val="auto"/>
                <w:szCs w:val="20"/>
                <w:u w:val="single"/>
                <w:lang w:eastAsia="en-GB"/>
              </w:rPr>
              <w:t>Actual amount charged against Council Tax (General Fund Balance) for pensions</w:t>
            </w:r>
          </w:p>
        </w:tc>
        <w:tc>
          <w:tcPr>
            <w:tcW w:w="484" w:type="pct"/>
            <w:tcBorders>
              <w:top w:val="nil"/>
              <w:left w:val="nil"/>
              <w:bottom w:val="nil"/>
              <w:right w:val="nil"/>
            </w:tcBorders>
            <w:shd w:val="clear" w:color="000000" w:fill="FFFFFF"/>
            <w:vAlign w:val="center"/>
            <w:hideMark/>
          </w:tcPr>
          <w:p w14:paraId="45F95B3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0A2C627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63C90AE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vAlign w:val="center"/>
            <w:hideMark/>
          </w:tcPr>
          <w:p w14:paraId="32B4EE5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vAlign w:val="center"/>
            <w:hideMark/>
          </w:tcPr>
          <w:p w14:paraId="6227EA40" w14:textId="77777777" w:rsidR="00311794" w:rsidRPr="00ED769E" w:rsidRDefault="00311794" w:rsidP="00ED769E">
            <w:pPr>
              <w:spacing w:line="240" w:lineRule="auto"/>
              <w:jc w:val="center"/>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CCECFF"/>
            <w:vAlign w:val="center"/>
            <w:hideMark/>
          </w:tcPr>
          <w:p w14:paraId="30527C0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r>
      <w:tr w:rsidR="00311794" w:rsidRPr="00ED769E" w14:paraId="16274A15" w14:textId="77777777" w:rsidTr="00311794">
        <w:trPr>
          <w:trHeight w:val="294"/>
        </w:trPr>
        <w:tc>
          <w:tcPr>
            <w:tcW w:w="2096" w:type="pct"/>
            <w:tcBorders>
              <w:top w:val="nil"/>
              <w:left w:val="nil"/>
              <w:bottom w:val="nil"/>
            </w:tcBorders>
            <w:shd w:val="clear" w:color="000000" w:fill="FFFFFF"/>
            <w:vAlign w:val="center"/>
            <w:hideMark/>
          </w:tcPr>
          <w:p w14:paraId="2A21BB2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Contributions to the Scheme</w:t>
            </w:r>
          </w:p>
        </w:tc>
        <w:tc>
          <w:tcPr>
            <w:tcW w:w="484" w:type="pct"/>
            <w:tcBorders>
              <w:top w:val="nil"/>
              <w:left w:val="nil"/>
              <w:right w:val="nil"/>
            </w:tcBorders>
            <w:shd w:val="clear" w:color="000000" w:fill="FFFFFF"/>
            <w:noWrap/>
            <w:vAlign w:val="center"/>
            <w:hideMark/>
          </w:tcPr>
          <w:p w14:paraId="6B16A262"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6,352</w:t>
            </w:r>
          </w:p>
        </w:tc>
        <w:tc>
          <w:tcPr>
            <w:tcW w:w="484" w:type="pct"/>
            <w:tcBorders>
              <w:top w:val="nil"/>
              <w:left w:val="nil"/>
              <w:right w:val="single" w:sz="4" w:space="0" w:color="auto"/>
            </w:tcBorders>
            <w:shd w:val="clear" w:color="000000" w:fill="CCECFF"/>
            <w:noWrap/>
            <w:vAlign w:val="center"/>
            <w:hideMark/>
          </w:tcPr>
          <w:p w14:paraId="5E607F2A"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7,065</w:t>
            </w:r>
          </w:p>
        </w:tc>
        <w:tc>
          <w:tcPr>
            <w:tcW w:w="484" w:type="pct"/>
            <w:tcBorders>
              <w:top w:val="nil"/>
              <w:left w:val="nil"/>
              <w:right w:val="nil"/>
            </w:tcBorders>
            <w:shd w:val="clear" w:color="000000" w:fill="FFFFFF"/>
            <w:noWrap/>
            <w:vAlign w:val="center"/>
            <w:hideMark/>
          </w:tcPr>
          <w:p w14:paraId="36FB47F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(22,189)</w:t>
            </w:r>
          </w:p>
        </w:tc>
        <w:tc>
          <w:tcPr>
            <w:tcW w:w="484" w:type="pct"/>
            <w:tcBorders>
              <w:top w:val="nil"/>
              <w:left w:val="nil"/>
              <w:right w:val="single" w:sz="4" w:space="0" w:color="auto"/>
            </w:tcBorders>
            <w:shd w:val="clear" w:color="000000" w:fill="CCECFF"/>
            <w:vAlign w:val="center"/>
            <w:hideMark/>
          </w:tcPr>
          <w:p w14:paraId="6103F903"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(24,500)</w:t>
            </w:r>
          </w:p>
        </w:tc>
        <w:tc>
          <w:tcPr>
            <w:tcW w:w="484" w:type="pct"/>
            <w:tcBorders>
              <w:top w:val="nil"/>
              <w:left w:val="nil"/>
              <w:right w:val="nil"/>
            </w:tcBorders>
            <w:shd w:val="clear" w:color="000000" w:fill="FFFFFF"/>
            <w:vAlign w:val="center"/>
            <w:hideMark/>
          </w:tcPr>
          <w:p w14:paraId="7074C9B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(15,837)</w:t>
            </w:r>
          </w:p>
        </w:tc>
        <w:tc>
          <w:tcPr>
            <w:tcW w:w="484" w:type="pct"/>
            <w:tcBorders>
              <w:top w:val="nil"/>
              <w:left w:val="nil"/>
              <w:right w:val="nil"/>
            </w:tcBorders>
            <w:shd w:val="clear" w:color="000000" w:fill="CCECFF"/>
            <w:vAlign w:val="center"/>
            <w:hideMark/>
          </w:tcPr>
          <w:p w14:paraId="4B6B8BA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(17,435)</w:t>
            </w:r>
          </w:p>
        </w:tc>
      </w:tr>
      <w:tr w:rsidR="00311794" w:rsidRPr="00ED769E" w14:paraId="43A62586" w14:textId="77777777" w:rsidTr="00311794">
        <w:trPr>
          <w:trHeight w:val="489"/>
        </w:trPr>
        <w:tc>
          <w:tcPr>
            <w:tcW w:w="2096" w:type="pct"/>
            <w:tcBorders>
              <w:top w:val="nil"/>
              <w:left w:val="nil"/>
              <w:bottom w:val="nil"/>
            </w:tcBorders>
            <w:shd w:val="clear" w:color="000000" w:fill="FFFFFF"/>
            <w:vAlign w:val="center"/>
            <w:hideMark/>
          </w:tcPr>
          <w:p w14:paraId="7C51B64E"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Additional Contributions to the Pension Fund</w:t>
            </w:r>
          </w:p>
        </w:tc>
        <w:tc>
          <w:tcPr>
            <w:tcW w:w="484" w:type="pct"/>
            <w:tcBorders>
              <w:top w:val="nil"/>
              <w:left w:val="nil"/>
              <w:bottom w:val="nil"/>
              <w:right w:val="nil"/>
            </w:tcBorders>
            <w:shd w:val="clear" w:color="000000" w:fill="FFFFFF"/>
            <w:noWrap/>
            <w:vAlign w:val="center"/>
            <w:hideMark/>
          </w:tcPr>
          <w:p w14:paraId="65CBD4C1"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single" w:sz="4" w:space="0" w:color="auto"/>
            </w:tcBorders>
            <w:shd w:val="clear" w:color="000000" w:fill="CCECFF"/>
            <w:noWrap/>
            <w:vAlign w:val="center"/>
            <w:hideMark/>
          </w:tcPr>
          <w:p w14:paraId="57ADEB3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bottom w:val="nil"/>
              <w:right w:val="nil"/>
            </w:tcBorders>
            <w:shd w:val="clear" w:color="000000" w:fill="FFFFFF"/>
            <w:noWrap/>
            <w:vAlign w:val="center"/>
            <w:hideMark/>
          </w:tcPr>
          <w:p w14:paraId="4625ADE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15,680</w:t>
            </w:r>
          </w:p>
        </w:tc>
        <w:tc>
          <w:tcPr>
            <w:tcW w:w="484" w:type="pct"/>
            <w:tcBorders>
              <w:top w:val="nil"/>
              <w:left w:val="nil"/>
              <w:bottom w:val="nil"/>
              <w:right w:val="single" w:sz="4" w:space="0" w:color="auto"/>
            </w:tcBorders>
            <w:shd w:val="clear" w:color="000000" w:fill="CCECFF"/>
            <w:vAlign w:val="center"/>
            <w:hideMark/>
          </w:tcPr>
          <w:p w14:paraId="2E8CE8E8"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15,973</w:t>
            </w:r>
          </w:p>
        </w:tc>
        <w:tc>
          <w:tcPr>
            <w:tcW w:w="484" w:type="pct"/>
            <w:tcBorders>
              <w:top w:val="nil"/>
              <w:left w:val="nil"/>
              <w:bottom w:val="nil"/>
              <w:right w:val="nil"/>
            </w:tcBorders>
            <w:shd w:val="clear" w:color="000000" w:fill="FFFFFF"/>
            <w:vAlign w:val="center"/>
            <w:hideMark/>
          </w:tcPr>
          <w:p w14:paraId="6ECFE76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15,680</w:t>
            </w:r>
          </w:p>
        </w:tc>
        <w:tc>
          <w:tcPr>
            <w:tcW w:w="484" w:type="pct"/>
            <w:tcBorders>
              <w:top w:val="nil"/>
              <w:left w:val="nil"/>
              <w:bottom w:val="nil"/>
              <w:right w:val="nil"/>
            </w:tcBorders>
            <w:shd w:val="clear" w:color="000000" w:fill="CCECFF"/>
            <w:vAlign w:val="center"/>
            <w:hideMark/>
          </w:tcPr>
          <w:p w14:paraId="38ECE2BC"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15,973</w:t>
            </w:r>
          </w:p>
        </w:tc>
      </w:tr>
      <w:tr w:rsidR="00311794" w:rsidRPr="00ED769E" w14:paraId="2A148616" w14:textId="77777777" w:rsidTr="00311794">
        <w:trPr>
          <w:trHeight w:val="294"/>
        </w:trPr>
        <w:tc>
          <w:tcPr>
            <w:tcW w:w="2096" w:type="pct"/>
            <w:tcBorders>
              <w:top w:val="nil"/>
              <w:left w:val="nil"/>
            </w:tcBorders>
            <w:shd w:val="clear" w:color="000000" w:fill="FFFFFF"/>
            <w:vAlign w:val="center"/>
            <w:hideMark/>
          </w:tcPr>
          <w:p w14:paraId="57FA5E52" w14:textId="77777777" w:rsidR="00311794" w:rsidRPr="00ED769E" w:rsidRDefault="00311794" w:rsidP="00ED769E">
            <w:pPr>
              <w:spacing w:line="240" w:lineRule="auto"/>
              <w:jc w:val="lef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3B01450F"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single" w:sz="4" w:space="0" w:color="auto"/>
            </w:tcBorders>
            <w:shd w:val="clear" w:color="000000" w:fill="CCECFF"/>
            <w:vAlign w:val="center"/>
            <w:hideMark/>
          </w:tcPr>
          <w:p w14:paraId="3AC31F0D"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6A8AFDF4"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single" w:sz="4" w:space="0" w:color="auto"/>
            </w:tcBorders>
            <w:shd w:val="clear" w:color="000000" w:fill="CCECFF"/>
            <w:vAlign w:val="center"/>
            <w:hideMark/>
          </w:tcPr>
          <w:p w14:paraId="713D5760" w14:textId="77777777" w:rsidR="00311794" w:rsidRPr="00ED769E" w:rsidRDefault="00311794" w:rsidP="00ED769E">
            <w:pPr>
              <w:spacing w:line="240" w:lineRule="auto"/>
              <w:jc w:val="right"/>
              <w:rPr>
                <w:rFonts w:eastAsia="Times New Roman" w:cs="Calibri"/>
                <w:color w:val="auto"/>
                <w:szCs w:val="20"/>
                <w:lang w:eastAsia="en-GB"/>
              </w:rPr>
            </w:pPr>
            <w:r w:rsidRPr="00ED769E">
              <w:rPr>
                <w:rFonts w:eastAsia="Times New Roman" w:cs="Calibri"/>
                <w:color w:val="auto"/>
                <w:szCs w:val="20"/>
                <w:lang w:eastAsia="en-GB"/>
              </w:rPr>
              <w:t> </w:t>
            </w:r>
          </w:p>
        </w:tc>
        <w:tc>
          <w:tcPr>
            <w:tcW w:w="484" w:type="pct"/>
            <w:tcBorders>
              <w:top w:val="nil"/>
              <w:left w:val="nil"/>
              <w:right w:val="nil"/>
            </w:tcBorders>
            <w:shd w:val="clear" w:color="000000" w:fill="FFFFFF"/>
            <w:vAlign w:val="center"/>
            <w:hideMark/>
          </w:tcPr>
          <w:p w14:paraId="594DE0A1" w14:textId="77777777" w:rsidR="00311794" w:rsidRPr="00ED769E" w:rsidRDefault="00311794" w:rsidP="00ED769E">
            <w:pPr>
              <w:spacing w:line="240" w:lineRule="auto"/>
              <w:jc w:val="center"/>
              <w:rPr>
                <w:rFonts w:eastAsia="Times New Roman" w:cs="Calibri"/>
                <w:color w:val="FF0000"/>
                <w:szCs w:val="20"/>
                <w:lang w:eastAsia="en-GB"/>
              </w:rPr>
            </w:pPr>
            <w:r w:rsidRPr="00ED769E">
              <w:rPr>
                <w:rFonts w:eastAsia="Times New Roman" w:cs="Calibri"/>
                <w:color w:val="FF0000"/>
                <w:szCs w:val="20"/>
                <w:lang w:eastAsia="en-GB"/>
              </w:rPr>
              <w:t> </w:t>
            </w:r>
          </w:p>
        </w:tc>
        <w:tc>
          <w:tcPr>
            <w:tcW w:w="484" w:type="pct"/>
            <w:tcBorders>
              <w:top w:val="nil"/>
              <w:left w:val="nil"/>
              <w:right w:val="nil"/>
            </w:tcBorders>
            <w:shd w:val="clear" w:color="000000" w:fill="CCECFF"/>
            <w:vAlign w:val="center"/>
            <w:hideMark/>
          </w:tcPr>
          <w:p w14:paraId="1BAF69EA" w14:textId="77777777" w:rsidR="00311794" w:rsidRPr="00ED769E" w:rsidRDefault="00311794" w:rsidP="00ED769E">
            <w:pPr>
              <w:spacing w:line="240" w:lineRule="auto"/>
              <w:jc w:val="right"/>
              <w:rPr>
                <w:rFonts w:eastAsia="Times New Roman" w:cs="Calibri"/>
                <w:color w:val="FF0000"/>
                <w:szCs w:val="20"/>
                <w:lang w:eastAsia="en-GB"/>
              </w:rPr>
            </w:pPr>
            <w:r w:rsidRPr="00ED769E">
              <w:rPr>
                <w:rFonts w:eastAsia="Times New Roman" w:cs="Calibri"/>
                <w:color w:val="FF0000"/>
                <w:szCs w:val="20"/>
                <w:lang w:eastAsia="en-GB"/>
              </w:rPr>
              <w:t> </w:t>
            </w:r>
          </w:p>
        </w:tc>
      </w:tr>
    </w:tbl>
    <w:p w14:paraId="49E70887" w14:textId="247FF077" w:rsidR="00904A5D" w:rsidRPr="00A56345" w:rsidRDefault="00904A5D" w:rsidP="008441E1">
      <w:pPr>
        <w:pStyle w:val="RedBullet"/>
        <w:numPr>
          <w:ilvl w:val="0"/>
          <w:numId w:val="0"/>
        </w:numPr>
      </w:pPr>
    </w:p>
    <w:p w14:paraId="3F3EED99" w14:textId="1655A781" w:rsidR="003C09E9" w:rsidRPr="00673492" w:rsidRDefault="003C09E9" w:rsidP="008441E1">
      <w:r w:rsidRPr="00673492">
        <w:rPr>
          <w:rFonts w:ascii="Verdana" w:hAnsi="Verdana"/>
          <w:sz w:val="16"/>
          <w:szCs w:val="16"/>
        </w:rPr>
        <w:t xml:space="preserve">** </w:t>
      </w:r>
      <w:r w:rsidRPr="00673492">
        <w:t>The net of interest costs and return on assets reconciles to the amount included within financing and investment income and expenditure on the face of the CIES</w:t>
      </w:r>
      <w:r w:rsidR="009657AF">
        <w:t>.</w:t>
      </w:r>
    </w:p>
    <w:p w14:paraId="2CC72336" w14:textId="77777777" w:rsidR="003C09E9" w:rsidRPr="00673492" w:rsidRDefault="003C09E9" w:rsidP="008441E1"/>
    <w:p w14:paraId="6E9E8B02" w14:textId="77777777" w:rsidR="003C09E9" w:rsidRPr="00673492" w:rsidRDefault="003C09E9" w:rsidP="008441E1">
      <w:r w:rsidRPr="00673492">
        <w:t>In accordance with the Code of Practice and the Police Service Expenditure Analysis the items within the table above are credited / debited to the CIES in the following ways:</w:t>
      </w:r>
    </w:p>
    <w:p w14:paraId="5347B500" w14:textId="77777777" w:rsidR="003C09E9" w:rsidRPr="00673492" w:rsidRDefault="003C09E9" w:rsidP="008441E1"/>
    <w:p w14:paraId="00F7A2C9" w14:textId="2AD6BA38" w:rsidR="003C09E9" w:rsidRPr="008441E1" w:rsidRDefault="003C09E9" w:rsidP="008441E1">
      <w:pPr>
        <w:pStyle w:val="RedBullet"/>
      </w:pPr>
      <w:r w:rsidRPr="008441E1">
        <w:t>Current Service Costs &amp; Employers contributions to the scheme and additional contributions to the Police Pensions Fund Account are all apportioned across the Local Policing to National Policing headings by officer numbers</w:t>
      </w:r>
    </w:p>
    <w:p w14:paraId="481EB318" w14:textId="744C9B71" w:rsidR="003C09E9" w:rsidRPr="008441E1" w:rsidRDefault="003C09E9" w:rsidP="008441E1">
      <w:pPr>
        <w:pStyle w:val="RedBullet"/>
      </w:pPr>
      <w:r w:rsidRPr="008441E1">
        <w:t xml:space="preserve">Past Service Costs are wholly included within the heading </w:t>
      </w:r>
      <w:r w:rsidR="0012073E" w:rsidRPr="008441E1">
        <w:t>Policing Services</w:t>
      </w:r>
    </w:p>
    <w:p w14:paraId="3877328D" w14:textId="39F426E0" w:rsidR="003C09E9" w:rsidRPr="008441E1" w:rsidRDefault="003C09E9" w:rsidP="008441E1">
      <w:pPr>
        <w:pStyle w:val="RedBullet"/>
      </w:pPr>
      <w:r w:rsidRPr="008441E1">
        <w:t>Interest Costs and Expected Return on Employers Assets are included within Financing &amp; Investment Income &amp; Expenditure</w:t>
      </w:r>
      <w:r w:rsidR="0012073E" w:rsidRPr="008441E1">
        <w:t>.</w:t>
      </w:r>
    </w:p>
    <w:p w14:paraId="35439372" w14:textId="77777777" w:rsidR="00197378" w:rsidRDefault="00197378" w:rsidP="008441E1"/>
    <w:p w14:paraId="5F559603" w14:textId="4637940B" w:rsidR="002D6171" w:rsidRDefault="002D6171" w:rsidP="008441E1">
      <w:pPr>
        <w:rPr>
          <w:rFonts w:eastAsia="Calibri"/>
        </w:rPr>
      </w:pPr>
    </w:p>
    <w:p w14:paraId="753B23A0" w14:textId="77777777" w:rsidR="00DE74BB" w:rsidRDefault="00DE74BB" w:rsidP="008441E1">
      <w:pPr>
        <w:rPr>
          <w:rFonts w:eastAsia="Calibri"/>
        </w:rPr>
      </w:pPr>
    </w:p>
    <w:p w14:paraId="5D373E37" w14:textId="77777777" w:rsidR="00E17F55" w:rsidRDefault="00E17F55" w:rsidP="008441E1">
      <w:pPr>
        <w:rPr>
          <w:rFonts w:eastAsia="Calibri"/>
        </w:rPr>
      </w:pPr>
    </w:p>
    <w:p w14:paraId="5F58FE95" w14:textId="77777777" w:rsidR="00311794" w:rsidRDefault="00311794" w:rsidP="008441E1">
      <w:pPr>
        <w:rPr>
          <w:rFonts w:eastAsia="Calibri"/>
        </w:rPr>
      </w:pPr>
    </w:p>
    <w:p w14:paraId="46EF2A82" w14:textId="77777777" w:rsidR="00311794" w:rsidRDefault="00311794" w:rsidP="008441E1">
      <w:pPr>
        <w:rPr>
          <w:rFonts w:eastAsia="Calibri"/>
        </w:rPr>
      </w:pPr>
    </w:p>
    <w:p w14:paraId="2DBCB0E5" w14:textId="0A370BAC" w:rsidR="003C09E9" w:rsidRPr="00673492" w:rsidRDefault="003C09E9" w:rsidP="008441E1">
      <w:pPr>
        <w:pStyle w:val="VAHeadingLevel2"/>
      </w:pPr>
      <w:r w:rsidRPr="00673492">
        <w:lastRenderedPageBreak/>
        <w:t>Assets and Liabilities in relation to Retirement Benefits</w:t>
      </w:r>
    </w:p>
    <w:p w14:paraId="3ADB19AF" w14:textId="77777777" w:rsidR="003C09E9" w:rsidRPr="00673492" w:rsidRDefault="003C09E9" w:rsidP="008441E1">
      <w:pPr>
        <w:rPr>
          <w:rFonts w:cs="Arial"/>
        </w:rPr>
      </w:pPr>
    </w:p>
    <w:p w14:paraId="027515E9" w14:textId="5A8BAB32" w:rsidR="00C70423" w:rsidRPr="004F5793" w:rsidRDefault="003C09E9" w:rsidP="004F5793">
      <w:pPr>
        <w:pStyle w:val="VAHeadingLevel2"/>
        <w:rPr>
          <w:rFonts w:eastAsia="Calibri"/>
        </w:rPr>
      </w:pPr>
      <w:r w:rsidRPr="004F5793">
        <w:rPr>
          <w:rFonts w:eastAsia="Calibri"/>
        </w:rPr>
        <w:t>Reconciliation of the Present Value of the Schemes Liabilities:</w:t>
      </w:r>
    </w:p>
    <w:p w14:paraId="3DDE802C" w14:textId="269F21CE" w:rsidR="00AD7882" w:rsidRDefault="00AD7882" w:rsidP="008441E1">
      <w:pPr>
        <w:rPr>
          <w:rFonts w:asciiTheme="minorHAnsi" w:hAnsiTheme="minorHAnsi"/>
          <w:color w:val="auto"/>
          <w:sz w:val="24"/>
          <w:lang w:val="en-US"/>
        </w:rPr>
      </w:pPr>
    </w:p>
    <w:tbl>
      <w:tblPr>
        <w:tblW w:w="5000" w:type="pct"/>
        <w:tblLook w:val="04A0" w:firstRow="1" w:lastRow="0" w:firstColumn="1" w:lastColumn="0" w:noHBand="0" w:noVBand="1"/>
      </w:tblPr>
      <w:tblGrid>
        <w:gridCol w:w="5217"/>
        <w:gridCol w:w="1057"/>
        <w:gridCol w:w="1057"/>
        <w:gridCol w:w="1154"/>
        <w:gridCol w:w="1154"/>
      </w:tblGrid>
      <w:tr w:rsidR="00BC5C33" w:rsidRPr="00BC5C33" w14:paraId="21353D28" w14:textId="77777777" w:rsidTr="00BC5C33">
        <w:trPr>
          <w:trHeight w:val="930"/>
        </w:trPr>
        <w:tc>
          <w:tcPr>
            <w:tcW w:w="2757" w:type="pct"/>
            <w:tcBorders>
              <w:top w:val="nil"/>
              <w:left w:val="nil"/>
              <w:bottom w:val="nil"/>
              <w:right w:val="nil"/>
            </w:tcBorders>
            <w:shd w:val="clear" w:color="000000" w:fill="000099"/>
            <w:vAlign w:val="center"/>
            <w:hideMark/>
          </w:tcPr>
          <w:p w14:paraId="2BEF732D"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1121" w:type="pct"/>
            <w:gridSpan w:val="2"/>
            <w:tcBorders>
              <w:top w:val="nil"/>
              <w:left w:val="nil"/>
              <w:bottom w:val="nil"/>
              <w:right w:val="nil"/>
            </w:tcBorders>
            <w:shd w:val="clear" w:color="000000" w:fill="000099"/>
            <w:vAlign w:val="center"/>
            <w:hideMark/>
          </w:tcPr>
          <w:p w14:paraId="1C223FF2"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Funded Liabilities</w:t>
            </w:r>
            <w:r w:rsidRPr="00BC5C33">
              <w:rPr>
                <w:rFonts w:eastAsia="Times New Roman" w:cs="Calibri"/>
                <w:b/>
                <w:bCs/>
                <w:color w:val="FFFFFF"/>
                <w:szCs w:val="20"/>
                <w:lang w:eastAsia="en-GB"/>
              </w:rPr>
              <w:br/>
              <w:t>Local Government Pension Scheme</w:t>
            </w:r>
          </w:p>
        </w:tc>
        <w:tc>
          <w:tcPr>
            <w:tcW w:w="1121" w:type="pct"/>
            <w:gridSpan w:val="2"/>
            <w:tcBorders>
              <w:top w:val="nil"/>
              <w:left w:val="nil"/>
              <w:bottom w:val="nil"/>
              <w:right w:val="nil"/>
            </w:tcBorders>
            <w:shd w:val="clear" w:color="000000" w:fill="000099"/>
            <w:vAlign w:val="center"/>
            <w:hideMark/>
          </w:tcPr>
          <w:p w14:paraId="68FBDC0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Unfunded Liabilities</w:t>
            </w:r>
            <w:r w:rsidRPr="00BC5C33">
              <w:rPr>
                <w:rFonts w:eastAsia="Times New Roman" w:cs="Calibri"/>
                <w:b/>
                <w:bCs/>
                <w:color w:val="FFFFFF"/>
                <w:szCs w:val="20"/>
                <w:lang w:eastAsia="en-GB"/>
              </w:rPr>
              <w:br/>
              <w:t>Police Pension Scheme</w:t>
            </w:r>
          </w:p>
        </w:tc>
      </w:tr>
      <w:tr w:rsidR="00BC5C33" w:rsidRPr="00BC5C33" w14:paraId="5856CFEB" w14:textId="77777777" w:rsidTr="00BC5C33">
        <w:trPr>
          <w:trHeight w:val="290"/>
        </w:trPr>
        <w:tc>
          <w:tcPr>
            <w:tcW w:w="2757" w:type="pct"/>
            <w:tcBorders>
              <w:top w:val="nil"/>
              <w:left w:val="nil"/>
              <w:bottom w:val="nil"/>
              <w:right w:val="nil"/>
            </w:tcBorders>
            <w:shd w:val="clear" w:color="000000" w:fill="000099"/>
            <w:vAlign w:val="center"/>
            <w:hideMark/>
          </w:tcPr>
          <w:p w14:paraId="1277F2FD"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vAlign w:val="center"/>
            <w:hideMark/>
          </w:tcPr>
          <w:p w14:paraId="1EB18404"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bottom"/>
            <w:hideMark/>
          </w:tcPr>
          <w:p w14:paraId="1B225875" w14:textId="77777777" w:rsidR="00BC5C33" w:rsidRPr="00BC5C33" w:rsidRDefault="00BC5C33" w:rsidP="00BC5C33">
            <w:pPr>
              <w:spacing w:line="240" w:lineRule="auto"/>
              <w:jc w:val="center"/>
              <w:rPr>
                <w:rFonts w:eastAsia="Times New Roman" w:cs="Calibri"/>
                <w:color w:val="FFFFFF"/>
                <w:szCs w:val="20"/>
                <w:lang w:eastAsia="en-GB"/>
              </w:rPr>
            </w:pPr>
            <w:r w:rsidRPr="00BC5C33">
              <w:rPr>
                <w:rFonts w:eastAsia="Times New Roman" w:cs="Calibri"/>
                <w:color w:val="FFFFFF"/>
                <w:szCs w:val="20"/>
                <w:lang w:eastAsia="en-GB"/>
              </w:rPr>
              <w:t> </w:t>
            </w:r>
          </w:p>
        </w:tc>
        <w:tc>
          <w:tcPr>
            <w:tcW w:w="561" w:type="pct"/>
            <w:tcBorders>
              <w:top w:val="nil"/>
              <w:left w:val="nil"/>
              <w:bottom w:val="nil"/>
              <w:right w:val="nil"/>
            </w:tcBorders>
            <w:shd w:val="clear" w:color="000000" w:fill="000099"/>
            <w:vAlign w:val="center"/>
            <w:hideMark/>
          </w:tcPr>
          <w:p w14:paraId="0FA85387"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vAlign w:val="center"/>
            <w:hideMark/>
          </w:tcPr>
          <w:p w14:paraId="47991F6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r>
      <w:tr w:rsidR="00BC5C33" w:rsidRPr="00BC5C33" w14:paraId="3C714B59" w14:textId="77777777" w:rsidTr="00BC5C33">
        <w:trPr>
          <w:trHeight w:val="290"/>
        </w:trPr>
        <w:tc>
          <w:tcPr>
            <w:tcW w:w="2757" w:type="pct"/>
            <w:tcBorders>
              <w:top w:val="nil"/>
              <w:left w:val="nil"/>
              <w:bottom w:val="nil"/>
              <w:right w:val="nil"/>
            </w:tcBorders>
            <w:shd w:val="clear" w:color="000000" w:fill="000099"/>
            <w:noWrap/>
            <w:vAlign w:val="center"/>
            <w:hideMark/>
          </w:tcPr>
          <w:p w14:paraId="15733CDF"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center"/>
            <w:hideMark/>
          </w:tcPr>
          <w:p w14:paraId="00F2E9F8"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23</w:t>
            </w:r>
          </w:p>
        </w:tc>
        <w:tc>
          <w:tcPr>
            <w:tcW w:w="561" w:type="pct"/>
            <w:tcBorders>
              <w:top w:val="nil"/>
              <w:left w:val="nil"/>
              <w:bottom w:val="nil"/>
              <w:right w:val="nil"/>
            </w:tcBorders>
            <w:shd w:val="clear" w:color="000000" w:fill="000099"/>
            <w:noWrap/>
            <w:vAlign w:val="center"/>
            <w:hideMark/>
          </w:tcPr>
          <w:p w14:paraId="02066FFE"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24</w:t>
            </w:r>
          </w:p>
        </w:tc>
        <w:tc>
          <w:tcPr>
            <w:tcW w:w="561" w:type="pct"/>
            <w:tcBorders>
              <w:top w:val="nil"/>
              <w:left w:val="nil"/>
              <w:bottom w:val="nil"/>
              <w:right w:val="nil"/>
            </w:tcBorders>
            <w:shd w:val="clear" w:color="000000" w:fill="000099"/>
            <w:noWrap/>
            <w:vAlign w:val="center"/>
            <w:hideMark/>
          </w:tcPr>
          <w:p w14:paraId="4C030CC9"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23</w:t>
            </w:r>
          </w:p>
        </w:tc>
        <w:tc>
          <w:tcPr>
            <w:tcW w:w="561" w:type="pct"/>
            <w:tcBorders>
              <w:top w:val="nil"/>
              <w:left w:val="nil"/>
              <w:bottom w:val="nil"/>
              <w:right w:val="nil"/>
            </w:tcBorders>
            <w:shd w:val="clear" w:color="000000" w:fill="000099"/>
            <w:noWrap/>
            <w:vAlign w:val="center"/>
            <w:hideMark/>
          </w:tcPr>
          <w:p w14:paraId="2C0E521F"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31 Mar 24</w:t>
            </w:r>
          </w:p>
        </w:tc>
      </w:tr>
      <w:tr w:rsidR="00BC5C33" w:rsidRPr="00BC5C33" w14:paraId="3D38D06B" w14:textId="77777777" w:rsidTr="00BC5C33">
        <w:trPr>
          <w:trHeight w:val="290"/>
        </w:trPr>
        <w:tc>
          <w:tcPr>
            <w:tcW w:w="2757" w:type="pct"/>
            <w:tcBorders>
              <w:top w:val="nil"/>
              <w:left w:val="nil"/>
              <w:bottom w:val="nil"/>
              <w:right w:val="nil"/>
            </w:tcBorders>
            <w:shd w:val="clear" w:color="000000" w:fill="000099"/>
            <w:noWrap/>
            <w:vAlign w:val="center"/>
            <w:hideMark/>
          </w:tcPr>
          <w:p w14:paraId="6164783C"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 </w:t>
            </w:r>
          </w:p>
        </w:tc>
        <w:tc>
          <w:tcPr>
            <w:tcW w:w="561" w:type="pct"/>
            <w:tcBorders>
              <w:top w:val="nil"/>
              <w:left w:val="nil"/>
              <w:bottom w:val="nil"/>
              <w:right w:val="nil"/>
            </w:tcBorders>
            <w:shd w:val="clear" w:color="000000" w:fill="000099"/>
            <w:noWrap/>
            <w:vAlign w:val="center"/>
            <w:hideMark/>
          </w:tcPr>
          <w:p w14:paraId="66658D01"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60DF5F30"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7453AFFE"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c>
          <w:tcPr>
            <w:tcW w:w="561" w:type="pct"/>
            <w:tcBorders>
              <w:top w:val="nil"/>
              <w:left w:val="nil"/>
              <w:bottom w:val="nil"/>
              <w:right w:val="nil"/>
            </w:tcBorders>
            <w:shd w:val="clear" w:color="000000" w:fill="000099"/>
            <w:noWrap/>
            <w:vAlign w:val="center"/>
            <w:hideMark/>
          </w:tcPr>
          <w:p w14:paraId="49939145" w14:textId="77777777" w:rsidR="00BC5C33" w:rsidRPr="00BC5C33" w:rsidRDefault="00BC5C33" w:rsidP="00BC5C33">
            <w:pPr>
              <w:spacing w:line="240" w:lineRule="auto"/>
              <w:jc w:val="center"/>
              <w:rPr>
                <w:rFonts w:eastAsia="Times New Roman" w:cs="Calibri"/>
                <w:b/>
                <w:bCs/>
                <w:color w:val="FFFFFF"/>
                <w:szCs w:val="20"/>
                <w:lang w:eastAsia="en-GB"/>
              </w:rPr>
            </w:pPr>
            <w:r w:rsidRPr="00BC5C33">
              <w:rPr>
                <w:rFonts w:eastAsia="Times New Roman" w:cs="Calibri"/>
                <w:b/>
                <w:bCs/>
                <w:color w:val="FFFFFF"/>
                <w:szCs w:val="20"/>
                <w:lang w:eastAsia="en-GB"/>
              </w:rPr>
              <w:t>£000</w:t>
            </w:r>
          </w:p>
        </w:tc>
      </w:tr>
      <w:tr w:rsidR="00BC5C33" w:rsidRPr="00BC5C33" w14:paraId="799E1819" w14:textId="77777777" w:rsidTr="00BC5C33">
        <w:trPr>
          <w:trHeight w:val="520"/>
        </w:trPr>
        <w:tc>
          <w:tcPr>
            <w:tcW w:w="2757" w:type="pct"/>
            <w:tcBorders>
              <w:top w:val="nil"/>
              <w:left w:val="nil"/>
              <w:bottom w:val="nil"/>
              <w:right w:val="nil"/>
            </w:tcBorders>
            <w:shd w:val="clear" w:color="000000" w:fill="FFFFFF"/>
            <w:vAlign w:val="center"/>
            <w:hideMark/>
          </w:tcPr>
          <w:p w14:paraId="47A0763B" w14:textId="77777777" w:rsidR="00BC5C33" w:rsidRPr="00BC5C33" w:rsidRDefault="00BC5C33" w:rsidP="00BC5C33">
            <w:pPr>
              <w:spacing w:line="240" w:lineRule="auto"/>
              <w:jc w:val="left"/>
              <w:rPr>
                <w:rFonts w:eastAsia="Times New Roman" w:cs="Calibri"/>
                <w:b/>
                <w:bCs/>
                <w:color w:val="auto"/>
                <w:szCs w:val="20"/>
                <w:lang w:eastAsia="en-GB"/>
              </w:rPr>
            </w:pPr>
            <w:r w:rsidRPr="00BC5C33">
              <w:rPr>
                <w:rFonts w:eastAsia="Times New Roman" w:cs="Calibri"/>
                <w:b/>
                <w:bCs/>
                <w:color w:val="auto"/>
                <w:szCs w:val="20"/>
                <w:lang w:eastAsia="en-GB"/>
              </w:rPr>
              <w:t>Opening Defined Benefit Obligation 1st April</w:t>
            </w:r>
          </w:p>
        </w:tc>
        <w:tc>
          <w:tcPr>
            <w:tcW w:w="561" w:type="pct"/>
            <w:tcBorders>
              <w:top w:val="nil"/>
              <w:left w:val="single" w:sz="4" w:space="0" w:color="auto"/>
              <w:bottom w:val="nil"/>
              <w:right w:val="nil"/>
            </w:tcBorders>
            <w:shd w:val="clear" w:color="000000" w:fill="FFFFFF"/>
            <w:noWrap/>
            <w:vAlign w:val="center"/>
            <w:hideMark/>
          </w:tcPr>
          <w:p w14:paraId="71E49BB5"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(293,123)</w:t>
            </w:r>
          </w:p>
        </w:tc>
        <w:tc>
          <w:tcPr>
            <w:tcW w:w="561" w:type="pct"/>
            <w:tcBorders>
              <w:top w:val="nil"/>
              <w:left w:val="nil"/>
              <w:bottom w:val="nil"/>
              <w:right w:val="nil"/>
            </w:tcBorders>
            <w:shd w:val="clear" w:color="000000" w:fill="CCECFF"/>
            <w:noWrap/>
            <w:vAlign w:val="center"/>
            <w:hideMark/>
          </w:tcPr>
          <w:p w14:paraId="6A366CA2"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(204,699)</w:t>
            </w:r>
          </w:p>
        </w:tc>
        <w:tc>
          <w:tcPr>
            <w:tcW w:w="561" w:type="pct"/>
            <w:tcBorders>
              <w:top w:val="nil"/>
              <w:left w:val="single" w:sz="4" w:space="0" w:color="auto"/>
              <w:bottom w:val="nil"/>
              <w:right w:val="nil"/>
            </w:tcBorders>
            <w:shd w:val="clear" w:color="000000" w:fill="FFFFFF"/>
            <w:noWrap/>
            <w:vAlign w:val="center"/>
            <w:hideMark/>
          </w:tcPr>
          <w:p w14:paraId="44F262AF"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(1,420,730)</w:t>
            </w:r>
          </w:p>
        </w:tc>
        <w:tc>
          <w:tcPr>
            <w:tcW w:w="561" w:type="pct"/>
            <w:tcBorders>
              <w:top w:val="nil"/>
              <w:left w:val="nil"/>
              <w:bottom w:val="nil"/>
              <w:right w:val="nil"/>
            </w:tcBorders>
            <w:shd w:val="clear" w:color="000000" w:fill="CCECFF"/>
            <w:noWrap/>
            <w:vAlign w:val="center"/>
            <w:hideMark/>
          </w:tcPr>
          <w:p w14:paraId="21C0B9A1"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(1,020,130)</w:t>
            </w:r>
          </w:p>
        </w:tc>
      </w:tr>
      <w:tr w:rsidR="00BC5C33" w:rsidRPr="00BC5C33" w14:paraId="0E3D3792" w14:textId="77777777" w:rsidTr="00BC5C33">
        <w:trPr>
          <w:trHeight w:val="495"/>
        </w:trPr>
        <w:tc>
          <w:tcPr>
            <w:tcW w:w="2757" w:type="pct"/>
            <w:tcBorders>
              <w:top w:val="nil"/>
              <w:left w:val="nil"/>
              <w:bottom w:val="nil"/>
              <w:right w:val="nil"/>
            </w:tcBorders>
            <w:shd w:val="clear" w:color="000000" w:fill="FFFFFF"/>
            <w:vAlign w:val="center"/>
            <w:hideMark/>
          </w:tcPr>
          <w:p w14:paraId="410F6347"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Current Service Cost (net up for employee contributions)</w:t>
            </w:r>
          </w:p>
        </w:tc>
        <w:tc>
          <w:tcPr>
            <w:tcW w:w="561" w:type="pct"/>
            <w:tcBorders>
              <w:top w:val="nil"/>
              <w:left w:val="single" w:sz="4" w:space="0" w:color="auto"/>
              <w:bottom w:val="nil"/>
              <w:right w:val="nil"/>
            </w:tcBorders>
            <w:shd w:val="clear" w:color="000000" w:fill="FFFFFF"/>
            <w:noWrap/>
            <w:vAlign w:val="center"/>
            <w:hideMark/>
          </w:tcPr>
          <w:p w14:paraId="06607FB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(14,544)</w:t>
            </w:r>
          </w:p>
        </w:tc>
        <w:tc>
          <w:tcPr>
            <w:tcW w:w="561" w:type="pct"/>
            <w:tcBorders>
              <w:top w:val="nil"/>
              <w:left w:val="nil"/>
              <w:bottom w:val="nil"/>
              <w:right w:val="nil"/>
            </w:tcBorders>
            <w:shd w:val="clear" w:color="000000" w:fill="CCECFF"/>
            <w:noWrap/>
            <w:vAlign w:val="center"/>
            <w:hideMark/>
          </w:tcPr>
          <w:p w14:paraId="3F10A96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(7,178)</w:t>
            </w:r>
          </w:p>
        </w:tc>
        <w:tc>
          <w:tcPr>
            <w:tcW w:w="561" w:type="pct"/>
            <w:tcBorders>
              <w:top w:val="nil"/>
              <w:left w:val="single" w:sz="4" w:space="0" w:color="auto"/>
              <w:bottom w:val="nil"/>
              <w:right w:val="nil"/>
            </w:tcBorders>
            <w:shd w:val="clear" w:color="000000" w:fill="FFFFFF"/>
            <w:noWrap/>
            <w:vAlign w:val="center"/>
            <w:hideMark/>
          </w:tcPr>
          <w:p w14:paraId="7D3EF1E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(29,700)</w:t>
            </w:r>
          </w:p>
        </w:tc>
        <w:tc>
          <w:tcPr>
            <w:tcW w:w="561" w:type="pct"/>
            <w:tcBorders>
              <w:top w:val="nil"/>
              <w:left w:val="nil"/>
              <w:bottom w:val="nil"/>
              <w:right w:val="nil"/>
            </w:tcBorders>
            <w:shd w:val="clear" w:color="000000" w:fill="CCECFF"/>
            <w:noWrap/>
            <w:vAlign w:val="center"/>
            <w:hideMark/>
          </w:tcPr>
          <w:p w14:paraId="72D270C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(9,750)</w:t>
            </w:r>
          </w:p>
        </w:tc>
      </w:tr>
      <w:tr w:rsidR="00BC5C33" w:rsidRPr="00BC5C33" w14:paraId="0CA11766" w14:textId="77777777" w:rsidTr="00BC5C33">
        <w:trPr>
          <w:trHeight w:val="420"/>
        </w:trPr>
        <w:tc>
          <w:tcPr>
            <w:tcW w:w="2757" w:type="pct"/>
            <w:tcBorders>
              <w:top w:val="nil"/>
              <w:left w:val="nil"/>
              <w:bottom w:val="nil"/>
              <w:right w:val="nil"/>
            </w:tcBorders>
            <w:shd w:val="clear" w:color="000000" w:fill="FFFFFF"/>
            <w:noWrap/>
            <w:vAlign w:val="center"/>
            <w:hideMark/>
          </w:tcPr>
          <w:p w14:paraId="5D899535"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 xml:space="preserve">Interest Cost </w:t>
            </w:r>
          </w:p>
        </w:tc>
        <w:tc>
          <w:tcPr>
            <w:tcW w:w="561" w:type="pct"/>
            <w:tcBorders>
              <w:top w:val="nil"/>
              <w:left w:val="single" w:sz="4" w:space="0" w:color="auto"/>
              <w:bottom w:val="nil"/>
              <w:right w:val="nil"/>
            </w:tcBorders>
            <w:shd w:val="clear" w:color="000000" w:fill="FFFFFF"/>
            <w:noWrap/>
            <w:vAlign w:val="center"/>
            <w:hideMark/>
          </w:tcPr>
          <w:p w14:paraId="022E02C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(8,214)</w:t>
            </w:r>
          </w:p>
        </w:tc>
        <w:tc>
          <w:tcPr>
            <w:tcW w:w="561" w:type="pct"/>
            <w:tcBorders>
              <w:top w:val="nil"/>
              <w:left w:val="nil"/>
              <w:bottom w:val="nil"/>
              <w:right w:val="nil"/>
            </w:tcBorders>
            <w:shd w:val="clear" w:color="000000" w:fill="CCECFF"/>
            <w:noWrap/>
            <w:vAlign w:val="center"/>
            <w:hideMark/>
          </w:tcPr>
          <w:p w14:paraId="3A2E1F3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(9,807)</w:t>
            </w:r>
          </w:p>
        </w:tc>
        <w:tc>
          <w:tcPr>
            <w:tcW w:w="561" w:type="pct"/>
            <w:tcBorders>
              <w:top w:val="nil"/>
              <w:left w:val="single" w:sz="4" w:space="0" w:color="auto"/>
              <w:bottom w:val="nil"/>
              <w:right w:val="nil"/>
            </w:tcBorders>
            <w:shd w:val="clear" w:color="000000" w:fill="FFFFFF"/>
            <w:noWrap/>
            <w:vAlign w:val="center"/>
            <w:hideMark/>
          </w:tcPr>
          <w:p w14:paraId="166FF898"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(37,700)</w:t>
            </w:r>
          </w:p>
        </w:tc>
        <w:tc>
          <w:tcPr>
            <w:tcW w:w="561" w:type="pct"/>
            <w:tcBorders>
              <w:top w:val="nil"/>
              <w:left w:val="nil"/>
              <w:bottom w:val="nil"/>
              <w:right w:val="nil"/>
            </w:tcBorders>
            <w:shd w:val="clear" w:color="000000" w:fill="CCECFF"/>
            <w:noWrap/>
            <w:vAlign w:val="center"/>
            <w:hideMark/>
          </w:tcPr>
          <w:p w14:paraId="60A09C8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(46,880)</w:t>
            </w:r>
          </w:p>
        </w:tc>
      </w:tr>
      <w:tr w:rsidR="00BC5C33" w:rsidRPr="00BC5C33" w14:paraId="1866A0F0" w14:textId="77777777" w:rsidTr="00BC5C33">
        <w:trPr>
          <w:trHeight w:val="420"/>
        </w:trPr>
        <w:tc>
          <w:tcPr>
            <w:tcW w:w="2757" w:type="pct"/>
            <w:tcBorders>
              <w:top w:val="nil"/>
              <w:left w:val="nil"/>
              <w:bottom w:val="nil"/>
              <w:right w:val="nil"/>
            </w:tcBorders>
            <w:shd w:val="clear" w:color="000000" w:fill="FFFFFF"/>
            <w:noWrap/>
            <w:vAlign w:val="center"/>
            <w:hideMark/>
          </w:tcPr>
          <w:p w14:paraId="1B0B5450"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Contributions by Scheme Participants</w:t>
            </w:r>
          </w:p>
        </w:tc>
        <w:tc>
          <w:tcPr>
            <w:tcW w:w="561" w:type="pct"/>
            <w:tcBorders>
              <w:top w:val="nil"/>
              <w:left w:val="single" w:sz="4" w:space="0" w:color="auto"/>
              <w:bottom w:val="nil"/>
              <w:right w:val="nil"/>
            </w:tcBorders>
            <w:shd w:val="clear" w:color="000000" w:fill="FFFFFF"/>
            <w:noWrap/>
            <w:vAlign w:val="center"/>
            <w:hideMark/>
          </w:tcPr>
          <w:p w14:paraId="1CAE33A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(2,034)</w:t>
            </w:r>
          </w:p>
        </w:tc>
        <w:tc>
          <w:tcPr>
            <w:tcW w:w="561" w:type="pct"/>
            <w:tcBorders>
              <w:top w:val="nil"/>
              <w:left w:val="nil"/>
              <w:bottom w:val="nil"/>
              <w:right w:val="nil"/>
            </w:tcBorders>
            <w:shd w:val="clear" w:color="000000" w:fill="CCECFF"/>
            <w:noWrap/>
            <w:vAlign w:val="center"/>
            <w:hideMark/>
          </w:tcPr>
          <w:p w14:paraId="61FFE55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(2,308)</w:t>
            </w:r>
          </w:p>
        </w:tc>
        <w:tc>
          <w:tcPr>
            <w:tcW w:w="561" w:type="pct"/>
            <w:tcBorders>
              <w:top w:val="nil"/>
              <w:left w:val="single" w:sz="4" w:space="0" w:color="auto"/>
              <w:bottom w:val="nil"/>
              <w:right w:val="nil"/>
            </w:tcBorders>
            <w:shd w:val="clear" w:color="000000" w:fill="FFFFFF"/>
            <w:noWrap/>
            <w:vAlign w:val="center"/>
            <w:hideMark/>
          </w:tcPr>
          <w:p w14:paraId="310EB88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(6,650)</w:t>
            </w:r>
          </w:p>
        </w:tc>
        <w:tc>
          <w:tcPr>
            <w:tcW w:w="561" w:type="pct"/>
            <w:tcBorders>
              <w:top w:val="nil"/>
              <w:left w:val="nil"/>
              <w:bottom w:val="nil"/>
              <w:right w:val="nil"/>
            </w:tcBorders>
            <w:shd w:val="clear" w:color="000000" w:fill="CCECFF"/>
            <w:noWrap/>
            <w:vAlign w:val="center"/>
            <w:hideMark/>
          </w:tcPr>
          <w:p w14:paraId="1CCA4FD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(7,380)</w:t>
            </w:r>
          </w:p>
        </w:tc>
      </w:tr>
      <w:tr w:rsidR="00BC5C33" w:rsidRPr="00BC5C33" w14:paraId="00F021AA" w14:textId="77777777" w:rsidTr="00BC5C33">
        <w:trPr>
          <w:trHeight w:val="420"/>
        </w:trPr>
        <w:tc>
          <w:tcPr>
            <w:tcW w:w="2757" w:type="pct"/>
            <w:tcBorders>
              <w:top w:val="nil"/>
              <w:left w:val="nil"/>
              <w:bottom w:val="nil"/>
              <w:right w:val="nil"/>
            </w:tcBorders>
            <w:shd w:val="clear" w:color="000000" w:fill="FFFFFF"/>
            <w:noWrap/>
            <w:vAlign w:val="center"/>
            <w:hideMark/>
          </w:tcPr>
          <w:p w14:paraId="3438CDE3"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Actuarial (Gains)/ Losses</w:t>
            </w:r>
          </w:p>
        </w:tc>
        <w:tc>
          <w:tcPr>
            <w:tcW w:w="561" w:type="pct"/>
            <w:tcBorders>
              <w:top w:val="nil"/>
              <w:left w:val="single" w:sz="4" w:space="0" w:color="auto"/>
              <w:bottom w:val="nil"/>
              <w:right w:val="nil"/>
            </w:tcBorders>
            <w:shd w:val="clear" w:color="000000" w:fill="FFFFFF"/>
            <w:noWrap/>
            <w:vAlign w:val="center"/>
            <w:hideMark/>
          </w:tcPr>
          <w:p w14:paraId="023F47DF"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108,299</w:t>
            </w:r>
          </w:p>
        </w:tc>
        <w:tc>
          <w:tcPr>
            <w:tcW w:w="561" w:type="pct"/>
            <w:tcBorders>
              <w:top w:val="nil"/>
              <w:left w:val="nil"/>
              <w:bottom w:val="nil"/>
              <w:right w:val="nil"/>
            </w:tcBorders>
            <w:shd w:val="clear" w:color="000000" w:fill="CCECFF"/>
            <w:noWrap/>
            <w:vAlign w:val="center"/>
            <w:hideMark/>
          </w:tcPr>
          <w:p w14:paraId="50B4F7A6"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8,363</w:t>
            </w:r>
          </w:p>
        </w:tc>
        <w:tc>
          <w:tcPr>
            <w:tcW w:w="561" w:type="pct"/>
            <w:tcBorders>
              <w:top w:val="nil"/>
              <w:left w:val="single" w:sz="4" w:space="0" w:color="auto"/>
              <w:bottom w:val="nil"/>
              <w:right w:val="nil"/>
            </w:tcBorders>
            <w:shd w:val="clear" w:color="000000" w:fill="FFFFFF"/>
            <w:noWrap/>
            <w:vAlign w:val="center"/>
            <w:hideMark/>
          </w:tcPr>
          <w:p w14:paraId="498D79A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442,240</w:t>
            </w:r>
          </w:p>
        </w:tc>
        <w:tc>
          <w:tcPr>
            <w:tcW w:w="561" w:type="pct"/>
            <w:tcBorders>
              <w:top w:val="nil"/>
              <w:left w:val="nil"/>
              <w:bottom w:val="nil"/>
              <w:right w:val="nil"/>
            </w:tcBorders>
            <w:shd w:val="clear" w:color="000000" w:fill="CCECFF"/>
            <w:noWrap/>
            <w:vAlign w:val="center"/>
            <w:hideMark/>
          </w:tcPr>
          <w:p w14:paraId="53806D5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(12,090)</w:t>
            </w:r>
          </w:p>
        </w:tc>
      </w:tr>
      <w:tr w:rsidR="00BC5C33" w:rsidRPr="00BC5C33" w14:paraId="6AAD3006" w14:textId="77777777" w:rsidTr="00BC5C33">
        <w:trPr>
          <w:trHeight w:val="420"/>
        </w:trPr>
        <w:tc>
          <w:tcPr>
            <w:tcW w:w="2757" w:type="pct"/>
            <w:tcBorders>
              <w:top w:val="nil"/>
              <w:left w:val="nil"/>
              <w:bottom w:val="nil"/>
              <w:right w:val="nil"/>
            </w:tcBorders>
            <w:shd w:val="clear" w:color="000000" w:fill="FFFFFF"/>
            <w:noWrap/>
            <w:vAlign w:val="center"/>
            <w:hideMark/>
          </w:tcPr>
          <w:p w14:paraId="174835ED"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 xml:space="preserve">Past Service (Costs)/ Gains </w:t>
            </w:r>
          </w:p>
        </w:tc>
        <w:tc>
          <w:tcPr>
            <w:tcW w:w="561" w:type="pct"/>
            <w:tcBorders>
              <w:top w:val="nil"/>
              <w:left w:val="single" w:sz="4" w:space="0" w:color="auto"/>
              <w:bottom w:val="nil"/>
              <w:right w:val="nil"/>
            </w:tcBorders>
            <w:shd w:val="clear" w:color="000000" w:fill="FFFFFF"/>
            <w:noWrap/>
            <w:vAlign w:val="center"/>
            <w:hideMark/>
          </w:tcPr>
          <w:p w14:paraId="48497D4B"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658946E"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(39)</w:t>
            </w:r>
          </w:p>
        </w:tc>
        <w:tc>
          <w:tcPr>
            <w:tcW w:w="561" w:type="pct"/>
            <w:tcBorders>
              <w:top w:val="nil"/>
              <w:left w:val="single" w:sz="4" w:space="0" w:color="auto"/>
              <w:bottom w:val="nil"/>
              <w:right w:val="nil"/>
            </w:tcBorders>
            <w:shd w:val="clear" w:color="000000" w:fill="FFFFFF"/>
            <w:noWrap/>
            <w:vAlign w:val="center"/>
            <w:hideMark/>
          </w:tcPr>
          <w:p w14:paraId="4F430A9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(170)</w:t>
            </w:r>
          </w:p>
        </w:tc>
        <w:tc>
          <w:tcPr>
            <w:tcW w:w="561" w:type="pct"/>
            <w:tcBorders>
              <w:top w:val="nil"/>
              <w:left w:val="nil"/>
              <w:bottom w:val="nil"/>
              <w:right w:val="nil"/>
            </w:tcBorders>
            <w:shd w:val="clear" w:color="000000" w:fill="CCECFF"/>
            <w:noWrap/>
            <w:vAlign w:val="center"/>
            <w:hideMark/>
          </w:tcPr>
          <w:p w14:paraId="59FA196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(40)</w:t>
            </w:r>
          </w:p>
        </w:tc>
      </w:tr>
      <w:tr w:rsidR="00BC5C33" w:rsidRPr="00BC5C33" w14:paraId="4CE42748" w14:textId="77777777" w:rsidTr="00BC5C33">
        <w:trPr>
          <w:trHeight w:val="420"/>
        </w:trPr>
        <w:tc>
          <w:tcPr>
            <w:tcW w:w="2757" w:type="pct"/>
            <w:tcBorders>
              <w:top w:val="nil"/>
              <w:left w:val="nil"/>
              <w:bottom w:val="nil"/>
              <w:right w:val="nil"/>
            </w:tcBorders>
            <w:shd w:val="clear" w:color="000000" w:fill="FFFFFF"/>
            <w:noWrap/>
            <w:vAlign w:val="center"/>
            <w:hideMark/>
          </w:tcPr>
          <w:p w14:paraId="11184B72"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(Losses)/ Gains on Curtailments</w:t>
            </w:r>
          </w:p>
        </w:tc>
        <w:tc>
          <w:tcPr>
            <w:tcW w:w="561" w:type="pct"/>
            <w:tcBorders>
              <w:top w:val="nil"/>
              <w:left w:val="single" w:sz="4" w:space="0" w:color="auto"/>
              <w:bottom w:val="nil"/>
              <w:right w:val="nil"/>
            </w:tcBorders>
            <w:shd w:val="clear" w:color="000000" w:fill="FFFFFF"/>
            <w:noWrap/>
            <w:vAlign w:val="center"/>
            <w:hideMark/>
          </w:tcPr>
          <w:p w14:paraId="6C13122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32AC55C9"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1863BDF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57C4EB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7F268674" w14:textId="77777777" w:rsidTr="00BC5C33">
        <w:trPr>
          <w:trHeight w:val="420"/>
        </w:trPr>
        <w:tc>
          <w:tcPr>
            <w:tcW w:w="2757" w:type="pct"/>
            <w:tcBorders>
              <w:top w:val="nil"/>
              <w:left w:val="nil"/>
              <w:bottom w:val="nil"/>
              <w:right w:val="nil"/>
            </w:tcBorders>
            <w:shd w:val="clear" w:color="000000" w:fill="FFFFFF"/>
            <w:noWrap/>
            <w:vAlign w:val="center"/>
            <w:hideMark/>
          </w:tcPr>
          <w:p w14:paraId="67C3D177"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Transfers in</w:t>
            </w:r>
          </w:p>
        </w:tc>
        <w:tc>
          <w:tcPr>
            <w:tcW w:w="561" w:type="pct"/>
            <w:tcBorders>
              <w:top w:val="nil"/>
              <w:left w:val="single" w:sz="4" w:space="0" w:color="auto"/>
              <w:bottom w:val="nil"/>
              <w:right w:val="nil"/>
            </w:tcBorders>
            <w:shd w:val="clear" w:color="000000" w:fill="FFFFFF"/>
            <w:noWrap/>
            <w:vAlign w:val="center"/>
            <w:hideMark/>
          </w:tcPr>
          <w:p w14:paraId="5E47BA0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00B8FC7C"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53BAD54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194A90F"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601A25AD" w14:textId="77777777" w:rsidTr="00BC5C33">
        <w:trPr>
          <w:trHeight w:val="420"/>
        </w:trPr>
        <w:tc>
          <w:tcPr>
            <w:tcW w:w="2757" w:type="pct"/>
            <w:tcBorders>
              <w:top w:val="nil"/>
              <w:left w:val="nil"/>
              <w:bottom w:val="nil"/>
              <w:right w:val="nil"/>
            </w:tcBorders>
            <w:shd w:val="clear" w:color="000000" w:fill="FFFFFF"/>
            <w:noWrap/>
            <w:vAlign w:val="center"/>
            <w:hideMark/>
          </w:tcPr>
          <w:p w14:paraId="04010076"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Estimated Unfunded Benefits Paid</w:t>
            </w:r>
          </w:p>
        </w:tc>
        <w:tc>
          <w:tcPr>
            <w:tcW w:w="561" w:type="pct"/>
            <w:tcBorders>
              <w:top w:val="nil"/>
              <w:left w:val="single" w:sz="4" w:space="0" w:color="auto"/>
              <w:bottom w:val="nil"/>
              <w:right w:val="nil"/>
            </w:tcBorders>
            <w:shd w:val="clear" w:color="000000" w:fill="FFFFFF"/>
            <w:noWrap/>
            <w:vAlign w:val="center"/>
            <w:hideMark/>
          </w:tcPr>
          <w:p w14:paraId="357B6D22"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w:t>
            </w:r>
          </w:p>
        </w:tc>
        <w:tc>
          <w:tcPr>
            <w:tcW w:w="561" w:type="pct"/>
            <w:tcBorders>
              <w:top w:val="nil"/>
              <w:left w:val="nil"/>
              <w:bottom w:val="nil"/>
              <w:right w:val="nil"/>
            </w:tcBorders>
            <w:shd w:val="clear" w:color="000000" w:fill="CCECFF"/>
            <w:noWrap/>
            <w:vAlign w:val="center"/>
            <w:hideMark/>
          </w:tcPr>
          <w:p w14:paraId="5B16890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w:t>
            </w:r>
          </w:p>
        </w:tc>
        <w:tc>
          <w:tcPr>
            <w:tcW w:w="561" w:type="pct"/>
            <w:tcBorders>
              <w:top w:val="nil"/>
              <w:left w:val="single" w:sz="4" w:space="0" w:color="auto"/>
              <w:bottom w:val="nil"/>
              <w:right w:val="nil"/>
            </w:tcBorders>
            <w:shd w:val="clear" w:color="000000" w:fill="FFFFFF"/>
            <w:noWrap/>
            <w:vAlign w:val="center"/>
            <w:hideMark/>
          </w:tcPr>
          <w:p w14:paraId="0A934C3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FE0048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43BA39D1" w14:textId="77777777" w:rsidTr="00BC5C33">
        <w:trPr>
          <w:trHeight w:val="420"/>
        </w:trPr>
        <w:tc>
          <w:tcPr>
            <w:tcW w:w="2757" w:type="pct"/>
            <w:tcBorders>
              <w:top w:val="nil"/>
              <w:left w:val="nil"/>
              <w:bottom w:val="nil"/>
              <w:right w:val="nil"/>
            </w:tcBorders>
            <w:shd w:val="clear" w:color="000000" w:fill="FFFFFF"/>
            <w:noWrap/>
            <w:vAlign w:val="center"/>
            <w:hideMark/>
          </w:tcPr>
          <w:p w14:paraId="66244300"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Estimated Benefits Paid</w:t>
            </w:r>
          </w:p>
        </w:tc>
        <w:tc>
          <w:tcPr>
            <w:tcW w:w="561" w:type="pct"/>
            <w:tcBorders>
              <w:top w:val="nil"/>
              <w:left w:val="single" w:sz="4" w:space="0" w:color="auto"/>
              <w:bottom w:val="nil"/>
              <w:right w:val="nil"/>
            </w:tcBorders>
            <w:shd w:val="clear" w:color="000000" w:fill="FFFFFF"/>
            <w:noWrap/>
            <w:vAlign w:val="center"/>
            <w:hideMark/>
          </w:tcPr>
          <w:p w14:paraId="182B391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4,914</w:t>
            </w:r>
          </w:p>
        </w:tc>
        <w:tc>
          <w:tcPr>
            <w:tcW w:w="561" w:type="pct"/>
            <w:tcBorders>
              <w:top w:val="nil"/>
              <w:left w:val="nil"/>
              <w:bottom w:val="nil"/>
              <w:right w:val="nil"/>
            </w:tcBorders>
            <w:shd w:val="clear" w:color="000000" w:fill="CCECFF"/>
            <w:noWrap/>
            <w:vAlign w:val="center"/>
            <w:hideMark/>
          </w:tcPr>
          <w:p w14:paraId="4D39AB8D"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5,958</w:t>
            </w:r>
          </w:p>
        </w:tc>
        <w:tc>
          <w:tcPr>
            <w:tcW w:w="561" w:type="pct"/>
            <w:tcBorders>
              <w:top w:val="nil"/>
              <w:left w:val="single" w:sz="4" w:space="0" w:color="auto"/>
              <w:bottom w:val="nil"/>
              <w:right w:val="nil"/>
            </w:tcBorders>
            <w:shd w:val="clear" w:color="000000" w:fill="FFFFFF"/>
            <w:noWrap/>
            <w:vAlign w:val="center"/>
            <w:hideMark/>
          </w:tcPr>
          <w:p w14:paraId="387720A8"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32,580</w:t>
            </w:r>
          </w:p>
        </w:tc>
        <w:tc>
          <w:tcPr>
            <w:tcW w:w="561" w:type="pct"/>
            <w:tcBorders>
              <w:top w:val="nil"/>
              <w:left w:val="nil"/>
              <w:bottom w:val="nil"/>
              <w:right w:val="nil"/>
            </w:tcBorders>
            <w:shd w:val="clear" w:color="000000" w:fill="CCECFF"/>
            <w:noWrap/>
            <w:vAlign w:val="center"/>
            <w:hideMark/>
          </w:tcPr>
          <w:p w14:paraId="4D2C9E1A"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41,250</w:t>
            </w:r>
          </w:p>
        </w:tc>
      </w:tr>
      <w:tr w:rsidR="00BC5C33" w:rsidRPr="00BC5C33" w14:paraId="4E6EA6B2" w14:textId="77777777" w:rsidTr="00BC5C33">
        <w:trPr>
          <w:trHeight w:val="520"/>
        </w:trPr>
        <w:tc>
          <w:tcPr>
            <w:tcW w:w="2757" w:type="pct"/>
            <w:tcBorders>
              <w:top w:val="nil"/>
              <w:left w:val="nil"/>
              <w:bottom w:val="nil"/>
              <w:right w:val="nil"/>
            </w:tcBorders>
            <w:shd w:val="clear" w:color="000000" w:fill="FFFFFF"/>
            <w:noWrap/>
            <w:vAlign w:val="center"/>
            <w:hideMark/>
          </w:tcPr>
          <w:p w14:paraId="5A48CFC1" w14:textId="77777777" w:rsidR="00BC5C33" w:rsidRPr="00BC5C33" w:rsidRDefault="00BC5C33" w:rsidP="00BC5C33">
            <w:pPr>
              <w:spacing w:line="240" w:lineRule="auto"/>
              <w:jc w:val="left"/>
              <w:rPr>
                <w:rFonts w:eastAsia="Times New Roman" w:cs="Calibri"/>
                <w:color w:val="auto"/>
                <w:szCs w:val="20"/>
                <w:lang w:eastAsia="en-GB"/>
              </w:rPr>
            </w:pPr>
            <w:r w:rsidRPr="00BC5C33">
              <w:rPr>
                <w:rFonts w:eastAsia="Times New Roman" w:cs="Calibri"/>
                <w:color w:val="auto"/>
                <w:szCs w:val="20"/>
                <w:lang w:eastAsia="en-GB"/>
              </w:rPr>
              <w:t>Effect of business combinations and disposals</w:t>
            </w:r>
          </w:p>
        </w:tc>
        <w:tc>
          <w:tcPr>
            <w:tcW w:w="561" w:type="pct"/>
            <w:tcBorders>
              <w:top w:val="nil"/>
              <w:left w:val="single" w:sz="4" w:space="0" w:color="auto"/>
              <w:bottom w:val="nil"/>
              <w:right w:val="nil"/>
            </w:tcBorders>
            <w:shd w:val="clear" w:color="000000" w:fill="FFFFFF"/>
            <w:noWrap/>
            <w:vAlign w:val="center"/>
            <w:hideMark/>
          </w:tcPr>
          <w:p w14:paraId="36570E3C"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44C9D595"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single" w:sz="4" w:space="0" w:color="auto"/>
              <w:bottom w:val="nil"/>
              <w:right w:val="nil"/>
            </w:tcBorders>
            <w:shd w:val="clear" w:color="000000" w:fill="FFFFFF"/>
            <w:noWrap/>
            <w:vAlign w:val="center"/>
            <w:hideMark/>
          </w:tcPr>
          <w:p w14:paraId="0E13A167"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c>
          <w:tcPr>
            <w:tcW w:w="561" w:type="pct"/>
            <w:tcBorders>
              <w:top w:val="nil"/>
              <w:left w:val="nil"/>
              <w:bottom w:val="nil"/>
              <w:right w:val="nil"/>
            </w:tcBorders>
            <w:shd w:val="clear" w:color="000000" w:fill="CCECFF"/>
            <w:noWrap/>
            <w:vAlign w:val="center"/>
            <w:hideMark/>
          </w:tcPr>
          <w:p w14:paraId="2223B1F4" w14:textId="77777777" w:rsidR="00BC5C33" w:rsidRPr="00BC5C33" w:rsidRDefault="00BC5C33" w:rsidP="00BC5C33">
            <w:pPr>
              <w:spacing w:line="240" w:lineRule="auto"/>
              <w:jc w:val="right"/>
              <w:rPr>
                <w:rFonts w:eastAsia="Times New Roman" w:cs="Calibri"/>
                <w:color w:val="auto"/>
                <w:szCs w:val="20"/>
                <w:lang w:eastAsia="en-GB"/>
              </w:rPr>
            </w:pPr>
            <w:r w:rsidRPr="00BC5C33">
              <w:rPr>
                <w:rFonts w:eastAsia="Times New Roman" w:cs="Calibri"/>
                <w:color w:val="auto"/>
                <w:szCs w:val="20"/>
                <w:lang w:eastAsia="en-GB"/>
              </w:rPr>
              <w:t>-</w:t>
            </w:r>
          </w:p>
        </w:tc>
      </w:tr>
      <w:tr w:rsidR="00BC5C33" w:rsidRPr="00BC5C33" w14:paraId="6E78A087" w14:textId="77777777" w:rsidTr="00BC5C33">
        <w:trPr>
          <w:trHeight w:val="520"/>
        </w:trPr>
        <w:tc>
          <w:tcPr>
            <w:tcW w:w="2757" w:type="pct"/>
            <w:tcBorders>
              <w:top w:val="single" w:sz="4" w:space="0" w:color="auto"/>
              <w:left w:val="nil"/>
              <w:bottom w:val="single" w:sz="4" w:space="0" w:color="auto"/>
              <w:right w:val="nil"/>
            </w:tcBorders>
            <w:shd w:val="clear" w:color="000000" w:fill="FFFFFF"/>
            <w:vAlign w:val="center"/>
            <w:hideMark/>
          </w:tcPr>
          <w:p w14:paraId="05FDD854" w14:textId="77777777" w:rsidR="00BC5C33" w:rsidRPr="00BC5C33" w:rsidRDefault="00BC5C33" w:rsidP="00BC5C33">
            <w:pPr>
              <w:spacing w:line="240" w:lineRule="auto"/>
              <w:jc w:val="left"/>
              <w:rPr>
                <w:rFonts w:eastAsia="Times New Roman" w:cs="Calibri"/>
                <w:b/>
                <w:bCs/>
                <w:color w:val="auto"/>
                <w:szCs w:val="20"/>
                <w:lang w:eastAsia="en-GB"/>
              </w:rPr>
            </w:pPr>
            <w:r w:rsidRPr="00BC5C33">
              <w:rPr>
                <w:rFonts w:eastAsia="Times New Roman" w:cs="Calibri"/>
                <w:b/>
                <w:bCs/>
                <w:color w:val="auto"/>
                <w:szCs w:val="20"/>
                <w:lang w:eastAsia="en-GB"/>
              </w:rPr>
              <w:t>Closing Defined Benefit Obligation 31st March</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7660C3F0"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(204,699)</w:t>
            </w:r>
          </w:p>
        </w:tc>
        <w:tc>
          <w:tcPr>
            <w:tcW w:w="561" w:type="pct"/>
            <w:tcBorders>
              <w:top w:val="single" w:sz="4" w:space="0" w:color="auto"/>
              <w:left w:val="nil"/>
              <w:bottom w:val="single" w:sz="4" w:space="0" w:color="auto"/>
              <w:right w:val="nil"/>
            </w:tcBorders>
            <w:shd w:val="clear" w:color="000000" w:fill="CCECFF"/>
            <w:noWrap/>
            <w:vAlign w:val="center"/>
            <w:hideMark/>
          </w:tcPr>
          <w:p w14:paraId="7949BB94"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(209,707)</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1CAE2477"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(1,020,130)</w:t>
            </w:r>
          </w:p>
        </w:tc>
        <w:tc>
          <w:tcPr>
            <w:tcW w:w="561" w:type="pct"/>
            <w:tcBorders>
              <w:top w:val="single" w:sz="4" w:space="0" w:color="auto"/>
              <w:left w:val="nil"/>
              <w:bottom w:val="single" w:sz="4" w:space="0" w:color="auto"/>
              <w:right w:val="nil"/>
            </w:tcBorders>
            <w:shd w:val="clear" w:color="000000" w:fill="CCECFF"/>
            <w:noWrap/>
            <w:vAlign w:val="center"/>
            <w:hideMark/>
          </w:tcPr>
          <w:p w14:paraId="5FB99AE8" w14:textId="77777777" w:rsidR="00BC5C33" w:rsidRPr="00BC5C33" w:rsidRDefault="00BC5C33" w:rsidP="00BC5C33">
            <w:pPr>
              <w:spacing w:line="240" w:lineRule="auto"/>
              <w:jc w:val="right"/>
              <w:rPr>
                <w:rFonts w:eastAsia="Times New Roman" w:cs="Calibri"/>
                <w:b/>
                <w:bCs/>
                <w:color w:val="auto"/>
                <w:szCs w:val="20"/>
                <w:lang w:eastAsia="en-GB"/>
              </w:rPr>
            </w:pPr>
            <w:r w:rsidRPr="00BC5C33">
              <w:rPr>
                <w:rFonts w:eastAsia="Times New Roman" w:cs="Calibri"/>
                <w:b/>
                <w:bCs/>
                <w:color w:val="auto"/>
                <w:szCs w:val="20"/>
                <w:lang w:eastAsia="en-GB"/>
              </w:rPr>
              <w:t>(1,055,020)</w:t>
            </w:r>
          </w:p>
        </w:tc>
      </w:tr>
    </w:tbl>
    <w:p w14:paraId="661D5117" w14:textId="06452B69" w:rsidR="00C70423" w:rsidRDefault="00C70423" w:rsidP="008441E1">
      <w:pPr>
        <w:rPr>
          <w:noProof/>
        </w:rPr>
      </w:pPr>
    </w:p>
    <w:p w14:paraId="4A6A56E8" w14:textId="77777777" w:rsidR="006C57FC" w:rsidRDefault="006C57FC" w:rsidP="008441E1">
      <w:pPr>
        <w:rPr>
          <w:noProof/>
        </w:rPr>
      </w:pPr>
    </w:p>
    <w:p w14:paraId="283D26DF" w14:textId="77777777" w:rsidR="006C57FC" w:rsidRDefault="006C57FC" w:rsidP="008441E1">
      <w:pPr>
        <w:rPr>
          <w:noProof/>
        </w:rPr>
      </w:pPr>
    </w:p>
    <w:p w14:paraId="6E4D9C13" w14:textId="77777777" w:rsidR="006C57FC" w:rsidRDefault="006C57FC" w:rsidP="008441E1">
      <w:pPr>
        <w:rPr>
          <w:noProof/>
        </w:rPr>
      </w:pPr>
    </w:p>
    <w:p w14:paraId="12DF88AF" w14:textId="77777777" w:rsidR="006C57FC" w:rsidRDefault="006C57FC" w:rsidP="008441E1">
      <w:pPr>
        <w:rPr>
          <w:noProof/>
        </w:rPr>
      </w:pPr>
    </w:p>
    <w:p w14:paraId="0F8A0E10" w14:textId="77777777" w:rsidR="006C57FC" w:rsidRDefault="006C57FC" w:rsidP="008441E1">
      <w:pPr>
        <w:rPr>
          <w:noProof/>
        </w:rPr>
      </w:pPr>
    </w:p>
    <w:p w14:paraId="40160F45" w14:textId="77777777" w:rsidR="006C57FC" w:rsidRDefault="006C57FC" w:rsidP="008441E1">
      <w:pPr>
        <w:rPr>
          <w:noProof/>
        </w:rPr>
      </w:pPr>
    </w:p>
    <w:p w14:paraId="2DE1BB4F" w14:textId="77777777" w:rsidR="006C57FC" w:rsidRDefault="006C57FC" w:rsidP="008441E1">
      <w:pPr>
        <w:rPr>
          <w:noProof/>
        </w:rPr>
      </w:pPr>
    </w:p>
    <w:p w14:paraId="4F02E8A0" w14:textId="77777777" w:rsidR="006C57FC" w:rsidRDefault="006C57FC" w:rsidP="008441E1">
      <w:pPr>
        <w:rPr>
          <w:noProof/>
        </w:rPr>
      </w:pPr>
    </w:p>
    <w:p w14:paraId="346F102C" w14:textId="77777777" w:rsidR="006C57FC" w:rsidRDefault="006C57FC" w:rsidP="008441E1">
      <w:pPr>
        <w:rPr>
          <w:noProof/>
        </w:rPr>
      </w:pPr>
    </w:p>
    <w:p w14:paraId="6CAA3CF8" w14:textId="77777777" w:rsidR="006C57FC" w:rsidRDefault="006C57FC" w:rsidP="008441E1">
      <w:pPr>
        <w:rPr>
          <w:noProof/>
        </w:rPr>
      </w:pPr>
    </w:p>
    <w:p w14:paraId="326E7430" w14:textId="77777777" w:rsidR="006C57FC" w:rsidRDefault="006C57FC" w:rsidP="008441E1">
      <w:pPr>
        <w:rPr>
          <w:noProof/>
        </w:rPr>
      </w:pPr>
    </w:p>
    <w:p w14:paraId="19E039AB" w14:textId="77777777" w:rsidR="006C57FC" w:rsidRDefault="006C57FC" w:rsidP="008441E1">
      <w:pPr>
        <w:rPr>
          <w:noProof/>
        </w:rPr>
      </w:pPr>
    </w:p>
    <w:p w14:paraId="0C18F506" w14:textId="77777777" w:rsidR="006C57FC" w:rsidRDefault="006C57FC" w:rsidP="008441E1">
      <w:pPr>
        <w:rPr>
          <w:noProof/>
        </w:rPr>
      </w:pPr>
    </w:p>
    <w:p w14:paraId="2A5D1B2E" w14:textId="77777777" w:rsidR="006C57FC" w:rsidRDefault="006C57FC" w:rsidP="008441E1">
      <w:pPr>
        <w:rPr>
          <w:noProof/>
        </w:rPr>
      </w:pPr>
    </w:p>
    <w:p w14:paraId="02C22076" w14:textId="77777777" w:rsidR="006C57FC" w:rsidRDefault="006C57FC" w:rsidP="008441E1">
      <w:pPr>
        <w:rPr>
          <w:noProof/>
        </w:rPr>
      </w:pPr>
    </w:p>
    <w:p w14:paraId="541F571E" w14:textId="77777777" w:rsidR="006C57FC" w:rsidRDefault="006C57FC" w:rsidP="008441E1">
      <w:pPr>
        <w:rPr>
          <w:noProof/>
        </w:rPr>
      </w:pPr>
    </w:p>
    <w:p w14:paraId="1B5F76B7" w14:textId="2B5AA41D" w:rsidR="006C57FC" w:rsidRDefault="006C57FC" w:rsidP="008441E1">
      <w:pPr>
        <w:rPr>
          <w:noProof/>
        </w:rPr>
      </w:pPr>
    </w:p>
    <w:p w14:paraId="4F56C819" w14:textId="77777777" w:rsidR="00E17F55" w:rsidRDefault="00E17F55" w:rsidP="008441E1">
      <w:pPr>
        <w:rPr>
          <w:noProof/>
        </w:rPr>
      </w:pPr>
    </w:p>
    <w:p w14:paraId="44AAF9B3" w14:textId="67B7BE88" w:rsidR="00D810FB" w:rsidRPr="004A3733" w:rsidRDefault="004A3733" w:rsidP="008441E1">
      <w:pPr>
        <w:pStyle w:val="VAHeadingLevel2"/>
        <w:rPr>
          <w:rFonts w:eastAsia="Calibri"/>
          <w:color w:val="18235B"/>
        </w:rPr>
      </w:pPr>
      <w:r w:rsidRPr="00EC546C">
        <w:rPr>
          <w:rFonts w:eastAsia="Calibri"/>
        </w:rPr>
        <w:lastRenderedPageBreak/>
        <w:t>Reconciliation of the Fair Value of the Schemes Assets</w:t>
      </w:r>
    </w:p>
    <w:p w14:paraId="6E3A1AAC" w14:textId="77777777" w:rsidR="00D810FB" w:rsidRPr="00EC546C" w:rsidRDefault="00D810FB" w:rsidP="008441E1"/>
    <w:p w14:paraId="0CB454D4" w14:textId="094DEA76" w:rsidR="00D810FB" w:rsidRPr="002D6171" w:rsidRDefault="00D810FB" w:rsidP="002D6171">
      <w:pPr>
        <w:pStyle w:val="VAHeadingLevel3"/>
      </w:pPr>
      <w:r w:rsidRPr="00EC546C">
        <w:t>Pension Asset – Local Government Pension Scheme Only</w:t>
      </w:r>
    </w:p>
    <w:tbl>
      <w:tblPr>
        <w:tblW w:w="0" w:type="auto"/>
        <w:tblLook w:val="04A0" w:firstRow="1" w:lastRow="0" w:firstColumn="1" w:lastColumn="0" w:noHBand="0" w:noVBand="1"/>
      </w:tblPr>
      <w:tblGrid>
        <w:gridCol w:w="5359"/>
        <w:gridCol w:w="1057"/>
        <w:gridCol w:w="1057"/>
      </w:tblGrid>
      <w:tr w:rsidR="006C57FC" w:rsidRPr="006C57FC" w14:paraId="366A6FC6" w14:textId="77777777" w:rsidTr="006C57FC">
        <w:trPr>
          <w:trHeight w:val="300"/>
        </w:trPr>
        <w:tc>
          <w:tcPr>
            <w:tcW w:w="0" w:type="auto"/>
            <w:tcBorders>
              <w:top w:val="nil"/>
              <w:left w:val="nil"/>
              <w:bottom w:val="nil"/>
              <w:right w:val="nil"/>
            </w:tcBorders>
            <w:shd w:val="clear" w:color="000000" w:fill="000099"/>
            <w:noWrap/>
            <w:vAlign w:val="center"/>
            <w:hideMark/>
          </w:tcPr>
          <w:p w14:paraId="1FBDF979" w14:textId="77777777" w:rsidR="006C57FC" w:rsidRPr="006C57FC" w:rsidRDefault="006C57FC" w:rsidP="006C57FC">
            <w:pPr>
              <w:spacing w:line="240" w:lineRule="auto"/>
              <w:jc w:val="left"/>
              <w:rPr>
                <w:rFonts w:eastAsia="Times New Roman" w:cs="Calibri"/>
                <w:b/>
                <w:bCs/>
                <w:color w:val="FFFFFF"/>
                <w:szCs w:val="20"/>
                <w:lang w:eastAsia="en-GB"/>
              </w:rPr>
            </w:pPr>
            <w:r w:rsidRPr="006C57FC">
              <w:rPr>
                <w:rFonts w:eastAsia="Times New Roman" w:cs="Calibri"/>
                <w:b/>
                <w:bCs/>
                <w:color w:val="FFFFFF"/>
                <w:szCs w:val="20"/>
                <w:lang w:eastAsia="en-GB"/>
              </w:rPr>
              <w:t> </w:t>
            </w:r>
          </w:p>
        </w:tc>
        <w:tc>
          <w:tcPr>
            <w:tcW w:w="0" w:type="auto"/>
            <w:tcBorders>
              <w:top w:val="nil"/>
              <w:left w:val="nil"/>
              <w:bottom w:val="nil"/>
              <w:right w:val="nil"/>
            </w:tcBorders>
            <w:shd w:val="clear" w:color="000000" w:fill="000099"/>
            <w:noWrap/>
            <w:vAlign w:val="center"/>
            <w:hideMark/>
          </w:tcPr>
          <w:p w14:paraId="56186555"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31 Mar 23</w:t>
            </w:r>
          </w:p>
        </w:tc>
        <w:tc>
          <w:tcPr>
            <w:tcW w:w="0" w:type="auto"/>
            <w:tcBorders>
              <w:top w:val="nil"/>
              <w:left w:val="nil"/>
              <w:bottom w:val="nil"/>
              <w:right w:val="nil"/>
            </w:tcBorders>
            <w:shd w:val="clear" w:color="000000" w:fill="000099"/>
            <w:noWrap/>
            <w:vAlign w:val="center"/>
            <w:hideMark/>
          </w:tcPr>
          <w:p w14:paraId="00F44792"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31 Mar 24</w:t>
            </w:r>
          </w:p>
        </w:tc>
      </w:tr>
      <w:tr w:rsidR="006C57FC" w:rsidRPr="006C57FC" w14:paraId="72863DCE" w14:textId="77777777" w:rsidTr="006C57FC">
        <w:trPr>
          <w:trHeight w:val="300"/>
        </w:trPr>
        <w:tc>
          <w:tcPr>
            <w:tcW w:w="0" w:type="auto"/>
            <w:tcBorders>
              <w:top w:val="nil"/>
              <w:left w:val="nil"/>
              <w:bottom w:val="nil"/>
              <w:right w:val="nil"/>
            </w:tcBorders>
            <w:shd w:val="clear" w:color="000000" w:fill="000099"/>
            <w:noWrap/>
            <w:vAlign w:val="center"/>
            <w:hideMark/>
          </w:tcPr>
          <w:p w14:paraId="2C4EE090" w14:textId="77777777" w:rsidR="006C57FC" w:rsidRPr="006C57FC" w:rsidRDefault="006C57FC" w:rsidP="006C57FC">
            <w:pPr>
              <w:spacing w:line="240" w:lineRule="auto"/>
              <w:jc w:val="left"/>
              <w:rPr>
                <w:rFonts w:eastAsia="Times New Roman" w:cs="Calibri"/>
                <w:b/>
                <w:bCs/>
                <w:color w:val="FFFFFF"/>
                <w:szCs w:val="20"/>
                <w:lang w:eastAsia="en-GB"/>
              </w:rPr>
            </w:pPr>
            <w:r w:rsidRPr="006C57FC">
              <w:rPr>
                <w:rFonts w:eastAsia="Times New Roman" w:cs="Calibri"/>
                <w:b/>
                <w:bCs/>
                <w:color w:val="FFFFFF"/>
                <w:szCs w:val="20"/>
                <w:lang w:eastAsia="en-GB"/>
              </w:rPr>
              <w:t> </w:t>
            </w:r>
          </w:p>
        </w:tc>
        <w:tc>
          <w:tcPr>
            <w:tcW w:w="0" w:type="auto"/>
            <w:tcBorders>
              <w:top w:val="nil"/>
              <w:left w:val="nil"/>
              <w:bottom w:val="nil"/>
              <w:right w:val="nil"/>
            </w:tcBorders>
            <w:shd w:val="clear" w:color="000000" w:fill="000099"/>
            <w:noWrap/>
            <w:vAlign w:val="center"/>
            <w:hideMark/>
          </w:tcPr>
          <w:p w14:paraId="6909CD40"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£000</w:t>
            </w:r>
          </w:p>
        </w:tc>
        <w:tc>
          <w:tcPr>
            <w:tcW w:w="0" w:type="auto"/>
            <w:tcBorders>
              <w:top w:val="nil"/>
              <w:left w:val="nil"/>
              <w:bottom w:val="nil"/>
              <w:right w:val="nil"/>
            </w:tcBorders>
            <w:shd w:val="clear" w:color="000000" w:fill="000099"/>
            <w:noWrap/>
            <w:vAlign w:val="center"/>
            <w:hideMark/>
          </w:tcPr>
          <w:p w14:paraId="38140164" w14:textId="77777777" w:rsidR="006C57FC" w:rsidRPr="006C57FC" w:rsidRDefault="006C57FC" w:rsidP="006C57FC">
            <w:pPr>
              <w:spacing w:line="240" w:lineRule="auto"/>
              <w:jc w:val="center"/>
              <w:rPr>
                <w:rFonts w:eastAsia="Times New Roman" w:cs="Calibri"/>
                <w:b/>
                <w:bCs/>
                <w:color w:val="FFFFFF"/>
                <w:szCs w:val="20"/>
                <w:lang w:eastAsia="en-GB"/>
              </w:rPr>
            </w:pPr>
            <w:r w:rsidRPr="006C57FC">
              <w:rPr>
                <w:rFonts w:eastAsia="Times New Roman" w:cs="Calibri"/>
                <w:b/>
                <w:bCs/>
                <w:color w:val="FFFFFF"/>
                <w:szCs w:val="20"/>
                <w:lang w:eastAsia="en-GB"/>
              </w:rPr>
              <w:t>£000</w:t>
            </w:r>
          </w:p>
        </w:tc>
      </w:tr>
      <w:tr w:rsidR="006C57FC" w:rsidRPr="006C57FC" w14:paraId="4E91D833" w14:textId="77777777" w:rsidTr="00E4722E">
        <w:trPr>
          <w:trHeight w:val="289"/>
        </w:trPr>
        <w:tc>
          <w:tcPr>
            <w:tcW w:w="0" w:type="auto"/>
            <w:tcBorders>
              <w:top w:val="nil"/>
              <w:left w:val="nil"/>
              <w:bottom w:val="nil"/>
              <w:right w:val="nil"/>
            </w:tcBorders>
            <w:shd w:val="clear" w:color="000000" w:fill="FFFFFF"/>
            <w:noWrap/>
            <w:vAlign w:val="center"/>
            <w:hideMark/>
          </w:tcPr>
          <w:p w14:paraId="22FDF7EE" w14:textId="77777777" w:rsidR="006C57FC" w:rsidRPr="006C57FC" w:rsidRDefault="006C57FC" w:rsidP="006C57FC">
            <w:pPr>
              <w:spacing w:line="240" w:lineRule="auto"/>
              <w:jc w:val="left"/>
              <w:rPr>
                <w:rFonts w:eastAsia="Times New Roman" w:cs="Calibri"/>
                <w:b/>
                <w:bCs/>
                <w:color w:val="auto"/>
                <w:szCs w:val="20"/>
                <w:lang w:eastAsia="en-GB"/>
              </w:rPr>
            </w:pPr>
            <w:r w:rsidRPr="006C57FC">
              <w:rPr>
                <w:rFonts w:eastAsia="Times New Roman" w:cs="Calibri"/>
                <w:b/>
                <w:bCs/>
                <w:color w:val="auto"/>
                <w:szCs w:val="20"/>
                <w:lang w:eastAsia="en-GB"/>
              </w:rPr>
              <w:t>Pensions Asset 1st April</w:t>
            </w:r>
          </w:p>
        </w:tc>
        <w:tc>
          <w:tcPr>
            <w:tcW w:w="0" w:type="auto"/>
            <w:tcBorders>
              <w:top w:val="nil"/>
              <w:left w:val="single" w:sz="4" w:space="0" w:color="auto"/>
              <w:bottom w:val="nil"/>
              <w:right w:val="nil"/>
            </w:tcBorders>
            <w:shd w:val="clear" w:color="000000" w:fill="FFFFFF"/>
            <w:vAlign w:val="center"/>
            <w:hideMark/>
          </w:tcPr>
          <w:p w14:paraId="041D351D"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212,737</w:t>
            </w:r>
          </w:p>
        </w:tc>
        <w:tc>
          <w:tcPr>
            <w:tcW w:w="0" w:type="auto"/>
            <w:tcBorders>
              <w:top w:val="nil"/>
              <w:left w:val="nil"/>
              <w:bottom w:val="nil"/>
              <w:right w:val="nil"/>
            </w:tcBorders>
            <w:shd w:val="clear" w:color="000000" w:fill="CCECFF"/>
            <w:vAlign w:val="center"/>
            <w:hideMark/>
          </w:tcPr>
          <w:p w14:paraId="6F8B503B"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206,488</w:t>
            </w:r>
          </w:p>
        </w:tc>
      </w:tr>
      <w:tr w:rsidR="006C57FC" w:rsidRPr="006C57FC" w14:paraId="356401F6" w14:textId="77777777" w:rsidTr="00E4722E">
        <w:trPr>
          <w:trHeight w:val="289"/>
        </w:trPr>
        <w:tc>
          <w:tcPr>
            <w:tcW w:w="0" w:type="auto"/>
            <w:tcBorders>
              <w:top w:val="nil"/>
              <w:left w:val="nil"/>
              <w:bottom w:val="nil"/>
              <w:right w:val="nil"/>
            </w:tcBorders>
            <w:shd w:val="clear" w:color="000000" w:fill="FFFFFF"/>
            <w:noWrap/>
            <w:vAlign w:val="center"/>
            <w:hideMark/>
          </w:tcPr>
          <w:p w14:paraId="4C20049A"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Expected Return on Assets</w:t>
            </w:r>
          </w:p>
        </w:tc>
        <w:tc>
          <w:tcPr>
            <w:tcW w:w="0" w:type="auto"/>
            <w:tcBorders>
              <w:top w:val="nil"/>
              <w:left w:val="single" w:sz="4" w:space="0" w:color="auto"/>
              <w:bottom w:val="nil"/>
              <w:right w:val="nil"/>
            </w:tcBorders>
            <w:shd w:val="clear" w:color="000000" w:fill="FFFFFF"/>
            <w:vAlign w:val="center"/>
            <w:hideMark/>
          </w:tcPr>
          <w:p w14:paraId="035D6D41"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5,894</w:t>
            </w:r>
          </w:p>
        </w:tc>
        <w:tc>
          <w:tcPr>
            <w:tcW w:w="0" w:type="auto"/>
            <w:tcBorders>
              <w:top w:val="nil"/>
              <w:left w:val="nil"/>
              <w:bottom w:val="nil"/>
              <w:right w:val="nil"/>
            </w:tcBorders>
            <w:shd w:val="clear" w:color="000000" w:fill="CCECFF"/>
            <w:vAlign w:val="center"/>
            <w:hideMark/>
          </w:tcPr>
          <w:p w14:paraId="3234F9E8"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9,888</w:t>
            </w:r>
          </w:p>
        </w:tc>
      </w:tr>
      <w:tr w:rsidR="006C57FC" w:rsidRPr="006C57FC" w14:paraId="6838BC81" w14:textId="77777777" w:rsidTr="00E4722E">
        <w:trPr>
          <w:trHeight w:val="289"/>
        </w:trPr>
        <w:tc>
          <w:tcPr>
            <w:tcW w:w="0" w:type="auto"/>
            <w:tcBorders>
              <w:top w:val="nil"/>
              <w:left w:val="nil"/>
              <w:bottom w:val="nil"/>
              <w:right w:val="nil"/>
            </w:tcBorders>
            <w:shd w:val="clear" w:color="000000" w:fill="FFFFFF"/>
            <w:noWrap/>
            <w:vAlign w:val="center"/>
            <w:hideMark/>
          </w:tcPr>
          <w:p w14:paraId="58AC1B8C"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Contributions by Members</w:t>
            </w:r>
          </w:p>
        </w:tc>
        <w:tc>
          <w:tcPr>
            <w:tcW w:w="0" w:type="auto"/>
            <w:tcBorders>
              <w:top w:val="nil"/>
              <w:left w:val="single" w:sz="4" w:space="0" w:color="auto"/>
              <w:bottom w:val="nil"/>
              <w:right w:val="nil"/>
            </w:tcBorders>
            <w:shd w:val="clear" w:color="000000" w:fill="FFFFFF"/>
            <w:vAlign w:val="center"/>
            <w:hideMark/>
          </w:tcPr>
          <w:p w14:paraId="5DA9BA40"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2,034</w:t>
            </w:r>
          </w:p>
        </w:tc>
        <w:tc>
          <w:tcPr>
            <w:tcW w:w="0" w:type="auto"/>
            <w:tcBorders>
              <w:top w:val="nil"/>
              <w:left w:val="nil"/>
              <w:bottom w:val="nil"/>
              <w:right w:val="nil"/>
            </w:tcBorders>
            <w:shd w:val="clear" w:color="000000" w:fill="CCECFF"/>
            <w:vAlign w:val="center"/>
            <w:hideMark/>
          </w:tcPr>
          <w:p w14:paraId="535B14C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2,308</w:t>
            </w:r>
          </w:p>
        </w:tc>
      </w:tr>
      <w:tr w:rsidR="006C57FC" w:rsidRPr="006C57FC" w14:paraId="0DCA6339" w14:textId="77777777" w:rsidTr="00E4722E">
        <w:trPr>
          <w:trHeight w:val="289"/>
        </w:trPr>
        <w:tc>
          <w:tcPr>
            <w:tcW w:w="0" w:type="auto"/>
            <w:tcBorders>
              <w:top w:val="nil"/>
              <w:left w:val="nil"/>
              <w:bottom w:val="nil"/>
              <w:right w:val="nil"/>
            </w:tcBorders>
            <w:shd w:val="clear" w:color="000000" w:fill="FFFFFF"/>
            <w:vAlign w:val="center"/>
            <w:hideMark/>
          </w:tcPr>
          <w:p w14:paraId="63A49321"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Employers Contributions (Inc Injuries) - excluding Top-Up Grant</w:t>
            </w:r>
          </w:p>
        </w:tc>
        <w:tc>
          <w:tcPr>
            <w:tcW w:w="0" w:type="auto"/>
            <w:tcBorders>
              <w:top w:val="nil"/>
              <w:left w:val="single" w:sz="4" w:space="0" w:color="auto"/>
              <w:bottom w:val="nil"/>
              <w:right w:val="nil"/>
            </w:tcBorders>
            <w:shd w:val="clear" w:color="000000" w:fill="FFFFFF"/>
            <w:vAlign w:val="center"/>
            <w:hideMark/>
          </w:tcPr>
          <w:p w14:paraId="3BAD32E7"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6,349</w:t>
            </w:r>
          </w:p>
        </w:tc>
        <w:tc>
          <w:tcPr>
            <w:tcW w:w="0" w:type="auto"/>
            <w:tcBorders>
              <w:top w:val="nil"/>
              <w:left w:val="nil"/>
              <w:bottom w:val="nil"/>
              <w:right w:val="nil"/>
            </w:tcBorders>
            <w:shd w:val="clear" w:color="000000" w:fill="CCECFF"/>
            <w:vAlign w:val="center"/>
            <w:hideMark/>
          </w:tcPr>
          <w:p w14:paraId="7E86A08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7,062</w:t>
            </w:r>
          </w:p>
        </w:tc>
      </w:tr>
      <w:tr w:rsidR="006C57FC" w:rsidRPr="006C57FC" w14:paraId="12DA9F83" w14:textId="77777777" w:rsidTr="00E4722E">
        <w:trPr>
          <w:trHeight w:val="289"/>
        </w:trPr>
        <w:tc>
          <w:tcPr>
            <w:tcW w:w="0" w:type="auto"/>
            <w:tcBorders>
              <w:top w:val="nil"/>
              <w:left w:val="nil"/>
              <w:bottom w:val="nil"/>
              <w:right w:val="nil"/>
            </w:tcBorders>
            <w:shd w:val="clear" w:color="000000" w:fill="FFFFFF"/>
            <w:vAlign w:val="center"/>
            <w:hideMark/>
          </w:tcPr>
          <w:p w14:paraId="284D2A18"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Pension Fund Asset Split (Group to Single Entity)</w:t>
            </w:r>
          </w:p>
        </w:tc>
        <w:tc>
          <w:tcPr>
            <w:tcW w:w="0" w:type="auto"/>
            <w:tcBorders>
              <w:top w:val="nil"/>
              <w:left w:val="single" w:sz="4" w:space="0" w:color="auto"/>
              <w:bottom w:val="nil"/>
              <w:right w:val="nil"/>
            </w:tcBorders>
            <w:shd w:val="clear" w:color="000000" w:fill="FFFFFF"/>
            <w:vAlign w:val="center"/>
            <w:hideMark/>
          </w:tcPr>
          <w:p w14:paraId="3354B0E3"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c>
          <w:tcPr>
            <w:tcW w:w="0" w:type="auto"/>
            <w:tcBorders>
              <w:top w:val="nil"/>
              <w:left w:val="nil"/>
              <w:bottom w:val="nil"/>
              <w:right w:val="nil"/>
            </w:tcBorders>
            <w:shd w:val="clear" w:color="000000" w:fill="CCECFF"/>
            <w:vAlign w:val="center"/>
            <w:hideMark/>
          </w:tcPr>
          <w:p w14:paraId="5312C9F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r>
      <w:tr w:rsidR="006C57FC" w:rsidRPr="006C57FC" w14:paraId="351F12A5" w14:textId="77777777" w:rsidTr="00E4722E">
        <w:trPr>
          <w:trHeight w:val="289"/>
        </w:trPr>
        <w:tc>
          <w:tcPr>
            <w:tcW w:w="0" w:type="auto"/>
            <w:tcBorders>
              <w:top w:val="nil"/>
              <w:left w:val="nil"/>
              <w:bottom w:val="nil"/>
              <w:right w:val="nil"/>
            </w:tcBorders>
            <w:shd w:val="clear" w:color="000000" w:fill="FFFFFF"/>
            <w:vAlign w:val="center"/>
            <w:hideMark/>
          </w:tcPr>
          <w:p w14:paraId="68262075"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Contributions in Respect of Unfunded Benefits</w:t>
            </w:r>
          </w:p>
        </w:tc>
        <w:tc>
          <w:tcPr>
            <w:tcW w:w="0" w:type="auto"/>
            <w:tcBorders>
              <w:top w:val="nil"/>
              <w:left w:val="single" w:sz="4" w:space="0" w:color="auto"/>
              <w:bottom w:val="nil"/>
              <w:right w:val="nil"/>
            </w:tcBorders>
            <w:shd w:val="clear" w:color="000000" w:fill="FFFFFF"/>
            <w:noWrap/>
            <w:vAlign w:val="center"/>
            <w:hideMark/>
          </w:tcPr>
          <w:p w14:paraId="19B8075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c>
          <w:tcPr>
            <w:tcW w:w="0" w:type="auto"/>
            <w:tcBorders>
              <w:top w:val="nil"/>
              <w:left w:val="nil"/>
              <w:bottom w:val="nil"/>
              <w:right w:val="nil"/>
            </w:tcBorders>
            <w:shd w:val="clear" w:color="000000" w:fill="CCECFF"/>
            <w:noWrap/>
            <w:vAlign w:val="center"/>
            <w:hideMark/>
          </w:tcPr>
          <w:p w14:paraId="43FF52FA"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r>
      <w:tr w:rsidR="006C57FC" w:rsidRPr="006C57FC" w14:paraId="3ED90D30" w14:textId="77777777" w:rsidTr="00E4722E">
        <w:trPr>
          <w:trHeight w:val="289"/>
        </w:trPr>
        <w:tc>
          <w:tcPr>
            <w:tcW w:w="0" w:type="auto"/>
            <w:tcBorders>
              <w:top w:val="nil"/>
              <w:left w:val="nil"/>
              <w:bottom w:val="nil"/>
              <w:right w:val="nil"/>
            </w:tcBorders>
            <w:shd w:val="clear" w:color="000000" w:fill="FFFFFF"/>
            <w:noWrap/>
            <w:vAlign w:val="center"/>
            <w:hideMark/>
          </w:tcPr>
          <w:p w14:paraId="041B04E9"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Actuarial Gains</w:t>
            </w:r>
          </w:p>
        </w:tc>
        <w:tc>
          <w:tcPr>
            <w:tcW w:w="0" w:type="auto"/>
            <w:tcBorders>
              <w:top w:val="nil"/>
              <w:left w:val="single" w:sz="4" w:space="0" w:color="auto"/>
              <w:bottom w:val="nil"/>
              <w:right w:val="nil"/>
            </w:tcBorders>
            <w:shd w:val="clear" w:color="000000" w:fill="FFFFFF"/>
            <w:noWrap/>
            <w:vAlign w:val="center"/>
            <w:hideMark/>
          </w:tcPr>
          <w:p w14:paraId="1B97FE44"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(15,612)</w:t>
            </w:r>
          </w:p>
        </w:tc>
        <w:tc>
          <w:tcPr>
            <w:tcW w:w="0" w:type="auto"/>
            <w:tcBorders>
              <w:top w:val="nil"/>
              <w:left w:val="nil"/>
              <w:bottom w:val="nil"/>
              <w:right w:val="nil"/>
            </w:tcBorders>
            <w:shd w:val="clear" w:color="000000" w:fill="CCECFF"/>
            <w:noWrap/>
            <w:vAlign w:val="center"/>
            <w:hideMark/>
          </w:tcPr>
          <w:p w14:paraId="3102433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11,414</w:t>
            </w:r>
          </w:p>
        </w:tc>
      </w:tr>
      <w:tr w:rsidR="006C57FC" w:rsidRPr="006C57FC" w14:paraId="22061458" w14:textId="77777777" w:rsidTr="00E4722E">
        <w:trPr>
          <w:trHeight w:val="289"/>
        </w:trPr>
        <w:tc>
          <w:tcPr>
            <w:tcW w:w="0" w:type="auto"/>
            <w:tcBorders>
              <w:top w:val="nil"/>
              <w:left w:val="nil"/>
              <w:bottom w:val="nil"/>
              <w:right w:val="nil"/>
            </w:tcBorders>
            <w:shd w:val="clear" w:color="000000" w:fill="FFFFFF"/>
            <w:noWrap/>
            <w:vAlign w:val="center"/>
            <w:hideMark/>
          </w:tcPr>
          <w:p w14:paraId="27DBC879"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Estimated Unfunded Benefits paid</w:t>
            </w:r>
          </w:p>
        </w:tc>
        <w:tc>
          <w:tcPr>
            <w:tcW w:w="0" w:type="auto"/>
            <w:tcBorders>
              <w:top w:val="nil"/>
              <w:left w:val="single" w:sz="4" w:space="0" w:color="auto"/>
              <w:bottom w:val="nil"/>
              <w:right w:val="nil"/>
            </w:tcBorders>
            <w:shd w:val="clear" w:color="000000" w:fill="FFFFFF"/>
            <w:noWrap/>
            <w:vAlign w:val="center"/>
            <w:hideMark/>
          </w:tcPr>
          <w:p w14:paraId="35A6A239"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c>
          <w:tcPr>
            <w:tcW w:w="0" w:type="auto"/>
            <w:tcBorders>
              <w:top w:val="nil"/>
              <w:left w:val="nil"/>
              <w:bottom w:val="nil"/>
              <w:right w:val="nil"/>
            </w:tcBorders>
            <w:shd w:val="clear" w:color="000000" w:fill="CCECFF"/>
            <w:noWrap/>
            <w:vAlign w:val="center"/>
            <w:hideMark/>
          </w:tcPr>
          <w:p w14:paraId="54AA3D7F"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3</w:t>
            </w:r>
          </w:p>
        </w:tc>
      </w:tr>
      <w:tr w:rsidR="006C57FC" w:rsidRPr="006C57FC" w14:paraId="5E7703FF" w14:textId="77777777" w:rsidTr="00E4722E">
        <w:trPr>
          <w:trHeight w:val="289"/>
        </w:trPr>
        <w:tc>
          <w:tcPr>
            <w:tcW w:w="0" w:type="auto"/>
            <w:tcBorders>
              <w:top w:val="nil"/>
              <w:left w:val="nil"/>
              <w:bottom w:val="nil"/>
              <w:right w:val="nil"/>
            </w:tcBorders>
            <w:shd w:val="clear" w:color="000000" w:fill="FFFFFF"/>
            <w:noWrap/>
            <w:vAlign w:val="center"/>
            <w:hideMark/>
          </w:tcPr>
          <w:p w14:paraId="5E473A53"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Estimated Benefits Paid</w:t>
            </w:r>
          </w:p>
        </w:tc>
        <w:tc>
          <w:tcPr>
            <w:tcW w:w="0" w:type="auto"/>
            <w:tcBorders>
              <w:top w:val="nil"/>
              <w:left w:val="single" w:sz="4" w:space="0" w:color="auto"/>
              <w:bottom w:val="nil"/>
              <w:right w:val="nil"/>
            </w:tcBorders>
            <w:shd w:val="clear" w:color="000000" w:fill="FFFFFF"/>
            <w:noWrap/>
            <w:vAlign w:val="center"/>
            <w:hideMark/>
          </w:tcPr>
          <w:p w14:paraId="6D95717E"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(4,914)</w:t>
            </w:r>
          </w:p>
        </w:tc>
        <w:tc>
          <w:tcPr>
            <w:tcW w:w="0" w:type="auto"/>
            <w:tcBorders>
              <w:top w:val="nil"/>
              <w:left w:val="nil"/>
              <w:bottom w:val="nil"/>
              <w:right w:val="nil"/>
            </w:tcBorders>
            <w:shd w:val="clear" w:color="000000" w:fill="CCECFF"/>
            <w:noWrap/>
            <w:vAlign w:val="center"/>
            <w:hideMark/>
          </w:tcPr>
          <w:p w14:paraId="192FEBD5"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(5,958)</w:t>
            </w:r>
          </w:p>
        </w:tc>
      </w:tr>
      <w:tr w:rsidR="006C57FC" w:rsidRPr="006C57FC" w14:paraId="7001A7BF" w14:textId="77777777" w:rsidTr="00E4722E">
        <w:trPr>
          <w:trHeight w:val="289"/>
        </w:trPr>
        <w:tc>
          <w:tcPr>
            <w:tcW w:w="0" w:type="auto"/>
            <w:tcBorders>
              <w:top w:val="nil"/>
              <w:left w:val="nil"/>
              <w:bottom w:val="nil"/>
              <w:right w:val="nil"/>
            </w:tcBorders>
            <w:shd w:val="clear" w:color="000000" w:fill="FFFFFF"/>
            <w:noWrap/>
            <w:vAlign w:val="center"/>
            <w:hideMark/>
          </w:tcPr>
          <w:p w14:paraId="16E141A1" w14:textId="77777777" w:rsidR="006C57FC" w:rsidRPr="006C57FC" w:rsidRDefault="006C57FC" w:rsidP="006C57FC">
            <w:pPr>
              <w:spacing w:line="240" w:lineRule="auto"/>
              <w:jc w:val="left"/>
              <w:rPr>
                <w:rFonts w:eastAsia="Times New Roman" w:cs="Calibri"/>
                <w:color w:val="auto"/>
                <w:szCs w:val="20"/>
                <w:lang w:eastAsia="en-GB"/>
              </w:rPr>
            </w:pPr>
            <w:r w:rsidRPr="006C57FC">
              <w:rPr>
                <w:rFonts w:eastAsia="Times New Roman" w:cs="Calibri"/>
                <w:color w:val="auto"/>
                <w:szCs w:val="20"/>
                <w:lang w:eastAsia="en-GB"/>
              </w:rPr>
              <w:t>Effect of business combinations and disposals</w:t>
            </w:r>
          </w:p>
        </w:tc>
        <w:tc>
          <w:tcPr>
            <w:tcW w:w="0" w:type="auto"/>
            <w:tcBorders>
              <w:top w:val="nil"/>
              <w:left w:val="single" w:sz="4" w:space="0" w:color="auto"/>
              <w:bottom w:val="nil"/>
              <w:right w:val="nil"/>
            </w:tcBorders>
            <w:shd w:val="clear" w:color="000000" w:fill="FFFFFF"/>
            <w:noWrap/>
            <w:vAlign w:val="center"/>
            <w:hideMark/>
          </w:tcPr>
          <w:p w14:paraId="5A9F77DB"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c>
          <w:tcPr>
            <w:tcW w:w="0" w:type="auto"/>
            <w:tcBorders>
              <w:top w:val="nil"/>
              <w:left w:val="nil"/>
              <w:bottom w:val="nil"/>
              <w:right w:val="nil"/>
            </w:tcBorders>
            <w:shd w:val="clear" w:color="000000" w:fill="CCECFF"/>
            <w:noWrap/>
            <w:vAlign w:val="center"/>
            <w:hideMark/>
          </w:tcPr>
          <w:p w14:paraId="32C5F981" w14:textId="77777777" w:rsidR="006C57FC" w:rsidRPr="006C57FC" w:rsidRDefault="006C57FC" w:rsidP="006C57FC">
            <w:pPr>
              <w:spacing w:line="240" w:lineRule="auto"/>
              <w:jc w:val="right"/>
              <w:rPr>
                <w:rFonts w:eastAsia="Times New Roman" w:cs="Calibri"/>
                <w:color w:val="auto"/>
                <w:szCs w:val="20"/>
                <w:lang w:eastAsia="en-GB"/>
              </w:rPr>
            </w:pPr>
            <w:r w:rsidRPr="006C57FC">
              <w:rPr>
                <w:rFonts w:eastAsia="Times New Roman" w:cs="Calibri"/>
                <w:color w:val="auto"/>
                <w:szCs w:val="20"/>
                <w:lang w:eastAsia="en-GB"/>
              </w:rPr>
              <w:t>-</w:t>
            </w:r>
          </w:p>
        </w:tc>
      </w:tr>
      <w:tr w:rsidR="004F5793" w:rsidRPr="006C57FC" w14:paraId="6EAFE091" w14:textId="77777777" w:rsidTr="00E4722E">
        <w:trPr>
          <w:trHeight w:val="289"/>
        </w:trPr>
        <w:tc>
          <w:tcPr>
            <w:tcW w:w="0" w:type="auto"/>
            <w:tcBorders>
              <w:top w:val="nil"/>
              <w:left w:val="nil"/>
              <w:bottom w:val="nil"/>
              <w:right w:val="nil"/>
            </w:tcBorders>
            <w:shd w:val="clear" w:color="000000" w:fill="FFFFFF"/>
            <w:noWrap/>
            <w:vAlign w:val="center"/>
          </w:tcPr>
          <w:p w14:paraId="38B51D92" w14:textId="7C9ABD92" w:rsidR="004F5793" w:rsidRPr="006C57FC" w:rsidRDefault="004F5793" w:rsidP="006C57FC">
            <w:pPr>
              <w:spacing w:line="240" w:lineRule="auto"/>
              <w:jc w:val="left"/>
              <w:rPr>
                <w:rFonts w:eastAsia="Times New Roman" w:cs="Calibri"/>
                <w:color w:val="auto"/>
                <w:szCs w:val="20"/>
                <w:lang w:eastAsia="en-GB"/>
              </w:rPr>
            </w:pPr>
            <w:r>
              <w:rPr>
                <w:rFonts w:eastAsia="Times New Roman" w:cs="Calibri"/>
                <w:color w:val="auto"/>
                <w:szCs w:val="20"/>
                <w:lang w:eastAsia="en-GB"/>
              </w:rPr>
              <w:t>Effect of Asset Ceiling Calculations</w:t>
            </w:r>
          </w:p>
        </w:tc>
        <w:tc>
          <w:tcPr>
            <w:tcW w:w="0" w:type="auto"/>
            <w:tcBorders>
              <w:top w:val="nil"/>
              <w:left w:val="single" w:sz="4" w:space="0" w:color="auto"/>
              <w:bottom w:val="nil"/>
              <w:right w:val="nil"/>
            </w:tcBorders>
            <w:shd w:val="clear" w:color="000000" w:fill="FFFFFF"/>
            <w:noWrap/>
            <w:vAlign w:val="center"/>
          </w:tcPr>
          <w:p w14:paraId="173C4A06" w14:textId="5767958E" w:rsidR="004F5793" w:rsidRPr="006C57FC" w:rsidRDefault="004F5793" w:rsidP="006C57FC">
            <w:pPr>
              <w:spacing w:line="240" w:lineRule="auto"/>
              <w:jc w:val="right"/>
              <w:rPr>
                <w:rFonts w:eastAsia="Times New Roman" w:cs="Calibri"/>
                <w:color w:val="auto"/>
                <w:szCs w:val="20"/>
                <w:lang w:eastAsia="en-GB"/>
              </w:rPr>
            </w:pPr>
            <w:r>
              <w:rPr>
                <w:rFonts w:eastAsia="Times New Roman" w:cs="Calibri"/>
                <w:color w:val="auto"/>
                <w:szCs w:val="20"/>
                <w:lang w:eastAsia="en-GB"/>
              </w:rPr>
              <w:t>-</w:t>
            </w:r>
          </w:p>
        </w:tc>
        <w:tc>
          <w:tcPr>
            <w:tcW w:w="0" w:type="auto"/>
            <w:tcBorders>
              <w:top w:val="nil"/>
              <w:left w:val="nil"/>
              <w:bottom w:val="nil"/>
              <w:right w:val="nil"/>
            </w:tcBorders>
            <w:shd w:val="clear" w:color="000000" w:fill="CCECFF"/>
            <w:noWrap/>
            <w:vAlign w:val="center"/>
          </w:tcPr>
          <w:p w14:paraId="7EF095CD" w14:textId="0FF4D42C" w:rsidR="004F5793" w:rsidRPr="006C57FC" w:rsidRDefault="004F5793" w:rsidP="006C57FC">
            <w:pPr>
              <w:spacing w:line="240" w:lineRule="auto"/>
              <w:jc w:val="right"/>
              <w:rPr>
                <w:rFonts w:eastAsia="Times New Roman" w:cs="Calibri"/>
                <w:color w:val="auto"/>
                <w:szCs w:val="20"/>
                <w:lang w:eastAsia="en-GB"/>
              </w:rPr>
            </w:pPr>
            <w:r>
              <w:rPr>
                <w:rFonts w:eastAsia="Times New Roman" w:cs="Calibri"/>
                <w:color w:val="auto"/>
                <w:szCs w:val="20"/>
                <w:lang w:eastAsia="en-GB"/>
              </w:rPr>
              <w:t>(21,495)</w:t>
            </w:r>
          </w:p>
        </w:tc>
      </w:tr>
      <w:tr w:rsidR="006C57FC" w:rsidRPr="006C57FC" w14:paraId="50F5CE93" w14:textId="77777777" w:rsidTr="00E4722E">
        <w:trPr>
          <w:trHeight w:val="289"/>
        </w:trPr>
        <w:tc>
          <w:tcPr>
            <w:tcW w:w="0" w:type="auto"/>
            <w:tcBorders>
              <w:top w:val="single" w:sz="4" w:space="0" w:color="auto"/>
              <w:left w:val="nil"/>
              <w:bottom w:val="single" w:sz="4" w:space="0" w:color="auto"/>
              <w:right w:val="nil"/>
            </w:tcBorders>
            <w:shd w:val="clear" w:color="000000" w:fill="FFFFFF"/>
            <w:noWrap/>
            <w:vAlign w:val="center"/>
            <w:hideMark/>
          </w:tcPr>
          <w:p w14:paraId="0A8D3B15" w14:textId="77777777" w:rsidR="006C57FC" w:rsidRPr="006C57FC" w:rsidRDefault="006C57FC" w:rsidP="006C57FC">
            <w:pPr>
              <w:spacing w:line="240" w:lineRule="auto"/>
              <w:jc w:val="left"/>
              <w:rPr>
                <w:rFonts w:eastAsia="Times New Roman" w:cs="Calibri"/>
                <w:b/>
                <w:bCs/>
                <w:color w:val="auto"/>
                <w:szCs w:val="20"/>
                <w:lang w:eastAsia="en-GB"/>
              </w:rPr>
            </w:pPr>
            <w:r w:rsidRPr="006C57FC">
              <w:rPr>
                <w:rFonts w:eastAsia="Times New Roman" w:cs="Calibri"/>
                <w:b/>
                <w:bCs/>
                <w:color w:val="auto"/>
                <w:szCs w:val="20"/>
                <w:lang w:eastAsia="en-GB"/>
              </w:rPr>
              <w:t>Fair Value of Pensions Asset 31st March</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67204F4C" w14:textId="77777777"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206,488</w:t>
            </w:r>
          </w:p>
        </w:tc>
        <w:tc>
          <w:tcPr>
            <w:tcW w:w="0" w:type="auto"/>
            <w:tcBorders>
              <w:top w:val="single" w:sz="4" w:space="0" w:color="auto"/>
              <w:left w:val="nil"/>
              <w:bottom w:val="single" w:sz="4" w:space="0" w:color="auto"/>
              <w:right w:val="nil"/>
            </w:tcBorders>
            <w:shd w:val="clear" w:color="000000" w:fill="CCECFF"/>
            <w:vAlign w:val="center"/>
            <w:hideMark/>
          </w:tcPr>
          <w:p w14:paraId="5D8EF910" w14:textId="656D2448" w:rsidR="006C57FC" w:rsidRPr="006C57FC" w:rsidRDefault="006C57FC" w:rsidP="006C57FC">
            <w:pPr>
              <w:spacing w:line="240" w:lineRule="auto"/>
              <w:jc w:val="right"/>
              <w:rPr>
                <w:rFonts w:eastAsia="Times New Roman" w:cs="Calibri"/>
                <w:b/>
                <w:bCs/>
                <w:color w:val="auto"/>
                <w:szCs w:val="20"/>
                <w:lang w:eastAsia="en-GB"/>
              </w:rPr>
            </w:pPr>
            <w:r w:rsidRPr="006C57FC">
              <w:rPr>
                <w:rFonts w:eastAsia="Times New Roman" w:cs="Calibri"/>
                <w:b/>
                <w:bCs/>
                <w:color w:val="auto"/>
                <w:szCs w:val="20"/>
                <w:lang w:eastAsia="en-GB"/>
              </w:rPr>
              <w:t>2</w:t>
            </w:r>
            <w:r w:rsidR="004F5793">
              <w:rPr>
                <w:rFonts w:eastAsia="Times New Roman" w:cs="Calibri"/>
                <w:b/>
                <w:bCs/>
                <w:color w:val="auto"/>
                <w:szCs w:val="20"/>
                <w:lang w:eastAsia="en-GB"/>
              </w:rPr>
              <w:t>09</w:t>
            </w:r>
            <w:r w:rsidRPr="006C57FC">
              <w:rPr>
                <w:rFonts w:eastAsia="Times New Roman" w:cs="Calibri"/>
                <w:b/>
                <w:bCs/>
                <w:color w:val="auto"/>
                <w:szCs w:val="20"/>
                <w:lang w:eastAsia="en-GB"/>
              </w:rPr>
              <w:t>,</w:t>
            </w:r>
            <w:r w:rsidR="004F5793">
              <w:rPr>
                <w:rFonts w:eastAsia="Times New Roman" w:cs="Calibri"/>
                <w:b/>
                <w:bCs/>
                <w:color w:val="auto"/>
                <w:szCs w:val="20"/>
                <w:lang w:eastAsia="en-GB"/>
              </w:rPr>
              <w:t>707</w:t>
            </w:r>
          </w:p>
        </w:tc>
      </w:tr>
    </w:tbl>
    <w:p w14:paraId="71EB7300" w14:textId="77777777" w:rsidR="001E665B" w:rsidRPr="00EC546C" w:rsidRDefault="001E665B" w:rsidP="00354E03"/>
    <w:p w14:paraId="5D2FE0FD" w14:textId="2947C8C9" w:rsidR="003C09E9" w:rsidRPr="00C03332" w:rsidRDefault="003C09E9" w:rsidP="003C09E9">
      <w:pPr>
        <w:rPr>
          <w:rFonts w:cs="Times New Roman"/>
          <w:szCs w:val="18"/>
          <w:highlight w:val="yellow"/>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 xml:space="preserve">Expected returns on equity investments reflect long-term real rates of return experienced in the respective markets. </w:t>
      </w:r>
      <w:r>
        <w:rPr>
          <w:rFonts w:cs="Times New Roman"/>
          <w:szCs w:val="18"/>
        </w:rPr>
        <w:t xml:space="preserve"> </w:t>
      </w:r>
      <w:r w:rsidRPr="00673492">
        <w:rPr>
          <w:rFonts w:cs="Times New Roman"/>
          <w:szCs w:val="18"/>
        </w:rPr>
        <w:t xml:space="preserve">The estimated return on scheme assets in the year was </w:t>
      </w:r>
      <w:r w:rsidR="002E108A" w:rsidRPr="002E108A">
        <w:rPr>
          <w:rFonts w:cs="Times New Roman"/>
          <w:szCs w:val="18"/>
        </w:rPr>
        <w:t>£</w:t>
      </w:r>
      <w:r w:rsidR="00DF7EA7">
        <w:rPr>
          <w:rFonts w:cs="Times New Roman"/>
          <w:szCs w:val="18"/>
        </w:rPr>
        <w:t>9</w:t>
      </w:r>
      <w:r w:rsidR="002E108A" w:rsidRPr="002E108A">
        <w:rPr>
          <w:rFonts w:cs="Times New Roman"/>
          <w:szCs w:val="18"/>
        </w:rPr>
        <w:t>,8</w:t>
      </w:r>
      <w:r w:rsidR="00DF7EA7">
        <w:rPr>
          <w:rFonts w:cs="Times New Roman"/>
          <w:szCs w:val="18"/>
        </w:rPr>
        <w:t>88</w:t>
      </w:r>
      <w:r w:rsidR="0043308A">
        <w:rPr>
          <w:rFonts w:cs="Times New Roman"/>
          <w:szCs w:val="18"/>
        </w:rPr>
        <w:t>k</w:t>
      </w:r>
      <w:r w:rsidRPr="002E108A">
        <w:rPr>
          <w:rFonts w:cs="Times New Roman"/>
          <w:szCs w:val="18"/>
        </w:rPr>
        <w:t xml:space="preserve"> (£</w:t>
      </w:r>
      <w:r w:rsidR="00DF7EA7">
        <w:rPr>
          <w:rFonts w:cs="Times New Roman"/>
          <w:szCs w:val="18"/>
        </w:rPr>
        <w:t>5,894</w:t>
      </w:r>
      <w:r w:rsidR="0043308A">
        <w:rPr>
          <w:rFonts w:cs="Times New Roman"/>
          <w:szCs w:val="18"/>
        </w:rPr>
        <w:t>k</w:t>
      </w:r>
      <w:r w:rsidRPr="002E108A">
        <w:rPr>
          <w:rFonts w:cs="Times New Roman"/>
          <w:szCs w:val="18"/>
        </w:rPr>
        <w:t xml:space="preserve"> in 20</w:t>
      </w:r>
      <w:r w:rsidR="00534D1C" w:rsidRPr="002E108A">
        <w:rPr>
          <w:rFonts w:cs="Times New Roman"/>
          <w:szCs w:val="18"/>
        </w:rPr>
        <w:t>2</w:t>
      </w:r>
      <w:r w:rsidR="00DF7EA7">
        <w:rPr>
          <w:rFonts w:cs="Times New Roman"/>
          <w:szCs w:val="18"/>
        </w:rPr>
        <w:t>2</w:t>
      </w:r>
      <w:r w:rsidRPr="002E108A">
        <w:rPr>
          <w:rFonts w:cs="Times New Roman"/>
          <w:szCs w:val="18"/>
        </w:rPr>
        <w:t>/</w:t>
      </w:r>
      <w:r w:rsidR="00534D1C" w:rsidRPr="002E108A">
        <w:rPr>
          <w:rFonts w:cs="Times New Roman"/>
          <w:szCs w:val="18"/>
        </w:rPr>
        <w:t>2</w:t>
      </w:r>
      <w:r w:rsidR="00DF7EA7">
        <w:rPr>
          <w:rFonts w:cs="Times New Roman"/>
          <w:szCs w:val="18"/>
        </w:rPr>
        <w:t>3</w:t>
      </w:r>
      <w:r w:rsidRPr="002E108A">
        <w:rPr>
          <w:rFonts w:cs="Times New Roman"/>
          <w:szCs w:val="18"/>
        </w:rPr>
        <w:t>).</w:t>
      </w:r>
    </w:p>
    <w:p w14:paraId="10D736B6" w14:textId="77777777" w:rsidR="003C09E9" w:rsidRPr="008F71D8" w:rsidRDefault="003C09E9" w:rsidP="003C09E9">
      <w:pPr>
        <w:rPr>
          <w:rFonts w:cs="Times New Roman"/>
          <w:szCs w:val="18"/>
          <w:highlight w:val="yellow"/>
        </w:rPr>
      </w:pPr>
    </w:p>
    <w:p w14:paraId="2B5A8DB4" w14:textId="7FD34868" w:rsidR="007C22F8" w:rsidRPr="00381BCB" w:rsidRDefault="007C22F8" w:rsidP="007C22F8">
      <w:r>
        <w:rPr>
          <w:rFonts w:asciiTheme="minorHAnsi" w:hAnsiTheme="minorHAnsi"/>
          <w:szCs w:val="18"/>
        </w:rPr>
        <w:t>The O</w:t>
      </w:r>
      <w:r w:rsidRPr="006859F5">
        <w:rPr>
          <w:rFonts w:asciiTheme="minorHAnsi" w:hAnsiTheme="minorHAnsi"/>
          <w:szCs w:val="18"/>
        </w:rPr>
        <w:t xml:space="preserve">CC’s </w:t>
      </w:r>
      <w:r w:rsidRPr="00D1610F">
        <w:rPr>
          <w:rFonts w:asciiTheme="minorHAnsi" w:hAnsiTheme="minorHAnsi"/>
          <w:szCs w:val="18"/>
        </w:rPr>
        <w:t>total pension liability of £1,</w:t>
      </w:r>
      <w:r w:rsidR="00D1610F" w:rsidRPr="00D1610F">
        <w:rPr>
          <w:rFonts w:asciiTheme="minorHAnsi" w:hAnsiTheme="minorHAnsi"/>
          <w:szCs w:val="18"/>
        </w:rPr>
        <w:t>0</w:t>
      </w:r>
      <w:r w:rsidR="00DF7EA7">
        <w:rPr>
          <w:rFonts w:asciiTheme="minorHAnsi" w:hAnsiTheme="minorHAnsi"/>
          <w:szCs w:val="18"/>
        </w:rPr>
        <w:t>55</w:t>
      </w:r>
      <w:r w:rsidR="00197378">
        <w:rPr>
          <w:rFonts w:asciiTheme="minorHAnsi" w:hAnsiTheme="minorHAnsi"/>
          <w:szCs w:val="18"/>
        </w:rPr>
        <w:t>m</w:t>
      </w:r>
      <w:r w:rsidRPr="00D1610F">
        <w:rPr>
          <w:rFonts w:asciiTheme="minorHAnsi" w:hAnsiTheme="minorHAnsi"/>
          <w:szCs w:val="18"/>
        </w:rPr>
        <w:t xml:space="preserve"> reconciles to the Unusable Reserves within the Balance Sheet of £1</w:t>
      </w:r>
      <w:r w:rsidR="00D1610F" w:rsidRPr="00D1610F">
        <w:rPr>
          <w:rFonts w:asciiTheme="minorHAnsi" w:hAnsiTheme="minorHAnsi"/>
          <w:szCs w:val="18"/>
        </w:rPr>
        <w:t>,0</w:t>
      </w:r>
      <w:r w:rsidR="00DF7EA7">
        <w:rPr>
          <w:rFonts w:asciiTheme="minorHAnsi" w:hAnsiTheme="minorHAnsi"/>
          <w:szCs w:val="18"/>
        </w:rPr>
        <w:t>57</w:t>
      </w:r>
      <w:r w:rsidR="00197378">
        <w:rPr>
          <w:rFonts w:asciiTheme="minorHAnsi" w:hAnsiTheme="minorHAnsi"/>
          <w:szCs w:val="18"/>
        </w:rPr>
        <w:t>m</w:t>
      </w:r>
      <w:r w:rsidRPr="00D1610F">
        <w:rPr>
          <w:rFonts w:asciiTheme="minorHAnsi" w:hAnsiTheme="minorHAnsi"/>
          <w:szCs w:val="18"/>
        </w:rPr>
        <w:t>, by adding back the figures within</w:t>
      </w:r>
      <w:r w:rsidRPr="006859F5">
        <w:rPr>
          <w:rFonts w:asciiTheme="minorHAnsi" w:hAnsiTheme="minorHAnsi"/>
          <w:szCs w:val="18"/>
        </w:rPr>
        <w:t xml:space="preserve"> the Movement in Reserves Statement of the Capital Adjustment Account, the Collection Fund Adjustment Account</w:t>
      </w:r>
      <w:r w:rsidR="00D1695B">
        <w:rPr>
          <w:rFonts w:asciiTheme="minorHAnsi" w:hAnsiTheme="minorHAnsi"/>
          <w:szCs w:val="18"/>
        </w:rPr>
        <w:t xml:space="preserve"> and</w:t>
      </w:r>
      <w:r w:rsidRPr="006859F5">
        <w:rPr>
          <w:rFonts w:asciiTheme="minorHAnsi" w:hAnsiTheme="minorHAnsi"/>
          <w:szCs w:val="18"/>
        </w:rPr>
        <w:t xml:space="preserve"> the Revaluation Reserve to the Unusable Reserves total and then subtracting the Employee Benefit Reserve (Note 17)</w:t>
      </w:r>
      <w:r w:rsidRPr="006859F5">
        <w:t>.</w:t>
      </w:r>
    </w:p>
    <w:p w14:paraId="544F96CE" w14:textId="77777777" w:rsidR="003C09E9" w:rsidRPr="00673492" w:rsidRDefault="003C09E9" w:rsidP="003C09E9">
      <w:pPr>
        <w:rPr>
          <w:rFonts w:asciiTheme="minorHAnsi" w:hAnsiTheme="minorHAnsi"/>
          <w:szCs w:val="18"/>
        </w:rPr>
      </w:pPr>
    </w:p>
    <w:p w14:paraId="0C592D16" w14:textId="1B1AC772" w:rsidR="003C09E9" w:rsidRDefault="003C09E9" w:rsidP="003C09E9">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D1695B">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6D621037" w14:textId="77777777" w:rsidR="00D1695B" w:rsidRDefault="00D1695B" w:rsidP="003C09E9">
      <w:pPr>
        <w:rPr>
          <w:rFonts w:asciiTheme="minorHAnsi" w:hAnsiTheme="minorHAnsi"/>
          <w:szCs w:val="18"/>
        </w:rPr>
      </w:pPr>
    </w:p>
    <w:p w14:paraId="6E1C41B3" w14:textId="77777777" w:rsidR="003C09E9" w:rsidRPr="00F81C44" w:rsidRDefault="003C09E9" w:rsidP="003C09E9">
      <w:pPr>
        <w:pStyle w:val="RedBullet"/>
        <w:rPr>
          <w:rFonts w:eastAsia="Calibri"/>
          <w:b/>
          <w:bCs/>
        </w:rPr>
      </w:pPr>
      <w:r w:rsidRPr="00673492">
        <w:rPr>
          <w:rFonts w:eastAsia="Calibri"/>
          <w:u w:val="single"/>
        </w:rPr>
        <w:t>Local Government Pension Scheme (LGPS)</w:t>
      </w:r>
    </w:p>
    <w:p w14:paraId="4D115B06" w14:textId="0C501B45" w:rsidR="003C09E9" w:rsidRDefault="003C09E9" w:rsidP="003C09E9">
      <w:pPr>
        <w:pStyle w:val="RedBullet"/>
        <w:numPr>
          <w:ilvl w:val="0"/>
          <w:numId w:val="0"/>
        </w:numPr>
        <w:ind w:left="714"/>
        <w:rPr>
          <w:rFonts w:eastAsia="Calibri"/>
        </w:rPr>
      </w:pPr>
      <w:bookmarkStart w:id="242" w:name="_Hlk167956581"/>
      <w:r w:rsidRPr="00673492">
        <w:rPr>
          <w:rFonts w:eastAsia="Calibri"/>
        </w:rPr>
        <w:t>The local government scheme</w:t>
      </w:r>
      <w:r w:rsidR="00DF7EA7">
        <w:rPr>
          <w:rFonts w:eastAsia="Calibri"/>
        </w:rPr>
        <w:t xml:space="preserve"> has an expected surplus as per the actuary report.  However, the OCC is not able to include this amount within the statement of accounts as the asset ceiling calculations work out that it will not be possible to realise any part of this surplus for the benefit of the OCC</w:t>
      </w:r>
      <w:r w:rsidR="00BF5D0D">
        <w:rPr>
          <w:rFonts w:eastAsia="Calibri"/>
        </w:rPr>
        <w:t>,</w:t>
      </w:r>
      <w:r w:rsidRPr="00673492">
        <w:rPr>
          <w:rFonts w:eastAsia="Calibri"/>
        </w:rPr>
        <w:t xml:space="preserve"> as a</w:t>
      </w:r>
      <w:r>
        <w:rPr>
          <w:rFonts w:eastAsia="Calibri"/>
        </w:rPr>
        <w:t>ssessed by the scheme actuary.</w:t>
      </w:r>
    </w:p>
    <w:bookmarkEnd w:id="242"/>
    <w:p w14:paraId="0936A425" w14:textId="77777777" w:rsidR="00323C68" w:rsidRPr="00673492" w:rsidRDefault="00323C68" w:rsidP="001E665B">
      <w:pPr>
        <w:pStyle w:val="RedBullet"/>
        <w:numPr>
          <w:ilvl w:val="0"/>
          <w:numId w:val="0"/>
        </w:numPr>
        <w:rPr>
          <w:rFonts w:eastAsia="Calibri"/>
          <w:b/>
          <w:bCs/>
        </w:rPr>
      </w:pPr>
    </w:p>
    <w:p w14:paraId="338F2B24" w14:textId="77777777" w:rsidR="003C09E9" w:rsidRPr="00F81C44" w:rsidRDefault="003C09E9" w:rsidP="003C09E9">
      <w:pPr>
        <w:pStyle w:val="RedBullet"/>
        <w:rPr>
          <w:rFonts w:eastAsia="Calibri"/>
          <w:b/>
          <w:bCs/>
        </w:rPr>
      </w:pPr>
      <w:r w:rsidRPr="00673492">
        <w:rPr>
          <w:rFonts w:eastAsia="Calibri"/>
          <w:u w:val="single"/>
        </w:rPr>
        <w:t>Police Pension Schemes</w:t>
      </w:r>
    </w:p>
    <w:p w14:paraId="1676DB5F" w14:textId="661509D6" w:rsidR="003C09E9" w:rsidRPr="00673492" w:rsidRDefault="003C09E9" w:rsidP="003C09E9">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D1695B">
        <w:rPr>
          <w:rFonts w:eastAsia="Calibri"/>
        </w:rPr>
        <w:t>.</w:t>
      </w:r>
    </w:p>
    <w:p w14:paraId="3CD200F8" w14:textId="77777777" w:rsidR="001E665B" w:rsidRDefault="001E665B" w:rsidP="003C09E9"/>
    <w:p w14:paraId="636F8F55" w14:textId="77777777" w:rsidR="005C5D09" w:rsidRDefault="005C5D09" w:rsidP="003C09E9"/>
    <w:p w14:paraId="60B12034" w14:textId="77777777" w:rsidR="005C5D09" w:rsidRDefault="005C5D09" w:rsidP="003C09E9"/>
    <w:p w14:paraId="5DB76784" w14:textId="77777777" w:rsidR="00311794" w:rsidRDefault="00311794" w:rsidP="003C09E9"/>
    <w:p w14:paraId="2660721B" w14:textId="77777777" w:rsidR="00311794" w:rsidRDefault="00311794" w:rsidP="003C09E9"/>
    <w:p w14:paraId="206D824C" w14:textId="77777777" w:rsidR="003C09E9" w:rsidRPr="00673492" w:rsidRDefault="003C09E9" w:rsidP="003C09E9">
      <w:pPr>
        <w:pStyle w:val="VAHeadingLevel2"/>
        <w:rPr>
          <w:rFonts w:eastAsia="Calibri"/>
        </w:rPr>
      </w:pPr>
      <w:r w:rsidRPr="00673492">
        <w:rPr>
          <w:rFonts w:eastAsia="Calibri"/>
        </w:rPr>
        <w:lastRenderedPageBreak/>
        <w:t>Basis for Estimating Assets and Liabilities</w:t>
      </w:r>
    </w:p>
    <w:p w14:paraId="242C6E02" w14:textId="77777777" w:rsidR="003C09E9" w:rsidRPr="00673492" w:rsidRDefault="003C09E9" w:rsidP="003C09E9"/>
    <w:p w14:paraId="578518BE" w14:textId="1D96FCFE" w:rsidR="003C09E9" w:rsidRPr="00673492" w:rsidRDefault="003C09E9" w:rsidP="003C09E9">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 xml:space="preserve">the same for both </w:t>
      </w:r>
      <w:r w:rsidR="00DE5284">
        <w:t>OCC, OPFCC</w:t>
      </w:r>
      <w:r>
        <w:t xml:space="preserve"> </w:t>
      </w:r>
      <w:r w:rsidR="00DE5284">
        <w:t>and</w:t>
      </w:r>
      <w:r>
        <w:t xml:space="preserve"> Group:</w:t>
      </w:r>
    </w:p>
    <w:p w14:paraId="34C58101" w14:textId="77777777" w:rsidR="001E665B" w:rsidRDefault="001E665B" w:rsidP="005433C7">
      <w:pPr>
        <w:rPr>
          <w:noProof/>
        </w:rPr>
      </w:pPr>
    </w:p>
    <w:tbl>
      <w:tblPr>
        <w:tblW w:w="0" w:type="auto"/>
        <w:tblLook w:val="04A0" w:firstRow="1" w:lastRow="0" w:firstColumn="1" w:lastColumn="0" w:noHBand="0" w:noVBand="1"/>
      </w:tblPr>
      <w:tblGrid>
        <w:gridCol w:w="4750"/>
        <w:gridCol w:w="1245"/>
        <w:gridCol w:w="911"/>
        <w:gridCol w:w="911"/>
        <w:gridCol w:w="911"/>
        <w:gridCol w:w="911"/>
      </w:tblGrid>
      <w:tr w:rsidR="00DA4B61" w:rsidRPr="00DA4B61" w14:paraId="3372455D" w14:textId="77777777" w:rsidTr="00DA4B61">
        <w:trPr>
          <w:trHeight w:val="300"/>
        </w:trPr>
        <w:tc>
          <w:tcPr>
            <w:tcW w:w="0" w:type="auto"/>
            <w:tcBorders>
              <w:top w:val="nil"/>
              <w:left w:val="nil"/>
              <w:bottom w:val="nil"/>
              <w:right w:val="nil"/>
            </w:tcBorders>
            <w:shd w:val="clear" w:color="000000" w:fill="000099"/>
            <w:noWrap/>
            <w:vAlign w:val="center"/>
            <w:hideMark/>
          </w:tcPr>
          <w:p w14:paraId="13508C6C" w14:textId="77777777" w:rsidR="00DA4B61" w:rsidRPr="00DA4B61" w:rsidRDefault="00DA4B61" w:rsidP="00DA4B61">
            <w:pPr>
              <w:spacing w:line="240" w:lineRule="auto"/>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1427C7A1"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55222E66"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0" w:type="auto"/>
            <w:tcBorders>
              <w:top w:val="nil"/>
              <w:left w:val="nil"/>
              <w:bottom w:val="nil"/>
              <w:right w:val="nil"/>
            </w:tcBorders>
            <w:shd w:val="clear" w:color="000000" w:fill="000099"/>
            <w:noWrap/>
            <w:vAlign w:val="center"/>
            <w:hideMark/>
          </w:tcPr>
          <w:p w14:paraId="1B5AE0C4"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c>
          <w:tcPr>
            <w:tcW w:w="0" w:type="auto"/>
            <w:tcBorders>
              <w:top w:val="nil"/>
              <w:left w:val="nil"/>
              <w:bottom w:val="nil"/>
              <w:right w:val="nil"/>
            </w:tcBorders>
            <w:shd w:val="clear" w:color="000000" w:fill="000099"/>
            <w:noWrap/>
            <w:vAlign w:val="center"/>
            <w:hideMark/>
          </w:tcPr>
          <w:p w14:paraId="086D6D4A"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0" w:type="auto"/>
            <w:tcBorders>
              <w:top w:val="nil"/>
              <w:left w:val="nil"/>
              <w:bottom w:val="nil"/>
              <w:right w:val="nil"/>
            </w:tcBorders>
            <w:shd w:val="clear" w:color="000000" w:fill="000099"/>
            <w:noWrap/>
            <w:vAlign w:val="center"/>
            <w:hideMark/>
          </w:tcPr>
          <w:p w14:paraId="69065831"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r>
      <w:tr w:rsidR="00DA4B61" w:rsidRPr="00DA4B61" w14:paraId="69E5A537" w14:textId="77777777" w:rsidTr="00DA4B61">
        <w:trPr>
          <w:trHeight w:val="300"/>
        </w:trPr>
        <w:tc>
          <w:tcPr>
            <w:tcW w:w="0" w:type="auto"/>
            <w:tcBorders>
              <w:top w:val="nil"/>
              <w:left w:val="nil"/>
              <w:bottom w:val="nil"/>
              <w:right w:val="nil"/>
            </w:tcBorders>
            <w:shd w:val="clear" w:color="000000" w:fill="000099"/>
            <w:noWrap/>
            <w:vAlign w:val="center"/>
            <w:hideMark/>
          </w:tcPr>
          <w:p w14:paraId="41DBDA66"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2A565E30"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gridSpan w:val="2"/>
            <w:vMerge w:val="restart"/>
            <w:tcBorders>
              <w:top w:val="nil"/>
              <w:left w:val="nil"/>
              <w:bottom w:val="nil"/>
              <w:right w:val="nil"/>
            </w:tcBorders>
            <w:shd w:val="clear" w:color="000000" w:fill="000099"/>
            <w:vAlign w:val="center"/>
            <w:hideMark/>
          </w:tcPr>
          <w:p w14:paraId="4E6816D4"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Local Government</w:t>
            </w:r>
            <w:r w:rsidRPr="00DA4B61">
              <w:rPr>
                <w:rFonts w:eastAsia="Times New Roman" w:cs="Calibri"/>
                <w:b/>
                <w:bCs/>
                <w:color w:val="FFFFFF"/>
                <w:szCs w:val="20"/>
                <w:lang w:eastAsia="en-GB"/>
              </w:rPr>
              <w:br/>
              <w:t>Pension Scheme</w:t>
            </w:r>
          </w:p>
        </w:tc>
        <w:tc>
          <w:tcPr>
            <w:tcW w:w="0" w:type="auto"/>
            <w:gridSpan w:val="2"/>
            <w:vMerge w:val="restart"/>
            <w:tcBorders>
              <w:top w:val="nil"/>
              <w:left w:val="nil"/>
              <w:bottom w:val="nil"/>
              <w:right w:val="nil"/>
            </w:tcBorders>
            <w:shd w:val="clear" w:color="000000" w:fill="000099"/>
            <w:vAlign w:val="center"/>
            <w:hideMark/>
          </w:tcPr>
          <w:p w14:paraId="0A40901F" w14:textId="77777777" w:rsidR="00DA4B61" w:rsidRPr="00DA4B61" w:rsidRDefault="00DA4B61" w:rsidP="00DA4B61">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Police</w:t>
            </w:r>
            <w:r w:rsidRPr="00DA4B61">
              <w:rPr>
                <w:rFonts w:eastAsia="Times New Roman" w:cs="Calibri"/>
                <w:b/>
                <w:bCs/>
                <w:color w:val="FFFFFF"/>
                <w:szCs w:val="20"/>
                <w:lang w:eastAsia="en-GB"/>
              </w:rPr>
              <w:br/>
              <w:t>Pension Scheme</w:t>
            </w:r>
          </w:p>
        </w:tc>
      </w:tr>
      <w:tr w:rsidR="00DA4B61" w:rsidRPr="00DA4B61" w14:paraId="7193AF5F" w14:textId="77777777" w:rsidTr="00DA4B61">
        <w:trPr>
          <w:trHeight w:val="300"/>
        </w:trPr>
        <w:tc>
          <w:tcPr>
            <w:tcW w:w="0" w:type="auto"/>
            <w:tcBorders>
              <w:top w:val="nil"/>
              <w:left w:val="nil"/>
              <w:bottom w:val="nil"/>
              <w:right w:val="nil"/>
            </w:tcBorders>
            <w:shd w:val="clear" w:color="000000" w:fill="000099"/>
            <w:noWrap/>
            <w:vAlign w:val="center"/>
            <w:hideMark/>
          </w:tcPr>
          <w:p w14:paraId="2A001269" w14:textId="77777777" w:rsidR="00DA4B61" w:rsidRPr="00DA4B61" w:rsidRDefault="00DA4B61" w:rsidP="00DA4B61">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tcBorders>
              <w:top w:val="nil"/>
              <w:left w:val="nil"/>
              <w:bottom w:val="nil"/>
              <w:right w:val="nil"/>
            </w:tcBorders>
            <w:shd w:val="clear" w:color="000000" w:fill="000099"/>
            <w:noWrap/>
            <w:vAlign w:val="center"/>
            <w:hideMark/>
          </w:tcPr>
          <w:p w14:paraId="5FCF2168" w14:textId="77777777" w:rsidR="00DA4B61" w:rsidRPr="00DA4B61" w:rsidRDefault="00DA4B61" w:rsidP="00DA4B61">
            <w:pPr>
              <w:spacing w:line="240" w:lineRule="auto"/>
              <w:jc w:val="right"/>
              <w:rPr>
                <w:rFonts w:eastAsia="Times New Roman" w:cs="Calibri"/>
                <w:color w:val="FFFFFF"/>
                <w:szCs w:val="20"/>
                <w:lang w:eastAsia="en-GB"/>
              </w:rPr>
            </w:pPr>
            <w:r w:rsidRPr="00DA4B61">
              <w:rPr>
                <w:rFonts w:eastAsia="Times New Roman" w:cs="Calibri"/>
                <w:color w:val="FFFFFF"/>
                <w:szCs w:val="20"/>
                <w:lang w:eastAsia="en-GB"/>
              </w:rPr>
              <w:t> </w:t>
            </w:r>
          </w:p>
        </w:tc>
        <w:tc>
          <w:tcPr>
            <w:tcW w:w="0" w:type="auto"/>
            <w:gridSpan w:val="2"/>
            <w:vMerge/>
            <w:tcBorders>
              <w:top w:val="nil"/>
              <w:left w:val="nil"/>
              <w:bottom w:val="nil"/>
              <w:right w:val="nil"/>
            </w:tcBorders>
            <w:vAlign w:val="center"/>
            <w:hideMark/>
          </w:tcPr>
          <w:p w14:paraId="284175C3" w14:textId="77777777" w:rsidR="00DA4B61" w:rsidRPr="00DA4B61" w:rsidRDefault="00DA4B61" w:rsidP="00DA4B61">
            <w:pPr>
              <w:spacing w:line="240" w:lineRule="auto"/>
              <w:jc w:val="left"/>
              <w:rPr>
                <w:rFonts w:eastAsia="Times New Roman" w:cs="Calibri"/>
                <w:b/>
                <w:bCs/>
                <w:color w:val="FFFFFF"/>
                <w:szCs w:val="20"/>
                <w:lang w:eastAsia="en-GB"/>
              </w:rPr>
            </w:pPr>
          </w:p>
        </w:tc>
        <w:tc>
          <w:tcPr>
            <w:tcW w:w="0" w:type="auto"/>
            <w:gridSpan w:val="2"/>
            <w:vMerge/>
            <w:tcBorders>
              <w:top w:val="nil"/>
              <w:left w:val="nil"/>
              <w:bottom w:val="nil"/>
              <w:right w:val="nil"/>
            </w:tcBorders>
            <w:vAlign w:val="center"/>
            <w:hideMark/>
          </w:tcPr>
          <w:p w14:paraId="724F91A7" w14:textId="77777777" w:rsidR="00DA4B61" w:rsidRPr="00DA4B61" w:rsidRDefault="00DA4B61" w:rsidP="00DA4B61">
            <w:pPr>
              <w:spacing w:line="240" w:lineRule="auto"/>
              <w:jc w:val="left"/>
              <w:rPr>
                <w:rFonts w:eastAsia="Times New Roman" w:cs="Calibri"/>
                <w:b/>
                <w:bCs/>
                <w:color w:val="FFFFFF"/>
                <w:szCs w:val="20"/>
                <w:lang w:eastAsia="en-GB"/>
              </w:rPr>
            </w:pPr>
          </w:p>
        </w:tc>
      </w:tr>
      <w:tr w:rsidR="00DA4B61" w:rsidRPr="00DA4B61" w14:paraId="6269DA07" w14:textId="77777777" w:rsidTr="00DA4B61">
        <w:trPr>
          <w:trHeight w:val="315"/>
        </w:trPr>
        <w:tc>
          <w:tcPr>
            <w:tcW w:w="0" w:type="auto"/>
            <w:gridSpan w:val="2"/>
            <w:tcBorders>
              <w:top w:val="nil"/>
              <w:left w:val="nil"/>
              <w:bottom w:val="nil"/>
              <w:right w:val="nil"/>
            </w:tcBorders>
            <w:shd w:val="clear" w:color="000000" w:fill="FFFFFF"/>
            <w:noWrap/>
            <w:vAlign w:val="bottom"/>
            <w:hideMark/>
          </w:tcPr>
          <w:p w14:paraId="49BBCB85" w14:textId="77777777" w:rsidR="00DA4B61" w:rsidRPr="00DA4B61" w:rsidRDefault="00DA4B61" w:rsidP="00DA4B61">
            <w:pPr>
              <w:spacing w:line="240" w:lineRule="auto"/>
              <w:rPr>
                <w:rFonts w:eastAsia="Times New Roman" w:cs="Calibri"/>
                <w:b/>
                <w:bCs/>
                <w:i/>
                <w:iCs/>
                <w:color w:val="000000"/>
                <w:szCs w:val="20"/>
                <w:lang w:eastAsia="en-GB"/>
              </w:rPr>
            </w:pPr>
            <w:r w:rsidRPr="00DA4B61">
              <w:rPr>
                <w:rFonts w:eastAsia="Times New Roman" w:cs="Calibri"/>
                <w:b/>
                <w:bCs/>
                <w:i/>
                <w:iCs/>
                <w:color w:val="000000"/>
                <w:szCs w:val="20"/>
                <w:lang w:eastAsia="en-GB"/>
              </w:rPr>
              <w:t>Mortality Assumptions</w:t>
            </w:r>
          </w:p>
        </w:tc>
        <w:tc>
          <w:tcPr>
            <w:tcW w:w="0" w:type="auto"/>
            <w:tcBorders>
              <w:top w:val="nil"/>
              <w:left w:val="single" w:sz="4" w:space="0" w:color="auto"/>
              <w:bottom w:val="nil"/>
              <w:right w:val="nil"/>
            </w:tcBorders>
            <w:shd w:val="clear" w:color="000000" w:fill="FFFFFF"/>
            <w:noWrap/>
            <w:vAlign w:val="bottom"/>
            <w:hideMark/>
          </w:tcPr>
          <w:p w14:paraId="447B7878"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Years</w:t>
            </w:r>
          </w:p>
        </w:tc>
        <w:tc>
          <w:tcPr>
            <w:tcW w:w="0" w:type="auto"/>
            <w:tcBorders>
              <w:top w:val="nil"/>
              <w:left w:val="nil"/>
              <w:bottom w:val="nil"/>
              <w:right w:val="nil"/>
            </w:tcBorders>
            <w:shd w:val="clear" w:color="000000" w:fill="CCECFF"/>
            <w:vAlign w:val="bottom"/>
            <w:hideMark/>
          </w:tcPr>
          <w:p w14:paraId="4FC9748D"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 xml:space="preserve"> Years </w:t>
            </w:r>
          </w:p>
        </w:tc>
        <w:tc>
          <w:tcPr>
            <w:tcW w:w="0" w:type="auto"/>
            <w:tcBorders>
              <w:top w:val="nil"/>
              <w:left w:val="single" w:sz="4" w:space="0" w:color="auto"/>
              <w:bottom w:val="nil"/>
              <w:right w:val="nil"/>
            </w:tcBorders>
            <w:shd w:val="clear" w:color="000000" w:fill="FFFFFF"/>
            <w:noWrap/>
            <w:vAlign w:val="bottom"/>
            <w:hideMark/>
          </w:tcPr>
          <w:p w14:paraId="7E8920B5"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Years</w:t>
            </w:r>
          </w:p>
        </w:tc>
        <w:tc>
          <w:tcPr>
            <w:tcW w:w="0" w:type="auto"/>
            <w:tcBorders>
              <w:top w:val="nil"/>
              <w:left w:val="nil"/>
              <w:bottom w:val="nil"/>
              <w:right w:val="nil"/>
            </w:tcBorders>
            <w:shd w:val="clear" w:color="000000" w:fill="CCECFF"/>
            <w:vAlign w:val="bottom"/>
            <w:hideMark/>
          </w:tcPr>
          <w:p w14:paraId="6DB8B7A3"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 xml:space="preserve"> Years </w:t>
            </w:r>
          </w:p>
        </w:tc>
      </w:tr>
      <w:tr w:rsidR="00DA4B61" w:rsidRPr="00DA4B61" w14:paraId="516ED005"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11DE3B74"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Longevity at 65 for current pensioners</w:t>
            </w:r>
          </w:p>
        </w:tc>
        <w:tc>
          <w:tcPr>
            <w:tcW w:w="0" w:type="auto"/>
            <w:tcBorders>
              <w:top w:val="nil"/>
              <w:left w:val="single" w:sz="4" w:space="0" w:color="auto"/>
              <w:bottom w:val="nil"/>
              <w:right w:val="nil"/>
            </w:tcBorders>
            <w:shd w:val="clear" w:color="000000" w:fill="FFFFFF"/>
            <w:noWrap/>
            <w:vAlign w:val="center"/>
            <w:hideMark/>
          </w:tcPr>
          <w:p w14:paraId="159B7CC0"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90DA0A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6AD8E468"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1DBF5D6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3DD46BC4" w14:textId="77777777" w:rsidTr="00DA4B61">
        <w:trPr>
          <w:trHeight w:val="300"/>
        </w:trPr>
        <w:tc>
          <w:tcPr>
            <w:tcW w:w="0" w:type="auto"/>
            <w:tcBorders>
              <w:top w:val="nil"/>
              <w:left w:val="nil"/>
              <w:bottom w:val="nil"/>
              <w:right w:val="nil"/>
            </w:tcBorders>
            <w:shd w:val="clear" w:color="000000" w:fill="FFFFFF"/>
            <w:noWrap/>
            <w:vAlign w:val="center"/>
            <w:hideMark/>
          </w:tcPr>
          <w:p w14:paraId="232F31F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649CF559"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Men</w:t>
            </w:r>
          </w:p>
        </w:tc>
        <w:tc>
          <w:tcPr>
            <w:tcW w:w="0" w:type="auto"/>
            <w:tcBorders>
              <w:top w:val="nil"/>
              <w:left w:val="single" w:sz="4" w:space="0" w:color="auto"/>
              <w:bottom w:val="nil"/>
              <w:right w:val="nil"/>
            </w:tcBorders>
            <w:shd w:val="clear" w:color="000000" w:fill="FFFFFF"/>
            <w:noWrap/>
            <w:vAlign w:val="center"/>
            <w:hideMark/>
          </w:tcPr>
          <w:p w14:paraId="747D33A4"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20.70</w:t>
            </w:r>
          </w:p>
        </w:tc>
        <w:tc>
          <w:tcPr>
            <w:tcW w:w="0" w:type="auto"/>
            <w:tcBorders>
              <w:top w:val="nil"/>
              <w:left w:val="nil"/>
              <w:bottom w:val="nil"/>
              <w:right w:val="nil"/>
            </w:tcBorders>
            <w:shd w:val="clear" w:color="000000" w:fill="CCECFF"/>
            <w:vAlign w:val="center"/>
            <w:hideMark/>
          </w:tcPr>
          <w:p w14:paraId="0233126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20.90</w:t>
            </w:r>
          </w:p>
        </w:tc>
        <w:tc>
          <w:tcPr>
            <w:tcW w:w="0" w:type="auto"/>
            <w:tcBorders>
              <w:top w:val="nil"/>
              <w:left w:val="single" w:sz="4" w:space="0" w:color="auto"/>
              <w:bottom w:val="nil"/>
              <w:right w:val="nil"/>
            </w:tcBorders>
            <w:shd w:val="clear" w:color="000000" w:fill="FFFFFF"/>
            <w:noWrap/>
            <w:vAlign w:val="center"/>
            <w:hideMark/>
          </w:tcPr>
          <w:p w14:paraId="7C554AE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21.90</w:t>
            </w:r>
          </w:p>
        </w:tc>
        <w:tc>
          <w:tcPr>
            <w:tcW w:w="0" w:type="auto"/>
            <w:tcBorders>
              <w:top w:val="nil"/>
              <w:left w:val="nil"/>
              <w:bottom w:val="nil"/>
              <w:right w:val="nil"/>
            </w:tcBorders>
            <w:shd w:val="clear" w:color="000000" w:fill="CCECFF"/>
            <w:vAlign w:val="center"/>
            <w:hideMark/>
          </w:tcPr>
          <w:p w14:paraId="6F26C80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21.90</w:t>
            </w:r>
          </w:p>
        </w:tc>
      </w:tr>
      <w:tr w:rsidR="00DA4B61" w:rsidRPr="00DA4B61" w14:paraId="6F671753" w14:textId="77777777" w:rsidTr="00DA4B61">
        <w:trPr>
          <w:trHeight w:val="300"/>
        </w:trPr>
        <w:tc>
          <w:tcPr>
            <w:tcW w:w="0" w:type="auto"/>
            <w:tcBorders>
              <w:top w:val="nil"/>
              <w:left w:val="nil"/>
              <w:bottom w:val="nil"/>
              <w:right w:val="nil"/>
            </w:tcBorders>
            <w:shd w:val="clear" w:color="000000" w:fill="FFFFFF"/>
            <w:noWrap/>
            <w:vAlign w:val="center"/>
            <w:hideMark/>
          </w:tcPr>
          <w:p w14:paraId="1937131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70E47833"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Women</w:t>
            </w:r>
          </w:p>
        </w:tc>
        <w:tc>
          <w:tcPr>
            <w:tcW w:w="0" w:type="auto"/>
            <w:tcBorders>
              <w:top w:val="nil"/>
              <w:left w:val="single" w:sz="4" w:space="0" w:color="auto"/>
              <w:bottom w:val="nil"/>
              <w:right w:val="nil"/>
            </w:tcBorders>
            <w:shd w:val="clear" w:color="000000" w:fill="FFFFFF"/>
            <w:noWrap/>
            <w:vAlign w:val="center"/>
            <w:hideMark/>
          </w:tcPr>
          <w:p w14:paraId="07E43FBB"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24.00</w:t>
            </w:r>
          </w:p>
        </w:tc>
        <w:tc>
          <w:tcPr>
            <w:tcW w:w="0" w:type="auto"/>
            <w:tcBorders>
              <w:top w:val="nil"/>
              <w:left w:val="nil"/>
              <w:bottom w:val="nil"/>
              <w:right w:val="nil"/>
            </w:tcBorders>
            <w:shd w:val="clear" w:color="000000" w:fill="CCECFF"/>
            <w:vAlign w:val="center"/>
            <w:hideMark/>
          </w:tcPr>
          <w:p w14:paraId="5A6D9E82"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23.70</w:t>
            </w:r>
          </w:p>
        </w:tc>
        <w:tc>
          <w:tcPr>
            <w:tcW w:w="0" w:type="auto"/>
            <w:tcBorders>
              <w:top w:val="nil"/>
              <w:left w:val="single" w:sz="4" w:space="0" w:color="auto"/>
              <w:bottom w:val="nil"/>
              <w:right w:val="nil"/>
            </w:tcBorders>
            <w:shd w:val="clear" w:color="000000" w:fill="FFFFFF"/>
            <w:noWrap/>
            <w:vAlign w:val="center"/>
            <w:hideMark/>
          </w:tcPr>
          <w:p w14:paraId="3A66B63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23.50</w:t>
            </w:r>
          </w:p>
        </w:tc>
        <w:tc>
          <w:tcPr>
            <w:tcW w:w="0" w:type="auto"/>
            <w:tcBorders>
              <w:top w:val="nil"/>
              <w:left w:val="nil"/>
              <w:bottom w:val="nil"/>
              <w:right w:val="nil"/>
            </w:tcBorders>
            <w:shd w:val="clear" w:color="000000" w:fill="CCECFF"/>
            <w:vAlign w:val="center"/>
            <w:hideMark/>
          </w:tcPr>
          <w:p w14:paraId="11687542"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23.60</w:t>
            </w:r>
          </w:p>
        </w:tc>
      </w:tr>
      <w:tr w:rsidR="00DA4B61" w:rsidRPr="00DA4B61" w14:paraId="734B2646" w14:textId="77777777" w:rsidTr="00DA4B61">
        <w:trPr>
          <w:trHeight w:val="300"/>
        </w:trPr>
        <w:tc>
          <w:tcPr>
            <w:tcW w:w="0" w:type="auto"/>
            <w:tcBorders>
              <w:top w:val="nil"/>
              <w:left w:val="nil"/>
              <w:bottom w:val="nil"/>
              <w:right w:val="nil"/>
            </w:tcBorders>
            <w:shd w:val="clear" w:color="000000" w:fill="FFFFFF"/>
            <w:noWrap/>
            <w:vAlign w:val="center"/>
            <w:hideMark/>
          </w:tcPr>
          <w:p w14:paraId="60F6CDC0"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Longevity at 65 for future pensioners</w:t>
            </w:r>
          </w:p>
        </w:tc>
        <w:tc>
          <w:tcPr>
            <w:tcW w:w="0" w:type="auto"/>
            <w:tcBorders>
              <w:top w:val="nil"/>
              <w:left w:val="nil"/>
              <w:bottom w:val="nil"/>
              <w:right w:val="nil"/>
            </w:tcBorders>
            <w:shd w:val="clear" w:color="000000" w:fill="FFFFFF"/>
            <w:noWrap/>
            <w:vAlign w:val="center"/>
            <w:hideMark/>
          </w:tcPr>
          <w:p w14:paraId="77402FAA"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747182B1"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41AFBCE8"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0DEEECD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1FFF448"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r>
      <w:tr w:rsidR="00DA4B61" w:rsidRPr="00DA4B61" w14:paraId="6F46CEED" w14:textId="77777777" w:rsidTr="00DA4B61">
        <w:trPr>
          <w:trHeight w:val="300"/>
        </w:trPr>
        <w:tc>
          <w:tcPr>
            <w:tcW w:w="0" w:type="auto"/>
            <w:tcBorders>
              <w:top w:val="nil"/>
              <w:left w:val="nil"/>
              <w:bottom w:val="nil"/>
              <w:right w:val="nil"/>
            </w:tcBorders>
            <w:shd w:val="clear" w:color="000000" w:fill="FFFFFF"/>
            <w:noWrap/>
            <w:vAlign w:val="center"/>
            <w:hideMark/>
          </w:tcPr>
          <w:p w14:paraId="25084D82"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4A92344A"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Men</w:t>
            </w:r>
          </w:p>
        </w:tc>
        <w:tc>
          <w:tcPr>
            <w:tcW w:w="0" w:type="auto"/>
            <w:tcBorders>
              <w:top w:val="nil"/>
              <w:left w:val="single" w:sz="4" w:space="0" w:color="auto"/>
              <w:bottom w:val="nil"/>
              <w:right w:val="nil"/>
            </w:tcBorders>
            <w:shd w:val="clear" w:color="000000" w:fill="FFFFFF"/>
            <w:noWrap/>
            <w:vAlign w:val="center"/>
            <w:hideMark/>
          </w:tcPr>
          <w:p w14:paraId="65ECE05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21.90</w:t>
            </w:r>
          </w:p>
        </w:tc>
        <w:tc>
          <w:tcPr>
            <w:tcW w:w="0" w:type="auto"/>
            <w:tcBorders>
              <w:top w:val="nil"/>
              <w:left w:val="nil"/>
              <w:bottom w:val="nil"/>
              <w:right w:val="nil"/>
            </w:tcBorders>
            <w:shd w:val="clear" w:color="000000" w:fill="CCECFF"/>
            <w:vAlign w:val="center"/>
            <w:hideMark/>
          </w:tcPr>
          <w:p w14:paraId="4B671AD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21.70</w:t>
            </w:r>
          </w:p>
        </w:tc>
        <w:tc>
          <w:tcPr>
            <w:tcW w:w="0" w:type="auto"/>
            <w:tcBorders>
              <w:top w:val="nil"/>
              <w:left w:val="single" w:sz="4" w:space="0" w:color="auto"/>
              <w:bottom w:val="nil"/>
              <w:right w:val="nil"/>
            </w:tcBorders>
            <w:shd w:val="clear" w:color="000000" w:fill="FFFFFF"/>
            <w:noWrap/>
            <w:vAlign w:val="center"/>
            <w:hideMark/>
          </w:tcPr>
          <w:p w14:paraId="4D7D442E"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23.50</w:t>
            </w:r>
          </w:p>
        </w:tc>
        <w:tc>
          <w:tcPr>
            <w:tcW w:w="0" w:type="auto"/>
            <w:tcBorders>
              <w:top w:val="nil"/>
              <w:left w:val="nil"/>
              <w:bottom w:val="nil"/>
              <w:right w:val="nil"/>
            </w:tcBorders>
            <w:shd w:val="clear" w:color="000000" w:fill="CCECFF"/>
            <w:vAlign w:val="center"/>
            <w:hideMark/>
          </w:tcPr>
          <w:p w14:paraId="59AD7AA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23.60</w:t>
            </w:r>
          </w:p>
        </w:tc>
      </w:tr>
      <w:tr w:rsidR="00DA4B61" w:rsidRPr="00DA4B61" w14:paraId="60D3F89B" w14:textId="77777777" w:rsidTr="00DA4B61">
        <w:trPr>
          <w:trHeight w:val="300"/>
        </w:trPr>
        <w:tc>
          <w:tcPr>
            <w:tcW w:w="0" w:type="auto"/>
            <w:tcBorders>
              <w:top w:val="nil"/>
              <w:left w:val="nil"/>
              <w:bottom w:val="nil"/>
              <w:right w:val="nil"/>
            </w:tcBorders>
            <w:shd w:val="clear" w:color="000000" w:fill="FFFFFF"/>
            <w:noWrap/>
            <w:vAlign w:val="center"/>
            <w:hideMark/>
          </w:tcPr>
          <w:p w14:paraId="0A7D42C7"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center"/>
            <w:hideMark/>
          </w:tcPr>
          <w:p w14:paraId="02777655" w14:textId="77777777" w:rsidR="00DA4B61" w:rsidRPr="00DA4B61" w:rsidRDefault="00DA4B61" w:rsidP="00DA4B61">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Women</w:t>
            </w:r>
          </w:p>
        </w:tc>
        <w:tc>
          <w:tcPr>
            <w:tcW w:w="0" w:type="auto"/>
            <w:tcBorders>
              <w:top w:val="nil"/>
              <w:left w:val="single" w:sz="4" w:space="0" w:color="auto"/>
              <w:bottom w:val="nil"/>
              <w:right w:val="nil"/>
            </w:tcBorders>
            <w:shd w:val="clear" w:color="000000" w:fill="FFFFFF"/>
            <w:noWrap/>
            <w:vAlign w:val="center"/>
            <w:hideMark/>
          </w:tcPr>
          <w:p w14:paraId="3C034A8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25.70</w:t>
            </w:r>
          </w:p>
        </w:tc>
        <w:tc>
          <w:tcPr>
            <w:tcW w:w="0" w:type="auto"/>
            <w:tcBorders>
              <w:top w:val="nil"/>
              <w:left w:val="nil"/>
              <w:bottom w:val="nil"/>
              <w:right w:val="nil"/>
            </w:tcBorders>
            <w:shd w:val="clear" w:color="000000" w:fill="CCECFF"/>
            <w:vAlign w:val="center"/>
            <w:hideMark/>
          </w:tcPr>
          <w:p w14:paraId="654F3154"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25.50</w:t>
            </w:r>
          </w:p>
        </w:tc>
        <w:tc>
          <w:tcPr>
            <w:tcW w:w="0" w:type="auto"/>
            <w:tcBorders>
              <w:top w:val="nil"/>
              <w:left w:val="single" w:sz="4" w:space="0" w:color="auto"/>
              <w:bottom w:val="nil"/>
              <w:right w:val="nil"/>
            </w:tcBorders>
            <w:shd w:val="clear" w:color="000000" w:fill="FFFFFF"/>
            <w:noWrap/>
            <w:vAlign w:val="center"/>
            <w:hideMark/>
          </w:tcPr>
          <w:p w14:paraId="2A243FE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25.00</w:t>
            </w:r>
          </w:p>
        </w:tc>
        <w:tc>
          <w:tcPr>
            <w:tcW w:w="0" w:type="auto"/>
            <w:tcBorders>
              <w:top w:val="nil"/>
              <w:left w:val="nil"/>
              <w:bottom w:val="nil"/>
              <w:right w:val="nil"/>
            </w:tcBorders>
            <w:shd w:val="clear" w:color="000000" w:fill="CCECFF"/>
            <w:vAlign w:val="center"/>
            <w:hideMark/>
          </w:tcPr>
          <w:p w14:paraId="4BB4595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25.10</w:t>
            </w:r>
          </w:p>
        </w:tc>
      </w:tr>
      <w:tr w:rsidR="00DA4B61" w:rsidRPr="00DA4B61" w14:paraId="1893A7EF" w14:textId="77777777" w:rsidTr="00DA4B61">
        <w:trPr>
          <w:trHeight w:val="405"/>
        </w:trPr>
        <w:tc>
          <w:tcPr>
            <w:tcW w:w="0" w:type="auto"/>
            <w:gridSpan w:val="2"/>
            <w:tcBorders>
              <w:top w:val="nil"/>
              <w:left w:val="nil"/>
              <w:bottom w:val="nil"/>
              <w:right w:val="nil"/>
            </w:tcBorders>
            <w:shd w:val="clear" w:color="000000" w:fill="FFFFFF"/>
            <w:noWrap/>
            <w:vAlign w:val="center"/>
            <w:hideMark/>
          </w:tcPr>
          <w:p w14:paraId="3EF52D46" w14:textId="77777777" w:rsidR="00DA4B61" w:rsidRPr="00DA4B61" w:rsidRDefault="00DA4B61" w:rsidP="00DA4B61">
            <w:pPr>
              <w:spacing w:line="240" w:lineRule="auto"/>
              <w:rPr>
                <w:rFonts w:eastAsia="Times New Roman" w:cs="Calibri"/>
                <w:b/>
                <w:bCs/>
                <w:i/>
                <w:iCs/>
                <w:color w:val="000000"/>
                <w:szCs w:val="20"/>
                <w:lang w:eastAsia="en-GB"/>
              </w:rPr>
            </w:pPr>
            <w:r w:rsidRPr="00DA4B61">
              <w:rPr>
                <w:rFonts w:eastAsia="Times New Roman" w:cs="Calibri"/>
                <w:b/>
                <w:bCs/>
                <w:i/>
                <w:iCs/>
                <w:color w:val="000000"/>
                <w:szCs w:val="20"/>
                <w:lang w:eastAsia="en-GB"/>
              </w:rPr>
              <w:t>Financial Assumptions</w:t>
            </w:r>
          </w:p>
        </w:tc>
        <w:tc>
          <w:tcPr>
            <w:tcW w:w="0" w:type="auto"/>
            <w:tcBorders>
              <w:top w:val="nil"/>
              <w:left w:val="single" w:sz="4" w:space="0" w:color="auto"/>
              <w:bottom w:val="nil"/>
              <w:right w:val="nil"/>
            </w:tcBorders>
            <w:shd w:val="clear" w:color="000000" w:fill="FFFFFF"/>
            <w:noWrap/>
            <w:vAlign w:val="center"/>
            <w:hideMark/>
          </w:tcPr>
          <w:p w14:paraId="5ED69D89"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w:t>
            </w:r>
          </w:p>
        </w:tc>
        <w:tc>
          <w:tcPr>
            <w:tcW w:w="0" w:type="auto"/>
            <w:tcBorders>
              <w:top w:val="nil"/>
              <w:left w:val="nil"/>
              <w:bottom w:val="nil"/>
              <w:right w:val="nil"/>
            </w:tcBorders>
            <w:shd w:val="clear" w:color="000000" w:fill="CCECFF"/>
            <w:vAlign w:val="center"/>
            <w:hideMark/>
          </w:tcPr>
          <w:p w14:paraId="6A667911"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w:t>
            </w:r>
          </w:p>
        </w:tc>
        <w:tc>
          <w:tcPr>
            <w:tcW w:w="0" w:type="auto"/>
            <w:tcBorders>
              <w:top w:val="nil"/>
              <w:left w:val="single" w:sz="4" w:space="0" w:color="auto"/>
              <w:bottom w:val="nil"/>
              <w:right w:val="nil"/>
            </w:tcBorders>
            <w:shd w:val="clear" w:color="000000" w:fill="FFFFFF"/>
            <w:noWrap/>
            <w:vAlign w:val="center"/>
            <w:hideMark/>
          </w:tcPr>
          <w:p w14:paraId="783F7B61" w14:textId="77777777" w:rsidR="00DA4B61" w:rsidRPr="00DA4B61" w:rsidRDefault="00DA4B61" w:rsidP="00DA4B61">
            <w:pPr>
              <w:spacing w:line="240" w:lineRule="auto"/>
              <w:jc w:val="center"/>
              <w:rPr>
                <w:rFonts w:eastAsia="Times New Roman" w:cs="Calibri"/>
                <w:b/>
                <w:bCs/>
                <w:color w:val="000000"/>
                <w:szCs w:val="20"/>
                <w:lang w:eastAsia="en-GB"/>
              </w:rPr>
            </w:pPr>
            <w:r w:rsidRPr="00DA4B61">
              <w:rPr>
                <w:rFonts w:eastAsia="Times New Roman" w:cs="Calibri"/>
                <w:b/>
                <w:bCs/>
                <w:color w:val="000000"/>
                <w:szCs w:val="20"/>
                <w:lang w:eastAsia="en-GB"/>
              </w:rPr>
              <w:t>%</w:t>
            </w:r>
          </w:p>
        </w:tc>
        <w:tc>
          <w:tcPr>
            <w:tcW w:w="0" w:type="auto"/>
            <w:tcBorders>
              <w:top w:val="nil"/>
              <w:left w:val="nil"/>
              <w:bottom w:val="nil"/>
              <w:right w:val="nil"/>
            </w:tcBorders>
            <w:shd w:val="clear" w:color="000000" w:fill="CCECFF"/>
            <w:vAlign w:val="center"/>
            <w:hideMark/>
          </w:tcPr>
          <w:p w14:paraId="366D4242" w14:textId="77777777" w:rsidR="00DA4B61" w:rsidRPr="00DA4B61" w:rsidRDefault="00DA4B61" w:rsidP="00DA4B61">
            <w:pPr>
              <w:spacing w:line="240" w:lineRule="auto"/>
              <w:jc w:val="center"/>
              <w:rPr>
                <w:rFonts w:eastAsia="Times New Roman" w:cs="Calibri"/>
                <w:b/>
                <w:bCs/>
                <w:color w:val="auto"/>
                <w:szCs w:val="20"/>
                <w:lang w:eastAsia="en-GB"/>
              </w:rPr>
            </w:pPr>
            <w:r w:rsidRPr="00DA4B61">
              <w:rPr>
                <w:rFonts w:eastAsia="Times New Roman" w:cs="Calibri"/>
                <w:b/>
                <w:bCs/>
                <w:color w:val="auto"/>
                <w:szCs w:val="20"/>
                <w:lang w:eastAsia="en-GB"/>
              </w:rPr>
              <w:t>%</w:t>
            </w:r>
          </w:p>
        </w:tc>
      </w:tr>
      <w:tr w:rsidR="00DA4B61" w:rsidRPr="00DA4B61" w14:paraId="394BFB1D"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739E3A03"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of Inflation</w:t>
            </w:r>
          </w:p>
        </w:tc>
        <w:tc>
          <w:tcPr>
            <w:tcW w:w="0" w:type="auto"/>
            <w:tcBorders>
              <w:top w:val="nil"/>
              <w:left w:val="single" w:sz="4" w:space="0" w:color="auto"/>
              <w:bottom w:val="nil"/>
              <w:right w:val="nil"/>
            </w:tcBorders>
            <w:shd w:val="clear" w:color="000000" w:fill="FFFFFF"/>
            <w:noWrap/>
            <w:vAlign w:val="center"/>
            <w:hideMark/>
          </w:tcPr>
          <w:p w14:paraId="18247C2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2.95</w:t>
            </w:r>
          </w:p>
        </w:tc>
        <w:tc>
          <w:tcPr>
            <w:tcW w:w="0" w:type="auto"/>
            <w:tcBorders>
              <w:top w:val="nil"/>
              <w:left w:val="nil"/>
              <w:bottom w:val="nil"/>
              <w:right w:val="nil"/>
            </w:tcBorders>
            <w:shd w:val="clear" w:color="000000" w:fill="CCECFF"/>
            <w:vAlign w:val="center"/>
            <w:hideMark/>
          </w:tcPr>
          <w:p w14:paraId="4ABBAFC5"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2.75</w:t>
            </w:r>
          </w:p>
        </w:tc>
        <w:tc>
          <w:tcPr>
            <w:tcW w:w="0" w:type="auto"/>
            <w:tcBorders>
              <w:top w:val="nil"/>
              <w:left w:val="single" w:sz="4" w:space="0" w:color="auto"/>
              <w:bottom w:val="nil"/>
              <w:right w:val="nil"/>
            </w:tcBorders>
            <w:shd w:val="clear" w:color="000000" w:fill="FFFFFF"/>
            <w:noWrap/>
            <w:vAlign w:val="center"/>
            <w:hideMark/>
          </w:tcPr>
          <w:p w14:paraId="1D52FCF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2.60</w:t>
            </w:r>
          </w:p>
        </w:tc>
        <w:tc>
          <w:tcPr>
            <w:tcW w:w="0" w:type="auto"/>
            <w:tcBorders>
              <w:top w:val="nil"/>
              <w:left w:val="nil"/>
              <w:bottom w:val="nil"/>
              <w:right w:val="nil"/>
            </w:tcBorders>
            <w:shd w:val="clear" w:color="000000" w:fill="CCECFF"/>
            <w:vAlign w:val="center"/>
            <w:hideMark/>
          </w:tcPr>
          <w:p w14:paraId="13BF9F39"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2.60</w:t>
            </w:r>
          </w:p>
        </w:tc>
      </w:tr>
      <w:tr w:rsidR="00DA4B61" w:rsidRPr="00DA4B61" w14:paraId="25154911"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32ED6439"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of Increase in Salaries</w:t>
            </w:r>
          </w:p>
        </w:tc>
        <w:tc>
          <w:tcPr>
            <w:tcW w:w="0" w:type="auto"/>
            <w:tcBorders>
              <w:top w:val="nil"/>
              <w:left w:val="single" w:sz="4" w:space="0" w:color="auto"/>
              <w:bottom w:val="nil"/>
              <w:right w:val="nil"/>
            </w:tcBorders>
            <w:shd w:val="clear" w:color="000000" w:fill="FFFFFF"/>
            <w:noWrap/>
            <w:vAlign w:val="center"/>
            <w:hideMark/>
          </w:tcPr>
          <w:p w14:paraId="582AACA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3.45</w:t>
            </w:r>
          </w:p>
        </w:tc>
        <w:tc>
          <w:tcPr>
            <w:tcW w:w="0" w:type="auto"/>
            <w:tcBorders>
              <w:top w:val="nil"/>
              <w:left w:val="nil"/>
              <w:bottom w:val="nil"/>
              <w:right w:val="nil"/>
            </w:tcBorders>
            <w:shd w:val="clear" w:color="000000" w:fill="CCECFF"/>
            <w:vAlign w:val="center"/>
            <w:hideMark/>
          </w:tcPr>
          <w:p w14:paraId="782D991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3.25</w:t>
            </w:r>
          </w:p>
        </w:tc>
        <w:tc>
          <w:tcPr>
            <w:tcW w:w="0" w:type="auto"/>
            <w:tcBorders>
              <w:top w:val="nil"/>
              <w:left w:val="single" w:sz="4" w:space="0" w:color="auto"/>
              <w:bottom w:val="nil"/>
              <w:right w:val="nil"/>
            </w:tcBorders>
            <w:shd w:val="clear" w:color="000000" w:fill="FFFFFF"/>
            <w:noWrap/>
            <w:vAlign w:val="center"/>
            <w:hideMark/>
          </w:tcPr>
          <w:p w14:paraId="08570A2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3.85</w:t>
            </w:r>
          </w:p>
        </w:tc>
        <w:tc>
          <w:tcPr>
            <w:tcW w:w="0" w:type="auto"/>
            <w:tcBorders>
              <w:top w:val="nil"/>
              <w:left w:val="nil"/>
              <w:bottom w:val="nil"/>
              <w:right w:val="nil"/>
            </w:tcBorders>
            <w:shd w:val="clear" w:color="000000" w:fill="CCECFF"/>
            <w:vAlign w:val="center"/>
            <w:hideMark/>
          </w:tcPr>
          <w:p w14:paraId="0E2E663F"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3.85</w:t>
            </w:r>
          </w:p>
        </w:tc>
      </w:tr>
      <w:tr w:rsidR="00DA4B61" w:rsidRPr="00DA4B61" w14:paraId="77B0F233"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3CA0E446"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Actual Return on Assets</w:t>
            </w:r>
          </w:p>
        </w:tc>
        <w:tc>
          <w:tcPr>
            <w:tcW w:w="0" w:type="auto"/>
            <w:tcBorders>
              <w:top w:val="nil"/>
              <w:left w:val="single" w:sz="4" w:space="0" w:color="auto"/>
              <w:bottom w:val="nil"/>
              <w:right w:val="nil"/>
            </w:tcBorders>
            <w:shd w:val="clear" w:color="000000" w:fill="FFFFFF"/>
            <w:noWrap/>
            <w:vAlign w:val="center"/>
            <w:hideMark/>
          </w:tcPr>
          <w:p w14:paraId="036215C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4.50</w:t>
            </w:r>
          </w:p>
        </w:tc>
        <w:tc>
          <w:tcPr>
            <w:tcW w:w="0" w:type="auto"/>
            <w:tcBorders>
              <w:top w:val="nil"/>
              <w:left w:val="nil"/>
              <w:bottom w:val="nil"/>
              <w:right w:val="nil"/>
            </w:tcBorders>
            <w:shd w:val="clear" w:color="000000" w:fill="CCECFF"/>
            <w:vAlign w:val="center"/>
            <w:hideMark/>
          </w:tcPr>
          <w:p w14:paraId="64E9CCDA"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10.20</w:t>
            </w:r>
          </w:p>
        </w:tc>
        <w:tc>
          <w:tcPr>
            <w:tcW w:w="0" w:type="auto"/>
            <w:tcBorders>
              <w:top w:val="nil"/>
              <w:left w:val="single" w:sz="4" w:space="0" w:color="auto"/>
              <w:bottom w:val="nil"/>
              <w:right w:val="nil"/>
            </w:tcBorders>
            <w:shd w:val="clear" w:color="000000" w:fill="FFFFFF"/>
            <w:noWrap/>
            <w:vAlign w:val="center"/>
            <w:hideMark/>
          </w:tcPr>
          <w:p w14:paraId="7864C06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4C3711C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n/a</w:t>
            </w:r>
          </w:p>
        </w:tc>
      </w:tr>
      <w:tr w:rsidR="00DA4B61" w:rsidRPr="00DA4B61" w14:paraId="7B786079" w14:textId="77777777" w:rsidTr="00DA4B61">
        <w:trPr>
          <w:trHeight w:val="300"/>
        </w:trPr>
        <w:tc>
          <w:tcPr>
            <w:tcW w:w="0" w:type="auto"/>
            <w:gridSpan w:val="2"/>
            <w:tcBorders>
              <w:top w:val="nil"/>
              <w:left w:val="nil"/>
              <w:bottom w:val="nil"/>
              <w:right w:val="nil"/>
            </w:tcBorders>
            <w:shd w:val="clear" w:color="000000" w:fill="FFFFFF"/>
            <w:noWrap/>
            <w:vAlign w:val="center"/>
            <w:hideMark/>
          </w:tcPr>
          <w:p w14:paraId="5A488D9B" w14:textId="77777777" w:rsidR="00DA4B61" w:rsidRPr="00DA4B61" w:rsidRDefault="00DA4B61" w:rsidP="00DA4B61">
            <w:pPr>
              <w:spacing w:line="240" w:lineRule="auto"/>
              <w:rPr>
                <w:rFonts w:eastAsia="Times New Roman" w:cs="Calibri"/>
                <w:color w:val="000000"/>
                <w:szCs w:val="20"/>
                <w:lang w:eastAsia="en-GB"/>
              </w:rPr>
            </w:pPr>
            <w:r w:rsidRPr="00DA4B61">
              <w:rPr>
                <w:rFonts w:eastAsia="Times New Roman" w:cs="Calibri"/>
                <w:color w:val="000000"/>
                <w:szCs w:val="20"/>
                <w:lang w:eastAsia="en-GB"/>
              </w:rPr>
              <w:t>Rate for Discounting Scheme Liabilities (Gross)</w:t>
            </w:r>
          </w:p>
        </w:tc>
        <w:tc>
          <w:tcPr>
            <w:tcW w:w="0" w:type="auto"/>
            <w:tcBorders>
              <w:top w:val="nil"/>
              <w:left w:val="single" w:sz="4" w:space="0" w:color="auto"/>
              <w:bottom w:val="nil"/>
              <w:right w:val="nil"/>
            </w:tcBorders>
            <w:shd w:val="clear" w:color="000000" w:fill="FFFFFF"/>
            <w:noWrap/>
            <w:vAlign w:val="center"/>
            <w:hideMark/>
          </w:tcPr>
          <w:p w14:paraId="2C6D4F8C"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4.75</w:t>
            </w:r>
          </w:p>
        </w:tc>
        <w:tc>
          <w:tcPr>
            <w:tcW w:w="0" w:type="auto"/>
            <w:tcBorders>
              <w:top w:val="nil"/>
              <w:left w:val="nil"/>
              <w:bottom w:val="nil"/>
              <w:right w:val="nil"/>
            </w:tcBorders>
            <w:shd w:val="clear" w:color="000000" w:fill="CCECFF"/>
            <w:vAlign w:val="center"/>
            <w:hideMark/>
          </w:tcPr>
          <w:p w14:paraId="7891785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4.85</w:t>
            </w:r>
          </w:p>
        </w:tc>
        <w:tc>
          <w:tcPr>
            <w:tcW w:w="0" w:type="auto"/>
            <w:tcBorders>
              <w:top w:val="nil"/>
              <w:left w:val="single" w:sz="4" w:space="0" w:color="auto"/>
              <w:bottom w:val="nil"/>
              <w:right w:val="nil"/>
            </w:tcBorders>
            <w:shd w:val="clear" w:color="000000" w:fill="FFFFFF"/>
            <w:noWrap/>
            <w:vAlign w:val="center"/>
            <w:hideMark/>
          </w:tcPr>
          <w:p w14:paraId="7FC26A3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4.65</w:t>
            </w:r>
          </w:p>
        </w:tc>
        <w:tc>
          <w:tcPr>
            <w:tcW w:w="0" w:type="auto"/>
            <w:tcBorders>
              <w:top w:val="nil"/>
              <w:left w:val="nil"/>
              <w:bottom w:val="nil"/>
              <w:right w:val="nil"/>
            </w:tcBorders>
            <w:shd w:val="clear" w:color="000000" w:fill="CCECFF"/>
            <w:vAlign w:val="center"/>
            <w:hideMark/>
          </w:tcPr>
          <w:p w14:paraId="607173E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4.65</w:t>
            </w:r>
          </w:p>
        </w:tc>
      </w:tr>
      <w:tr w:rsidR="00DA4B61" w:rsidRPr="00DA4B61" w14:paraId="392A2527" w14:textId="77777777" w:rsidTr="00DA4B61">
        <w:trPr>
          <w:trHeight w:val="300"/>
        </w:trPr>
        <w:tc>
          <w:tcPr>
            <w:tcW w:w="0" w:type="auto"/>
            <w:tcBorders>
              <w:top w:val="nil"/>
              <w:left w:val="nil"/>
              <w:bottom w:val="nil"/>
              <w:right w:val="nil"/>
            </w:tcBorders>
            <w:shd w:val="clear" w:color="000000" w:fill="FFFFFF"/>
            <w:vAlign w:val="center"/>
            <w:hideMark/>
          </w:tcPr>
          <w:p w14:paraId="5419EFF3"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Rate of Revaluation for CARE Pensions</w:t>
            </w:r>
          </w:p>
        </w:tc>
        <w:tc>
          <w:tcPr>
            <w:tcW w:w="0" w:type="auto"/>
            <w:tcBorders>
              <w:top w:val="nil"/>
              <w:left w:val="nil"/>
              <w:bottom w:val="nil"/>
              <w:right w:val="nil"/>
            </w:tcBorders>
            <w:shd w:val="clear" w:color="000000" w:fill="FFFFFF"/>
            <w:vAlign w:val="center"/>
            <w:hideMark/>
          </w:tcPr>
          <w:p w14:paraId="02172FF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4E9900A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5EBA2D2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n/a</w:t>
            </w:r>
          </w:p>
        </w:tc>
        <w:tc>
          <w:tcPr>
            <w:tcW w:w="0" w:type="auto"/>
            <w:tcBorders>
              <w:top w:val="nil"/>
              <w:left w:val="single" w:sz="4" w:space="0" w:color="auto"/>
              <w:bottom w:val="nil"/>
              <w:right w:val="nil"/>
            </w:tcBorders>
            <w:shd w:val="clear" w:color="000000" w:fill="FFFFFF"/>
            <w:noWrap/>
            <w:vAlign w:val="center"/>
            <w:hideMark/>
          </w:tcPr>
          <w:p w14:paraId="27623982"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3.85</w:t>
            </w:r>
          </w:p>
        </w:tc>
        <w:tc>
          <w:tcPr>
            <w:tcW w:w="0" w:type="auto"/>
            <w:tcBorders>
              <w:top w:val="nil"/>
              <w:left w:val="nil"/>
              <w:bottom w:val="nil"/>
              <w:right w:val="nil"/>
            </w:tcBorders>
            <w:shd w:val="clear" w:color="000000" w:fill="CCECFF"/>
            <w:vAlign w:val="center"/>
            <w:hideMark/>
          </w:tcPr>
          <w:p w14:paraId="7E4506FD"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3.85</w:t>
            </w:r>
          </w:p>
        </w:tc>
      </w:tr>
      <w:tr w:rsidR="00DA4B61" w:rsidRPr="00DA4B61" w14:paraId="0818D0DD" w14:textId="77777777" w:rsidTr="00DA4B61">
        <w:trPr>
          <w:trHeight w:val="600"/>
        </w:trPr>
        <w:tc>
          <w:tcPr>
            <w:tcW w:w="0" w:type="auto"/>
            <w:gridSpan w:val="2"/>
            <w:tcBorders>
              <w:top w:val="nil"/>
              <w:left w:val="nil"/>
              <w:bottom w:val="nil"/>
              <w:right w:val="nil"/>
            </w:tcBorders>
            <w:shd w:val="clear" w:color="000000" w:fill="FFFFFF"/>
            <w:vAlign w:val="center"/>
            <w:hideMark/>
          </w:tcPr>
          <w:p w14:paraId="20E00BC8"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(LGPS)</w:t>
            </w:r>
          </w:p>
        </w:tc>
        <w:tc>
          <w:tcPr>
            <w:tcW w:w="0" w:type="auto"/>
            <w:tcBorders>
              <w:top w:val="nil"/>
              <w:left w:val="single" w:sz="4" w:space="0" w:color="auto"/>
              <w:bottom w:val="nil"/>
              <w:right w:val="nil"/>
            </w:tcBorders>
            <w:shd w:val="clear" w:color="000000" w:fill="FFFFFF"/>
            <w:noWrap/>
            <w:vAlign w:val="center"/>
            <w:hideMark/>
          </w:tcPr>
          <w:p w14:paraId="4E30BD7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50</w:t>
            </w:r>
          </w:p>
        </w:tc>
        <w:tc>
          <w:tcPr>
            <w:tcW w:w="0" w:type="auto"/>
            <w:tcBorders>
              <w:top w:val="nil"/>
              <w:left w:val="nil"/>
              <w:bottom w:val="nil"/>
              <w:right w:val="nil"/>
            </w:tcBorders>
            <w:shd w:val="clear" w:color="000000" w:fill="CCECFF"/>
            <w:vAlign w:val="center"/>
            <w:hideMark/>
          </w:tcPr>
          <w:p w14:paraId="3EE2495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55</w:t>
            </w:r>
          </w:p>
        </w:tc>
        <w:tc>
          <w:tcPr>
            <w:tcW w:w="0" w:type="auto"/>
            <w:tcBorders>
              <w:top w:val="nil"/>
              <w:left w:val="single" w:sz="4" w:space="0" w:color="auto"/>
              <w:bottom w:val="nil"/>
              <w:right w:val="nil"/>
            </w:tcBorders>
            <w:shd w:val="clear" w:color="000000" w:fill="FFFFFF"/>
            <w:noWrap/>
            <w:vAlign w:val="center"/>
            <w:hideMark/>
          </w:tcPr>
          <w:p w14:paraId="0A245BC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2FE1E4F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n/a </w:t>
            </w:r>
          </w:p>
        </w:tc>
      </w:tr>
      <w:tr w:rsidR="00DA4B61" w:rsidRPr="00DA4B61" w14:paraId="0F5EF04A" w14:textId="77777777" w:rsidTr="00DA4B61">
        <w:trPr>
          <w:trHeight w:val="600"/>
        </w:trPr>
        <w:tc>
          <w:tcPr>
            <w:tcW w:w="0" w:type="auto"/>
            <w:gridSpan w:val="2"/>
            <w:tcBorders>
              <w:top w:val="nil"/>
              <w:left w:val="nil"/>
              <w:bottom w:val="nil"/>
              <w:right w:val="nil"/>
            </w:tcBorders>
            <w:shd w:val="clear" w:color="000000" w:fill="FFFFFF"/>
            <w:vAlign w:val="center"/>
            <w:hideMark/>
          </w:tcPr>
          <w:p w14:paraId="3B11638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(1987)</w:t>
            </w:r>
          </w:p>
        </w:tc>
        <w:tc>
          <w:tcPr>
            <w:tcW w:w="0" w:type="auto"/>
            <w:tcBorders>
              <w:top w:val="nil"/>
              <w:left w:val="single" w:sz="4" w:space="0" w:color="auto"/>
              <w:bottom w:val="nil"/>
              <w:right w:val="nil"/>
            </w:tcBorders>
            <w:shd w:val="clear" w:color="000000" w:fill="FFFFFF"/>
            <w:noWrap/>
            <w:vAlign w:val="center"/>
            <w:hideMark/>
          </w:tcPr>
          <w:p w14:paraId="25254469"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1BE335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18C50147"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w:t>
            </w:r>
          </w:p>
        </w:tc>
        <w:tc>
          <w:tcPr>
            <w:tcW w:w="0" w:type="auto"/>
            <w:tcBorders>
              <w:top w:val="nil"/>
              <w:left w:val="nil"/>
              <w:bottom w:val="nil"/>
              <w:right w:val="nil"/>
            </w:tcBorders>
            <w:shd w:val="clear" w:color="000000" w:fill="CCECFF"/>
            <w:vAlign w:val="center"/>
            <w:hideMark/>
          </w:tcPr>
          <w:p w14:paraId="58CEC4C0"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25</w:t>
            </w:r>
          </w:p>
        </w:tc>
      </w:tr>
      <w:tr w:rsidR="00DA4B61" w:rsidRPr="00DA4B61" w14:paraId="1D7EDD27" w14:textId="77777777" w:rsidTr="00DA4B61">
        <w:trPr>
          <w:trHeight w:val="600"/>
        </w:trPr>
        <w:tc>
          <w:tcPr>
            <w:tcW w:w="0" w:type="auto"/>
            <w:gridSpan w:val="2"/>
            <w:tcBorders>
              <w:top w:val="nil"/>
              <w:left w:val="nil"/>
              <w:bottom w:val="nil"/>
              <w:right w:val="nil"/>
            </w:tcBorders>
            <w:shd w:val="clear" w:color="000000" w:fill="FFFFFF"/>
            <w:vAlign w:val="center"/>
            <w:hideMark/>
          </w:tcPr>
          <w:p w14:paraId="483507F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(2006)</w:t>
            </w:r>
          </w:p>
        </w:tc>
        <w:tc>
          <w:tcPr>
            <w:tcW w:w="0" w:type="auto"/>
            <w:tcBorders>
              <w:top w:val="nil"/>
              <w:left w:val="single" w:sz="4" w:space="0" w:color="auto"/>
              <w:bottom w:val="nil"/>
              <w:right w:val="nil"/>
            </w:tcBorders>
            <w:shd w:val="clear" w:color="000000" w:fill="FFFFFF"/>
            <w:noWrap/>
            <w:vAlign w:val="center"/>
            <w:hideMark/>
          </w:tcPr>
          <w:p w14:paraId="3580958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20F65336"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24E3044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n/a</w:t>
            </w:r>
          </w:p>
        </w:tc>
        <w:tc>
          <w:tcPr>
            <w:tcW w:w="0" w:type="auto"/>
            <w:tcBorders>
              <w:top w:val="nil"/>
              <w:left w:val="nil"/>
              <w:bottom w:val="nil"/>
              <w:right w:val="nil"/>
            </w:tcBorders>
            <w:shd w:val="clear" w:color="000000" w:fill="CCECFF"/>
            <w:vAlign w:val="center"/>
            <w:hideMark/>
          </w:tcPr>
          <w:p w14:paraId="3428D4F7"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n/a </w:t>
            </w:r>
          </w:p>
        </w:tc>
      </w:tr>
      <w:tr w:rsidR="00DA4B61" w:rsidRPr="00DA4B61" w14:paraId="4F8F6664" w14:textId="77777777" w:rsidTr="00DA4B61">
        <w:trPr>
          <w:trHeight w:val="600"/>
        </w:trPr>
        <w:tc>
          <w:tcPr>
            <w:tcW w:w="0" w:type="auto"/>
            <w:gridSpan w:val="2"/>
            <w:tcBorders>
              <w:top w:val="nil"/>
              <w:left w:val="nil"/>
              <w:bottom w:val="nil"/>
              <w:right w:val="nil"/>
            </w:tcBorders>
            <w:shd w:val="clear" w:color="000000" w:fill="FFFFFF"/>
            <w:vAlign w:val="center"/>
            <w:hideMark/>
          </w:tcPr>
          <w:p w14:paraId="26F6D758"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(2015)</w:t>
            </w:r>
          </w:p>
        </w:tc>
        <w:tc>
          <w:tcPr>
            <w:tcW w:w="0" w:type="auto"/>
            <w:tcBorders>
              <w:top w:val="nil"/>
              <w:left w:val="single" w:sz="4" w:space="0" w:color="auto"/>
              <w:bottom w:val="nil"/>
              <w:right w:val="nil"/>
            </w:tcBorders>
            <w:shd w:val="clear" w:color="000000" w:fill="FFFFFF"/>
            <w:noWrap/>
            <w:vAlign w:val="center"/>
            <w:hideMark/>
          </w:tcPr>
          <w:p w14:paraId="66B00AF5"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AA1377E"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65DA921F"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20</w:t>
            </w:r>
          </w:p>
        </w:tc>
        <w:tc>
          <w:tcPr>
            <w:tcW w:w="0" w:type="auto"/>
            <w:tcBorders>
              <w:top w:val="nil"/>
              <w:left w:val="nil"/>
              <w:bottom w:val="nil"/>
              <w:right w:val="nil"/>
            </w:tcBorders>
            <w:shd w:val="clear" w:color="000000" w:fill="CCECFF"/>
            <w:vAlign w:val="center"/>
            <w:hideMark/>
          </w:tcPr>
          <w:p w14:paraId="0D2495B1"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20</w:t>
            </w:r>
          </w:p>
        </w:tc>
      </w:tr>
      <w:tr w:rsidR="00DA4B61" w:rsidRPr="00DA4B61" w14:paraId="2D87ED9F" w14:textId="77777777" w:rsidTr="00DA4B61">
        <w:trPr>
          <w:trHeight w:val="600"/>
        </w:trPr>
        <w:tc>
          <w:tcPr>
            <w:tcW w:w="0" w:type="auto"/>
            <w:gridSpan w:val="2"/>
            <w:tcBorders>
              <w:top w:val="nil"/>
              <w:left w:val="nil"/>
              <w:bottom w:val="nil"/>
              <w:right w:val="nil"/>
            </w:tcBorders>
            <w:shd w:val="clear" w:color="000000" w:fill="FFFFFF"/>
            <w:vAlign w:val="center"/>
            <w:hideMark/>
          </w:tcPr>
          <w:p w14:paraId="4B57E1EB"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(Mixed 1987 &amp; 2015)</w:t>
            </w:r>
          </w:p>
        </w:tc>
        <w:tc>
          <w:tcPr>
            <w:tcW w:w="0" w:type="auto"/>
            <w:tcBorders>
              <w:top w:val="nil"/>
              <w:left w:val="single" w:sz="4" w:space="0" w:color="auto"/>
              <w:bottom w:val="nil"/>
              <w:right w:val="nil"/>
            </w:tcBorders>
            <w:shd w:val="clear" w:color="000000" w:fill="FFFFFF"/>
            <w:noWrap/>
            <w:vAlign w:val="center"/>
            <w:hideMark/>
          </w:tcPr>
          <w:p w14:paraId="0582DB2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bottom w:val="nil"/>
              <w:right w:val="nil"/>
            </w:tcBorders>
            <w:shd w:val="clear" w:color="000000" w:fill="CCECFF"/>
            <w:vAlign w:val="center"/>
            <w:hideMark/>
          </w:tcPr>
          <w:p w14:paraId="081F08E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bottom w:val="nil"/>
              <w:right w:val="nil"/>
            </w:tcBorders>
            <w:shd w:val="clear" w:color="000000" w:fill="FFFFFF"/>
            <w:noWrap/>
            <w:vAlign w:val="center"/>
            <w:hideMark/>
          </w:tcPr>
          <w:p w14:paraId="29A5E25C"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25/12</w:t>
            </w:r>
          </w:p>
        </w:tc>
        <w:tc>
          <w:tcPr>
            <w:tcW w:w="0" w:type="auto"/>
            <w:tcBorders>
              <w:top w:val="nil"/>
              <w:left w:val="nil"/>
              <w:bottom w:val="nil"/>
              <w:right w:val="nil"/>
            </w:tcBorders>
            <w:shd w:val="clear" w:color="000000" w:fill="CCECFF"/>
            <w:vAlign w:val="center"/>
            <w:hideMark/>
          </w:tcPr>
          <w:p w14:paraId="5BE9A5BB"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25/12 </w:t>
            </w:r>
          </w:p>
        </w:tc>
      </w:tr>
      <w:tr w:rsidR="00DA4B61" w:rsidRPr="00DA4B61" w14:paraId="50CA471F" w14:textId="77777777" w:rsidTr="005B4D7B">
        <w:trPr>
          <w:trHeight w:val="600"/>
        </w:trPr>
        <w:tc>
          <w:tcPr>
            <w:tcW w:w="0" w:type="auto"/>
            <w:gridSpan w:val="2"/>
            <w:tcBorders>
              <w:top w:val="nil"/>
              <w:left w:val="nil"/>
              <w:right w:val="nil"/>
            </w:tcBorders>
            <w:shd w:val="clear" w:color="000000" w:fill="FFFFFF"/>
            <w:vAlign w:val="center"/>
            <w:hideMark/>
          </w:tcPr>
          <w:p w14:paraId="52B3BBCF" w14:textId="77777777" w:rsidR="00DA4B61" w:rsidRPr="00DA4B61" w:rsidRDefault="00DA4B61" w:rsidP="00DA4B61">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Take up Option to Convert annual Pension into retirement Lump Sum (Mixed 2006 &amp; 2015)</w:t>
            </w:r>
          </w:p>
        </w:tc>
        <w:tc>
          <w:tcPr>
            <w:tcW w:w="0" w:type="auto"/>
            <w:tcBorders>
              <w:top w:val="nil"/>
              <w:left w:val="single" w:sz="4" w:space="0" w:color="auto"/>
              <w:right w:val="nil"/>
            </w:tcBorders>
            <w:shd w:val="clear" w:color="000000" w:fill="FFFFFF"/>
            <w:noWrap/>
            <w:vAlign w:val="center"/>
            <w:hideMark/>
          </w:tcPr>
          <w:p w14:paraId="5438E63D"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 </w:t>
            </w:r>
          </w:p>
        </w:tc>
        <w:tc>
          <w:tcPr>
            <w:tcW w:w="0" w:type="auto"/>
            <w:tcBorders>
              <w:top w:val="nil"/>
              <w:left w:val="nil"/>
              <w:right w:val="nil"/>
            </w:tcBorders>
            <w:shd w:val="clear" w:color="000000" w:fill="CCECFF"/>
            <w:vAlign w:val="center"/>
            <w:hideMark/>
          </w:tcPr>
          <w:p w14:paraId="25E59D89"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w:t>
            </w:r>
          </w:p>
        </w:tc>
        <w:tc>
          <w:tcPr>
            <w:tcW w:w="0" w:type="auto"/>
            <w:tcBorders>
              <w:top w:val="nil"/>
              <w:left w:val="single" w:sz="4" w:space="0" w:color="auto"/>
              <w:right w:val="nil"/>
            </w:tcBorders>
            <w:shd w:val="clear" w:color="000000" w:fill="FFFFFF"/>
            <w:noWrap/>
            <w:vAlign w:val="center"/>
            <w:hideMark/>
          </w:tcPr>
          <w:p w14:paraId="74D94F68" w14:textId="77777777" w:rsidR="00DA4B61" w:rsidRPr="00DA4B61" w:rsidRDefault="00DA4B61" w:rsidP="00DA4B61">
            <w:pPr>
              <w:spacing w:line="240" w:lineRule="auto"/>
              <w:jc w:val="center"/>
              <w:rPr>
                <w:rFonts w:eastAsia="Times New Roman" w:cs="Calibri"/>
                <w:color w:val="000000"/>
                <w:szCs w:val="20"/>
                <w:lang w:eastAsia="en-GB"/>
              </w:rPr>
            </w:pPr>
            <w:r w:rsidRPr="00DA4B61">
              <w:rPr>
                <w:rFonts w:eastAsia="Times New Roman" w:cs="Calibri"/>
                <w:color w:val="000000"/>
                <w:szCs w:val="20"/>
                <w:lang w:eastAsia="en-GB"/>
              </w:rPr>
              <w:t>0/20</w:t>
            </w:r>
          </w:p>
        </w:tc>
        <w:tc>
          <w:tcPr>
            <w:tcW w:w="0" w:type="auto"/>
            <w:tcBorders>
              <w:top w:val="nil"/>
              <w:left w:val="nil"/>
              <w:right w:val="nil"/>
            </w:tcBorders>
            <w:shd w:val="clear" w:color="000000" w:fill="CCECFF"/>
            <w:vAlign w:val="center"/>
            <w:hideMark/>
          </w:tcPr>
          <w:p w14:paraId="4FC8434A" w14:textId="77777777" w:rsidR="00DA4B61" w:rsidRPr="00DA4B61" w:rsidRDefault="00DA4B61" w:rsidP="00DA4B61">
            <w:pPr>
              <w:spacing w:line="240" w:lineRule="auto"/>
              <w:jc w:val="center"/>
              <w:rPr>
                <w:rFonts w:eastAsia="Times New Roman" w:cs="Calibri"/>
                <w:color w:val="auto"/>
                <w:szCs w:val="20"/>
                <w:lang w:eastAsia="en-GB"/>
              </w:rPr>
            </w:pPr>
            <w:r w:rsidRPr="00DA4B61">
              <w:rPr>
                <w:rFonts w:eastAsia="Times New Roman" w:cs="Calibri"/>
                <w:color w:val="auto"/>
                <w:szCs w:val="20"/>
                <w:lang w:eastAsia="en-GB"/>
              </w:rPr>
              <w:t xml:space="preserve"> 0/20 </w:t>
            </w:r>
          </w:p>
        </w:tc>
      </w:tr>
    </w:tbl>
    <w:p w14:paraId="0096EF4D" w14:textId="621B37FB" w:rsidR="005433C7" w:rsidRPr="00EC546C" w:rsidRDefault="005433C7" w:rsidP="005433C7">
      <w:pPr>
        <w:rPr>
          <w:rFonts w:eastAsia="Calibri"/>
          <w:szCs w:val="20"/>
        </w:rPr>
      </w:pPr>
    </w:p>
    <w:p w14:paraId="43141042" w14:textId="77777777" w:rsidR="00D810FB" w:rsidRPr="00BF5D0D" w:rsidRDefault="00D810FB" w:rsidP="005433C7">
      <w:pPr>
        <w:rPr>
          <w:rFonts w:ascii="Verdana" w:eastAsia="Calibri" w:hAnsi="Verdana" w:cs="Arial"/>
          <w:sz w:val="8"/>
          <w:szCs w:val="8"/>
        </w:rPr>
      </w:pPr>
    </w:p>
    <w:p w14:paraId="73C09A7A" w14:textId="04EB7E5E" w:rsidR="003C09E9" w:rsidRDefault="003C09E9" w:rsidP="003C09E9">
      <w:r w:rsidRPr="00673492">
        <w:t xml:space="preserve">Changes to the Local Government Pension Scheme permit employees retiring on or after 6 April 2006 to take an increase in their lump sum payment on retirement in exchange for a reduction in their future annual pension.  On the advice of our actuaries, we have assumed that 50% of employees retiring after 6 April 2006 will take advantage of this.  Our actuaries have advised that this </w:t>
      </w:r>
      <w:r>
        <w:t>will reduce the value of the O</w:t>
      </w:r>
      <w:r w:rsidRPr="00673492">
        <w:t>CC’s pension liabilities</w:t>
      </w:r>
      <w:r w:rsidR="00354E03">
        <w:t>,</w:t>
      </w:r>
      <w:r w:rsidRPr="00673492">
        <w:t xml:space="preserve"> and this has been included within Non-Distributed Costs on the face of the Income and Expenditure Account.</w:t>
      </w:r>
    </w:p>
    <w:p w14:paraId="2D481A7B" w14:textId="77777777" w:rsidR="009C5E03" w:rsidRDefault="009C5E03" w:rsidP="003C09E9"/>
    <w:p w14:paraId="2B61FF1D" w14:textId="67B90C9F" w:rsidR="009C5E03" w:rsidRDefault="009C5E03" w:rsidP="003C09E9">
      <w:r w:rsidRPr="009C5E03">
        <w:t>The sensitivity analys</w:t>
      </w:r>
      <w:r w:rsidR="00F96273">
        <w:t>i</w:t>
      </w:r>
      <w:r w:rsidRPr="009C5E03">
        <w:t xml:space="preserve">s below </w:t>
      </w:r>
      <w:r w:rsidR="00F96273" w:rsidRPr="009C5E03">
        <w:t>has</w:t>
      </w:r>
      <w:r w:rsidRPr="009C5E03">
        <w:t xml:space="preser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w:t>
      </w:r>
      <w:r w:rsidRPr="009C5E03">
        <w:lastRenderedPageBreak/>
        <w:t>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06CC0DBB" w14:textId="77777777" w:rsidR="009C5E03" w:rsidRDefault="009C5E03" w:rsidP="003C09E9"/>
    <w:tbl>
      <w:tblPr>
        <w:tblW w:w="5000" w:type="pct"/>
        <w:tblLook w:val="04A0" w:firstRow="1" w:lastRow="0" w:firstColumn="1" w:lastColumn="0" w:noHBand="0" w:noVBand="1"/>
      </w:tblPr>
      <w:tblGrid>
        <w:gridCol w:w="4344"/>
        <w:gridCol w:w="1325"/>
        <w:gridCol w:w="1324"/>
        <w:gridCol w:w="1324"/>
        <w:gridCol w:w="1322"/>
      </w:tblGrid>
      <w:tr w:rsidR="00E0127C" w:rsidRPr="00E0127C" w14:paraId="25762A20" w14:textId="77777777" w:rsidTr="00E0127C">
        <w:trPr>
          <w:trHeight w:val="290"/>
        </w:trPr>
        <w:tc>
          <w:tcPr>
            <w:tcW w:w="2253" w:type="pct"/>
            <w:vMerge w:val="restart"/>
            <w:tcBorders>
              <w:top w:val="nil"/>
              <w:left w:val="nil"/>
              <w:bottom w:val="nil"/>
              <w:right w:val="nil"/>
            </w:tcBorders>
            <w:shd w:val="clear" w:color="000000" w:fill="000099"/>
            <w:hideMark/>
          </w:tcPr>
          <w:p w14:paraId="21CF78E8"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Impact on Defined Benefit Obligation</w:t>
            </w:r>
          </w:p>
        </w:tc>
        <w:tc>
          <w:tcPr>
            <w:tcW w:w="687" w:type="pct"/>
            <w:tcBorders>
              <w:top w:val="nil"/>
              <w:left w:val="nil"/>
              <w:bottom w:val="nil"/>
              <w:right w:val="nil"/>
            </w:tcBorders>
            <w:shd w:val="clear" w:color="000000" w:fill="000099"/>
            <w:noWrap/>
            <w:vAlign w:val="center"/>
            <w:hideMark/>
          </w:tcPr>
          <w:p w14:paraId="2F5E1574"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2022/23</w:t>
            </w:r>
          </w:p>
        </w:tc>
        <w:tc>
          <w:tcPr>
            <w:tcW w:w="687" w:type="pct"/>
            <w:tcBorders>
              <w:top w:val="nil"/>
              <w:left w:val="nil"/>
              <w:bottom w:val="nil"/>
              <w:right w:val="nil"/>
            </w:tcBorders>
            <w:shd w:val="clear" w:color="000000" w:fill="000099"/>
            <w:noWrap/>
            <w:vAlign w:val="center"/>
            <w:hideMark/>
          </w:tcPr>
          <w:p w14:paraId="4769CD52"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2023/24</w:t>
            </w:r>
          </w:p>
        </w:tc>
        <w:tc>
          <w:tcPr>
            <w:tcW w:w="687" w:type="pct"/>
            <w:tcBorders>
              <w:top w:val="nil"/>
              <w:left w:val="nil"/>
              <w:bottom w:val="nil"/>
              <w:right w:val="nil"/>
            </w:tcBorders>
            <w:shd w:val="clear" w:color="000000" w:fill="000099"/>
            <w:noWrap/>
            <w:vAlign w:val="center"/>
            <w:hideMark/>
          </w:tcPr>
          <w:p w14:paraId="40F695E3"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2022/23</w:t>
            </w:r>
          </w:p>
        </w:tc>
        <w:tc>
          <w:tcPr>
            <w:tcW w:w="687" w:type="pct"/>
            <w:tcBorders>
              <w:top w:val="nil"/>
              <w:left w:val="nil"/>
              <w:bottom w:val="nil"/>
              <w:right w:val="nil"/>
            </w:tcBorders>
            <w:shd w:val="clear" w:color="000000" w:fill="000099"/>
            <w:noWrap/>
            <w:vAlign w:val="center"/>
            <w:hideMark/>
          </w:tcPr>
          <w:p w14:paraId="4EE0E9CD"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2023/24</w:t>
            </w:r>
          </w:p>
        </w:tc>
      </w:tr>
      <w:tr w:rsidR="00E0127C" w:rsidRPr="00E0127C" w14:paraId="49849611" w14:textId="77777777" w:rsidTr="00E0127C">
        <w:trPr>
          <w:trHeight w:val="290"/>
        </w:trPr>
        <w:tc>
          <w:tcPr>
            <w:tcW w:w="2253" w:type="pct"/>
            <w:vMerge/>
            <w:tcBorders>
              <w:top w:val="nil"/>
              <w:left w:val="nil"/>
              <w:bottom w:val="nil"/>
              <w:right w:val="nil"/>
            </w:tcBorders>
            <w:vAlign w:val="center"/>
            <w:hideMark/>
          </w:tcPr>
          <w:p w14:paraId="413AE07F" w14:textId="77777777" w:rsidR="00E0127C" w:rsidRPr="00E0127C" w:rsidRDefault="00E0127C" w:rsidP="00E0127C">
            <w:pPr>
              <w:spacing w:line="240" w:lineRule="auto"/>
              <w:jc w:val="left"/>
              <w:rPr>
                <w:rFonts w:eastAsia="Times New Roman" w:cs="Calibri"/>
                <w:b/>
                <w:bCs/>
                <w:color w:val="FFFFFF"/>
                <w:szCs w:val="20"/>
                <w:lang w:eastAsia="en-GB"/>
              </w:rPr>
            </w:pPr>
          </w:p>
        </w:tc>
        <w:tc>
          <w:tcPr>
            <w:tcW w:w="1373" w:type="pct"/>
            <w:gridSpan w:val="2"/>
            <w:vMerge w:val="restart"/>
            <w:tcBorders>
              <w:top w:val="nil"/>
              <w:left w:val="nil"/>
              <w:bottom w:val="nil"/>
              <w:right w:val="nil"/>
            </w:tcBorders>
            <w:shd w:val="clear" w:color="000000" w:fill="000099"/>
            <w:vAlign w:val="center"/>
            <w:hideMark/>
          </w:tcPr>
          <w:p w14:paraId="0AC33DEF"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Local Government</w:t>
            </w:r>
            <w:r w:rsidRPr="00E0127C">
              <w:rPr>
                <w:rFonts w:eastAsia="Times New Roman" w:cs="Calibri"/>
                <w:b/>
                <w:bCs/>
                <w:color w:val="FFFFFF"/>
                <w:szCs w:val="20"/>
                <w:lang w:eastAsia="en-GB"/>
              </w:rPr>
              <w:br/>
              <w:t>Pension Scheme</w:t>
            </w:r>
          </w:p>
        </w:tc>
        <w:tc>
          <w:tcPr>
            <w:tcW w:w="1373" w:type="pct"/>
            <w:gridSpan w:val="2"/>
            <w:vMerge w:val="restart"/>
            <w:tcBorders>
              <w:top w:val="nil"/>
              <w:left w:val="nil"/>
              <w:bottom w:val="nil"/>
              <w:right w:val="nil"/>
            </w:tcBorders>
            <w:shd w:val="clear" w:color="000000" w:fill="000099"/>
            <w:vAlign w:val="center"/>
            <w:hideMark/>
          </w:tcPr>
          <w:p w14:paraId="7F2BAC79"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Police</w:t>
            </w:r>
            <w:r w:rsidRPr="00E0127C">
              <w:rPr>
                <w:rFonts w:eastAsia="Times New Roman" w:cs="Calibri"/>
                <w:b/>
                <w:bCs/>
                <w:color w:val="FFFFFF"/>
                <w:szCs w:val="20"/>
                <w:lang w:eastAsia="en-GB"/>
              </w:rPr>
              <w:br/>
              <w:t>Pension Scheme</w:t>
            </w:r>
          </w:p>
        </w:tc>
      </w:tr>
      <w:tr w:rsidR="00E0127C" w:rsidRPr="00E0127C" w14:paraId="6A532143" w14:textId="77777777" w:rsidTr="00E0127C">
        <w:trPr>
          <w:trHeight w:val="290"/>
        </w:trPr>
        <w:tc>
          <w:tcPr>
            <w:tcW w:w="2253" w:type="pct"/>
            <w:vMerge w:val="restart"/>
            <w:tcBorders>
              <w:top w:val="nil"/>
              <w:left w:val="nil"/>
              <w:bottom w:val="nil"/>
              <w:right w:val="nil"/>
            </w:tcBorders>
            <w:shd w:val="clear" w:color="000000" w:fill="000099"/>
            <w:hideMark/>
          </w:tcPr>
          <w:p w14:paraId="7E7DEA9B"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Increase/Decrease in assumption</w:t>
            </w:r>
          </w:p>
        </w:tc>
        <w:tc>
          <w:tcPr>
            <w:tcW w:w="1373" w:type="pct"/>
            <w:gridSpan w:val="2"/>
            <w:vMerge/>
            <w:tcBorders>
              <w:top w:val="nil"/>
              <w:left w:val="nil"/>
              <w:bottom w:val="nil"/>
              <w:right w:val="nil"/>
            </w:tcBorders>
            <w:vAlign w:val="center"/>
            <w:hideMark/>
          </w:tcPr>
          <w:p w14:paraId="3F9E33BF" w14:textId="77777777" w:rsidR="00E0127C" w:rsidRPr="00E0127C" w:rsidRDefault="00E0127C" w:rsidP="00E0127C">
            <w:pPr>
              <w:spacing w:line="240" w:lineRule="auto"/>
              <w:jc w:val="left"/>
              <w:rPr>
                <w:rFonts w:eastAsia="Times New Roman" w:cs="Calibri"/>
                <w:b/>
                <w:bCs/>
                <w:color w:val="FFFFFF"/>
                <w:szCs w:val="20"/>
                <w:lang w:eastAsia="en-GB"/>
              </w:rPr>
            </w:pPr>
          </w:p>
        </w:tc>
        <w:tc>
          <w:tcPr>
            <w:tcW w:w="1373" w:type="pct"/>
            <w:gridSpan w:val="2"/>
            <w:vMerge/>
            <w:tcBorders>
              <w:top w:val="nil"/>
              <w:left w:val="nil"/>
              <w:bottom w:val="nil"/>
              <w:right w:val="nil"/>
            </w:tcBorders>
            <w:vAlign w:val="center"/>
            <w:hideMark/>
          </w:tcPr>
          <w:p w14:paraId="3333EE8B" w14:textId="77777777" w:rsidR="00E0127C" w:rsidRPr="00E0127C" w:rsidRDefault="00E0127C" w:rsidP="00E0127C">
            <w:pPr>
              <w:spacing w:line="240" w:lineRule="auto"/>
              <w:jc w:val="left"/>
              <w:rPr>
                <w:rFonts w:eastAsia="Times New Roman" w:cs="Calibri"/>
                <w:b/>
                <w:bCs/>
                <w:color w:val="FFFFFF"/>
                <w:szCs w:val="20"/>
                <w:lang w:eastAsia="en-GB"/>
              </w:rPr>
            </w:pPr>
          </w:p>
        </w:tc>
      </w:tr>
      <w:tr w:rsidR="00E0127C" w:rsidRPr="00E0127C" w14:paraId="4DD2AE50" w14:textId="77777777" w:rsidTr="00E0127C">
        <w:trPr>
          <w:trHeight w:val="290"/>
        </w:trPr>
        <w:tc>
          <w:tcPr>
            <w:tcW w:w="2253" w:type="pct"/>
            <w:vMerge/>
            <w:tcBorders>
              <w:top w:val="nil"/>
              <w:left w:val="nil"/>
              <w:bottom w:val="nil"/>
              <w:right w:val="nil"/>
            </w:tcBorders>
            <w:vAlign w:val="center"/>
            <w:hideMark/>
          </w:tcPr>
          <w:p w14:paraId="122FEE38" w14:textId="77777777" w:rsidR="00E0127C" w:rsidRPr="00E0127C" w:rsidRDefault="00E0127C" w:rsidP="00E0127C">
            <w:pPr>
              <w:spacing w:line="240" w:lineRule="auto"/>
              <w:jc w:val="left"/>
              <w:rPr>
                <w:rFonts w:eastAsia="Times New Roman" w:cs="Calibri"/>
                <w:b/>
                <w:bCs/>
                <w:color w:val="FFFFFF"/>
                <w:szCs w:val="20"/>
                <w:lang w:eastAsia="en-GB"/>
              </w:rPr>
            </w:pPr>
          </w:p>
        </w:tc>
        <w:tc>
          <w:tcPr>
            <w:tcW w:w="687" w:type="pct"/>
            <w:tcBorders>
              <w:top w:val="nil"/>
              <w:left w:val="nil"/>
              <w:bottom w:val="nil"/>
              <w:right w:val="nil"/>
            </w:tcBorders>
            <w:shd w:val="clear" w:color="000000" w:fill="000099"/>
            <w:noWrap/>
            <w:vAlign w:val="center"/>
            <w:hideMark/>
          </w:tcPr>
          <w:p w14:paraId="53D29CE1"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c>
          <w:tcPr>
            <w:tcW w:w="687" w:type="pct"/>
            <w:tcBorders>
              <w:top w:val="nil"/>
              <w:left w:val="nil"/>
              <w:bottom w:val="nil"/>
              <w:right w:val="nil"/>
            </w:tcBorders>
            <w:shd w:val="clear" w:color="000000" w:fill="000099"/>
            <w:noWrap/>
            <w:vAlign w:val="center"/>
            <w:hideMark/>
          </w:tcPr>
          <w:p w14:paraId="51D948F7"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c>
          <w:tcPr>
            <w:tcW w:w="687" w:type="pct"/>
            <w:tcBorders>
              <w:top w:val="nil"/>
              <w:left w:val="nil"/>
              <w:bottom w:val="nil"/>
              <w:right w:val="nil"/>
            </w:tcBorders>
            <w:shd w:val="clear" w:color="000000" w:fill="000099"/>
            <w:noWrap/>
            <w:vAlign w:val="center"/>
            <w:hideMark/>
          </w:tcPr>
          <w:p w14:paraId="17D114C8"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c>
          <w:tcPr>
            <w:tcW w:w="687" w:type="pct"/>
            <w:tcBorders>
              <w:top w:val="nil"/>
              <w:left w:val="nil"/>
              <w:bottom w:val="nil"/>
              <w:right w:val="nil"/>
            </w:tcBorders>
            <w:shd w:val="clear" w:color="000000" w:fill="000099"/>
            <w:noWrap/>
            <w:vAlign w:val="center"/>
            <w:hideMark/>
          </w:tcPr>
          <w:p w14:paraId="4B170975"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r>
      <w:tr w:rsidR="00E0127C" w:rsidRPr="00E0127C" w14:paraId="349EAE34" w14:textId="77777777" w:rsidTr="00E0127C">
        <w:trPr>
          <w:trHeight w:val="290"/>
        </w:trPr>
        <w:tc>
          <w:tcPr>
            <w:tcW w:w="2253" w:type="pct"/>
            <w:tcBorders>
              <w:top w:val="nil"/>
              <w:left w:val="nil"/>
              <w:bottom w:val="nil"/>
              <w:right w:val="single" w:sz="4" w:space="0" w:color="auto"/>
            </w:tcBorders>
            <w:shd w:val="clear" w:color="000000" w:fill="FFFFFF"/>
            <w:vAlign w:val="center"/>
            <w:hideMark/>
          </w:tcPr>
          <w:p w14:paraId="2676009D"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Longevity (increase in 1 year)</w:t>
            </w:r>
          </w:p>
        </w:tc>
        <w:tc>
          <w:tcPr>
            <w:tcW w:w="687" w:type="pct"/>
            <w:tcBorders>
              <w:top w:val="nil"/>
              <w:left w:val="nil"/>
              <w:bottom w:val="nil"/>
              <w:right w:val="nil"/>
            </w:tcBorders>
            <w:shd w:val="clear" w:color="000000" w:fill="FFFFFF"/>
            <w:noWrap/>
            <w:vAlign w:val="bottom"/>
            <w:hideMark/>
          </w:tcPr>
          <w:p w14:paraId="180260CD"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4%</w:t>
            </w:r>
          </w:p>
        </w:tc>
        <w:tc>
          <w:tcPr>
            <w:tcW w:w="687" w:type="pct"/>
            <w:tcBorders>
              <w:top w:val="nil"/>
              <w:left w:val="nil"/>
              <w:bottom w:val="nil"/>
              <w:right w:val="nil"/>
            </w:tcBorders>
            <w:shd w:val="clear" w:color="000000" w:fill="CCECFF"/>
            <w:vAlign w:val="bottom"/>
            <w:hideMark/>
          </w:tcPr>
          <w:p w14:paraId="2E48632D"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4%</w:t>
            </w:r>
          </w:p>
        </w:tc>
        <w:tc>
          <w:tcPr>
            <w:tcW w:w="687" w:type="pct"/>
            <w:tcBorders>
              <w:top w:val="nil"/>
              <w:left w:val="nil"/>
              <w:bottom w:val="nil"/>
              <w:right w:val="nil"/>
            </w:tcBorders>
            <w:shd w:val="clear" w:color="000000" w:fill="FFFFFF"/>
            <w:noWrap/>
            <w:vAlign w:val="bottom"/>
            <w:hideMark/>
          </w:tcPr>
          <w:p w14:paraId="2A1192DC"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2.5%</w:t>
            </w:r>
          </w:p>
        </w:tc>
        <w:tc>
          <w:tcPr>
            <w:tcW w:w="687" w:type="pct"/>
            <w:tcBorders>
              <w:top w:val="nil"/>
              <w:left w:val="nil"/>
              <w:bottom w:val="nil"/>
              <w:right w:val="nil"/>
            </w:tcBorders>
            <w:shd w:val="clear" w:color="000000" w:fill="CCECFF"/>
            <w:vAlign w:val="bottom"/>
            <w:hideMark/>
          </w:tcPr>
          <w:p w14:paraId="7F3BCFC5"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2.5%</w:t>
            </w:r>
          </w:p>
        </w:tc>
      </w:tr>
      <w:tr w:rsidR="00E0127C" w:rsidRPr="00E0127C" w14:paraId="062AD386" w14:textId="77777777" w:rsidTr="00E0127C">
        <w:trPr>
          <w:trHeight w:val="580"/>
        </w:trPr>
        <w:tc>
          <w:tcPr>
            <w:tcW w:w="2253" w:type="pct"/>
            <w:tcBorders>
              <w:top w:val="nil"/>
              <w:left w:val="nil"/>
              <w:bottom w:val="nil"/>
              <w:right w:val="single" w:sz="4" w:space="0" w:color="auto"/>
            </w:tcBorders>
            <w:shd w:val="clear" w:color="000000" w:fill="FFFFFF"/>
            <w:vAlign w:val="center"/>
            <w:hideMark/>
          </w:tcPr>
          <w:p w14:paraId="468DE19F"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Rate of increase in salaries (increase by 0.1%)</w:t>
            </w:r>
          </w:p>
        </w:tc>
        <w:tc>
          <w:tcPr>
            <w:tcW w:w="687" w:type="pct"/>
            <w:tcBorders>
              <w:top w:val="nil"/>
              <w:left w:val="nil"/>
              <w:bottom w:val="nil"/>
              <w:right w:val="nil"/>
            </w:tcBorders>
            <w:shd w:val="clear" w:color="000000" w:fill="FFFFFF"/>
            <w:noWrap/>
            <w:vAlign w:val="bottom"/>
            <w:hideMark/>
          </w:tcPr>
          <w:p w14:paraId="4C157DB5"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0%</w:t>
            </w:r>
          </w:p>
        </w:tc>
        <w:tc>
          <w:tcPr>
            <w:tcW w:w="687" w:type="pct"/>
            <w:tcBorders>
              <w:top w:val="nil"/>
              <w:left w:val="nil"/>
              <w:bottom w:val="nil"/>
              <w:right w:val="nil"/>
            </w:tcBorders>
            <w:shd w:val="clear" w:color="000000" w:fill="CCECFF"/>
            <w:vAlign w:val="bottom"/>
            <w:hideMark/>
          </w:tcPr>
          <w:p w14:paraId="6F8466A3"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0%</w:t>
            </w:r>
          </w:p>
        </w:tc>
        <w:tc>
          <w:tcPr>
            <w:tcW w:w="687" w:type="pct"/>
            <w:tcBorders>
              <w:top w:val="nil"/>
              <w:left w:val="nil"/>
              <w:bottom w:val="nil"/>
              <w:right w:val="nil"/>
            </w:tcBorders>
            <w:shd w:val="clear" w:color="000000" w:fill="FFFFFF"/>
            <w:noWrap/>
            <w:vAlign w:val="bottom"/>
            <w:hideMark/>
          </w:tcPr>
          <w:p w14:paraId="45626BE8"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0.2%</w:t>
            </w:r>
          </w:p>
        </w:tc>
        <w:tc>
          <w:tcPr>
            <w:tcW w:w="687" w:type="pct"/>
            <w:tcBorders>
              <w:top w:val="nil"/>
              <w:left w:val="nil"/>
              <w:bottom w:val="nil"/>
              <w:right w:val="nil"/>
            </w:tcBorders>
            <w:shd w:val="clear" w:color="000000" w:fill="CCECFF"/>
            <w:vAlign w:val="bottom"/>
            <w:hideMark/>
          </w:tcPr>
          <w:p w14:paraId="6BD28450"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0.2%</w:t>
            </w:r>
          </w:p>
        </w:tc>
      </w:tr>
      <w:tr w:rsidR="00E0127C" w:rsidRPr="00E0127C" w14:paraId="63FE6061" w14:textId="77777777" w:rsidTr="00E0127C">
        <w:trPr>
          <w:trHeight w:val="580"/>
        </w:trPr>
        <w:tc>
          <w:tcPr>
            <w:tcW w:w="2253" w:type="pct"/>
            <w:tcBorders>
              <w:top w:val="nil"/>
              <w:left w:val="nil"/>
              <w:bottom w:val="nil"/>
              <w:right w:val="single" w:sz="4" w:space="0" w:color="auto"/>
            </w:tcBorders>
            <w:shd w:val="clear" w:color="000000" w:fill="FFFFFF"/>
            <w:vAlign w:val="center"/>
            <w:hideMark/>
          </w:tcPr>
          <w:p w14:paraId="340162DE"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Rate of increase in pensions (increase 0.1%)</w:t>
            </w:r>
          </w:p>
        </w:tc>
        <w:tc>
          <w:tcPr>
            <w:tcW w:w="687" w:type="pct"/>
            <w:tcBorders>
              <w:top w:val="nil"/>
              <w:left w:val="nil"/>
              <w:bottom w:val="nil"/>
              <w:right w:val="nil"/>
            </w:tcBorders>
            <w:shd w:val="clear" w:color="000000" w:fill="FFFFFF"/>
            <w:noWrap/>
            <w:vAlign w:val="bottom"/>
            <w:hideMark/>
          </w:tcPr>
          <w:p w14:paraId="343AB86A"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2%</w:t>
            </w:r>
          </w:p>
        </w:tc>
        <w:tc>
          <w:tcPr>
            <w:tcW w:w="687" w:type="pct"/>
            <w:tcBorders>
              <w:top w:val="nil"/>
              <w:left w:val="nil"/>
              <w:bottom w:val="nil"/>
              <w:right w:val="nil"/>
            </w:tcBorders>
            <w:shd w:val="clear" w:color="000000" w:fill="CCECFF"/>
            <w:vAlign w:val="bottom"/>
            <w:hideMark/>
          </w:tcPr>
          <w:p w14:paraId="4BC18536"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2%</w:t>
            </w:r>
          </w:p>
        </w:tc>
        <w:tc>
          <w:tcPr>
            <w:tcW w:w="687" w:type="pct"/>
            <w:tcBorders>
              <w:top w:val="nil"/>
              <w:left w:val="nil"/>
              <w:bottom w:val="nil"/>
              <w:right w:val="nil"/>
            </w:tcBorders>
            <w:shd w:val="clear" w:color="000000" w:fill="FFFFFF"/>
            <w:noWrap/>
            <w:vAlign w:val="bottom"/>
            <w:hideMark/>
          </w:tcPr>
          <w:p w14:paraId="5A204620"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1.5%</w:t>
            </w:r>
          </w:p>
        </w:tc>
        <w:tc>
          <w:tcPr>
            <w:tcW w:w="687" w:type="pct"/>
            <w:tcBorders>
              <w:top w:val="nil"/>
              <w:left w:val="nil"/>
              <w:bottom w:val="nil"/>
              <w:right w:val="nil"/>
            </w:tcBorders>
            <w:shd w:val="clear" w:color="000000" w:fill="CCECFF"/>
            <w:vAlign w:val="bottom"/>
            <w:hideMark/>
          </w:tcPr>
          <w:p w14:paraId="232F2DD7"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1.5%</w:t>
            </w:r>
          </w:p>
        </w:tc>
      </w:tr>
      <w:tr w:rsidR="00E0127C" w:rsidRPr="00E0127C" w14:paraId="3222ADFE" w14:textId="77777777" w:rsidTr="00E0127C">
        <w:trPr>
          <w:trHeight w:val="580"/>
        </w:trPr>
        <w:tc>
          <w:tcPr>
            <w:tcW w:w="2253" w:type="pct"/>
            <w:tcBorders>
              <w:top w:val="nil"/>
              <w:left w:val="nil"/>
              <w:bottom w:val="single" w:sz="4" w:space="0" w:color="auto"/>
              <w:right w:val="single" w:sz="4" w:space="0" w:color="auto"/>
            </w:tcBorders>
            <w:shd w:val="clear" w:color="000000" w:fill="FFFFFF"/>
            <w:vAlign w:val="center"/>
            <w:hideMark/>
          </w:tcPr>
          <w:p w14:paraId="30C449D2"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Rate for discounting Scheme liabilities (decrease by 0.1%)</w:t>
            </w:r>
          </w:p>
        </w:tc>
        <w:tc>
          <w:tcPr>
            <w:tcW w:w="687" w:type="pct"/>
            <w:tcBorders>
              <w:top w:val="nil"/>
              <w:left w:val="nil"/>
              <w:bottom w:val="single" w:sz="4" w:space="0" w:color="auto"/>
              <w:right w:val="nil"/>
            </w:tcBorders>
            <w:shd w:val="clear" w:color="000000" w:fill="FFFFFF"/>
            <w:noWrap/>
            <w:vAlign w:val="bottom"/>
            <w:hideMark/>
          </w:tcPr>
          <w:p w14:paraId="7550DC4C"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2%</w:t>
            </w:r>
          </w:p>
        </w:tc>
        <w:tc>
          <w:tcPr>
            <w:tcW w:w="687" w:type="pct"/>
            <w:tcBorders>
              <w:top w:val="nil"/>
              <w:left w:val="nil"/>
              <w:bottom w:val="single" w:sz="4" w:space="0" w:color="auto"/>
              <w:right w:val="nil"/>
            </w:tcBorders>
            <w:shd w:val="clear" w:color="000000" w:fill="CCECFF"/>
            <w:vAlign w:val="bottom"/>
            <w:hideMark/>
          </w:tcPr>
          <w:p w14:paraId="3A2035BD"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2%</w:t>
            </w:r>
          </w:p>
        </w:tc>
        <w:tc>
          <w:tcPr>
            <w:tcW w:w="687" w:type="pct"/>
            <w:tcBorders>
              <w:top w:val="nil"/>
              <w:left w:val="nil"/>
              <w:bottom w:val="single" w:sz="4" w:space="0" w:color="auto"/>
              <w:right w:val="nil"/>
            </w:tcBorders>
            <w:shd w:val="clear" w:color="000000" w:fill="FFFFFF"/>
            <w:noWrap/>
            <w:vAlign w:val="bottom"/>
            <w:hideMark/>
          </w:tcPr>
          <w:p w14:paraId="00BA5D52" w14:textId="77777777" w:rsidR="00E0127C" w:rsidRPr="00E0127C" w:rsidRDefault="00E0127C" w:rsidP="00E0127C">
            <w:pPr>
              <w:spacing w:line="240" w:lineRule="auto"/>
              <w:jc w:val="right"/>
              <w:rPr>
                <w:rFonts w:eastAsia="Times New Roman" w:cs="Calibri"/>
                <w:color w:val="000000"/>
                <w:sz w:val="22"/>
                <w:szCs w:val="22"/>
                <w:lang w:eastAsia="en-GB"/>
              </w:rPr>
            </w:pPr>
            <w:r w:rsidRPr="00E0127C">
              <w:rPr>
                <w:rFonts w:eastAsia="Times New Roman" w:cs="Calibri"/>
                <w:color w:val="000000"/>
                <w:sz w:val="22"/>
                <w:szCs w:val="22"/>
                <w:lang w:eastAsia="en-GB"/>
              </w:rPr>
              <w:t>-1.6%</w:t>
            </w:r>
          </w:p>
        </w:tc>
        <w:tc>
          <w:tcPr>
            <w:tcW w:w="687" w:type="pct"/>
            <w:tcBorders>
              <w:top w:val="nil"/>
              <w:left w:val="nil"/>
              <w:bottom w:val="single" w:sz="4" w:space="0" w:color="auto"/>
              <w:right w:val="nil"/>
            </w:tcBorders>
            <w:shd w:val="clear" w:color="000000" w:fill="CCECFF"/>
            <w:vAlign w:val="bottom"/>
            <w:hideMark/>
          </w:tcPr>
          <w:p w14:paraId="089AB51C" w14:textId="77777777" w:rsidR="00E0127C" w:rsidRPr="00E0127C" w:rsidRDefault="00E0127C" w:rsidP="00E0127C">
            <w:pPr>
              <w:spacing w:line="240" w:lineRule="auto"/>
              <w:jc w:val="right"/>
              <w:rPr>
                <w:rFonts w:eastAsia="Times New Roman" w:cs="Calibri"/>
                <w:color w:val="auto"/>
                <w:sz w:val="22"/>
                <w:szCs w:val="22"/>
                <w:lang w:eastAsia="en-GB"/>
              </w:rPr>
            </w:pPr>
            <w:r w:rsidRPr="00E0127C">
              <w:rPr>
                <w:rFonts w:eastAsia="Times New Roman" w:cs="Calibri"/>
                <w:color w:val="auto"/>
                <w:sz w:val="22"/>
                <w:szCs w:val="22"/>
                <w:lang w:eastAsia="en-GB"/>
              </w:rPr>
              <w:t>-1.6%</w:t>
            </w:r>
          </w:p>
        </w:tc>
      </w:tr>
    </w:tbl>
    <w:p w14:paraId="47980863" w14:textId="0AF1BEF7" w:rsidR="009C5E03" w:rsidRPr="00673492" w:rsidRDefault="009C5E03" w:rsidP="003C09E9"/>
    <w:p w14:paraId="3EF326BE" w14:textId="77777777" w:rsidR="003C09E9" w:rsidRPr="00673492" w:rsidRDefault="003C09E9" w:rsidP="003C09E9">
      <w:pPr>
        <w:rPr>
          <w:rFonts w:asciiTheme="minorHAnsi" w:hAnsiTheme="minorHAnsi"/>
          <w:sz w:val="18"/>
        </w:rPr>
      </w:pPr>
    </w:p>
    <w:p w14:paraId="4E201403" w14:textId="058BAA9B" w:rsidR="00E348F6" w:rsidRDefault="003C09E9" w:rsidP="005433C7">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5174F468" w14:textId="77777777" w:rsidR="00E61487" w:rsidRDefault="00E61487" w:rsidP="005433C7"/>
    <w:tbl>
      <w:tblPr>
        <w:tblW w:w="5000" w:type="pct"/>
        <w:tblLook w:val="04A0" w:firstRow="1" w:lastRow="0" w:firstColumn="1" w:lastColumn="0" w:noHBand="0" w:noVBand="1"/>
      </w:tblPr>
      <w:tblGrid>
        <w:gridCol w:w="3199"/>
        <w:gridCol w:w="1610"/>
        <w:gridCol w:w="1610"/>
        <w:gridCol w:w="1610"/>
        <w:gridCol w:w="1610"/>
      </w:tblGrid>
      <w:tr w:rsidR="00E0127C" w:rsidRPr="00E0127C" w14:paraId="4B707A25" w14:textId="77777777" w:rsidTr="00E0127C">
        <w:trPr>
          <w:trHeight w:val="290"/>
        </w:trPr>
        <w:tc>
          <w:tcPr>
            <w:tcW w:w="1660" w:type="pct"/>
            <w:tcBorders>
              <w:top w:val="nil"/>
              <w:left w:val="nil"/>
              <w:bottom w:val="nil"/>
              <w:right w:val="nil"/>
            </w:tcBorders>
            <w:shd w:val="clear" w:color="000000" w:fill="000099"/>
            <w:noWrap/>
            <w:vAlign w:val="center"/>
            <w:hideMark/>
          </w:tcPr>
          <w:p w14:paraId="3CA07BCE" w14:textId="77777777" w:rsidR="00E0127C" w:rsidRPr="00E0127C" w:rsidRDefault="00E0127C" w:rsidP="00E0127C">
            <w:pPr>
              <w:spacing w:line="240" w:lineRule="auto"/>
              <w:jc w:val="left"/>
              <w:rPr>
                <w:rFonts w:eastAsia="Times New Roman" w:cs="Calibri"/>
                <w:b/>
                <w:bCs/>
                <w:color w:val="FFFFFF"/>
                <w:szCs w:val="20"/>
                <w:lang w:eastAsia="en-GB"/>
              </w:rPr>
            </w:pPr>
            <w:r w:rsidRPr="00E0127C">
              <w:rPr>
                <w:rFonts w:eastAsia="Times New Roman" w:cs="Calibri"/>
                <w:b/>
                <w:bCs/>
                <w:color w:val="FFFFFF"/>
                <w:szCs w:val="20"/>
                <w:lang w:eastAsia="en-GB"/>
              </w:rPr>
              <w:t>Fair value of plan assets</w:t>
            </w:r>
          </w:p>
        </w:tc>
        <w:tc>
          <w:tcPr>
            <w:tcW w:w="835" w:type="pct"/>
            <w:tcBorders>
              <w:top w:val="nil"/>
              <w:left w:val="nil"/>
              <w:bottom w:val="nil"/>
              <w:right w:val="nil"/>
            </w:tcBorders>
            <w:shd w:val="clear" w:color="000000" w:fill="000099"/>
            <w:noWrap/>
            <w:vAlign w:val="center"/>
            <w:hideMark/>
          </w:tcPr>
          <w:p w14:paraId="73BA6892"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c>
          <w:tcPr>
            <w:tcW w:w="835" w:type="pct"/>
            <w:tcBorders>
              <w:top w:val="nil"/>
              <w:left w:val="nil"/>
              <w:bottom w:val="nil"/>
              <w:right w:val="nil"/>
            </w:tcBorders>
            <w:shd w:val="clear" w:color="000000" w:fill="000099"/>
            <w:noWrap/>
            <w:vAlign w:val="center"/>
            <w:hideMark/>
          </w:tcPr>
          <w:p w14:paraId="514AA7F8"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c>
          <w:tcPr>
            <w:tcW w:w="835" w:type="pct"/>
            <w:tcBorders>
              <w:top w:val="nil"/>
              <w:left w:val="nil"/>
              <w:bottom w:val="nil"/>
              <w:right w:val="nil"/>
            </w:tcBorders>
            <w:shd w:val="clear" w:color="000000" w:fill="000099"/>
            <w:noWrap/>
            <w:vAlign w:val="center"/>
            <w:hideMark/>
          </w:tcPr>
          <w:p w14:paraId="381AA38B"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c>
          <w:tcPr>
            <w:tcW w:w="835" w:type="pct"/>
            <w:tcBorders>
              <w:top w:val="nil"/>
              <w:left w:val="nil"/>
              <w:bottom w:val="nil"/>
              <w:right w:val="nil"/>
            </w:tcBorders>
            <w:shd w:val="clear" w:color="000000" w:fill="000099"/>
            <w:noWrap/>
            <w:vAlign w:val="center"/>
            <w:hideMark/>
          </w:tcPr>
          <w:p w14:paraId="7100EC27"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r>
      <w:tr w:rsidR="00E0127C" w:rsidRPr="00E0127C" w14:paraId="19B58663" w14:textId="77777777" w:rsidTr="00E0127C">
        <w:trPr>
          <w:trHeight w:val="253"/>
        </w:trPr>
        <w:tc>
          <w:tcPr>
            <w:tcW w:w="1660" w:type="pct"/>
            <w:tcBorders>
              <w:top w:val="nil"/>
              <w:left w:val="nil"/>
              <w:bottom w:val="nil"/>
              <w:right w:val="nil"/>
            </w:tcBorders>
            <w:shd w:val="clear" w:color="000000" w:fill="000099"/>
            <w:noWrap/>
            <w:vAlign w:val="center"/>
            <w:hideMark/>
          </w:tcPr>
          <w:p w14:paraId="350ABF86"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c>
          <w:tcPr>
            <w:tcW w:w="1670" w:type="pct"/>
            <w:gridSpan w:val="2"/>
            <w:tcBorders>
              <w:top w:val="nil"/>
              <w:left w:val="nil"/>
              <w:bottom w:val="nil"/>
              <w:right w:val="nil"/>
            </w:tcBorders>
            <w:shd w:val="clear" w:color="000000" w:fill="000099"/>
            <w:noWrap/>
            <w:vAlign w:val="center"/>
            <w:hideMark/>
          </w:tcPr>
          <w:p w14:paraId="78624899" w14:textId="481311EF"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31</w:t>
            </w:r>
            <w:r w:rsidR="00FA6679">
              <w:rPr>
                <w:rFonts w:eastAsia="Times New Roman" w:cs="Calibri"/>
                <w:b/>
                <w:bCs/>
                <w:color w:val="FFFFFF"/>
                <w:szCs w:val="20"/>
                <w:lang w:eastAsia="en-GB"/>
              </w:rPr>
              <w:t xml:space="preserve"> </w:t>
            </w:r>
            <w:r w:rsidRPr="00E0127C">
              <w:rPr>
                <w:rFonts w:eastAsia="Times New Roman" w:cs="Calibri"/>
                <w:b/>
                <w:bCs/>
                <w:color w:val="FFFFFF"/>
                <w:szCs w:val="20"/>
                <w:lang w:eastAsia="en-GB"/>
              </w:rPr>
              <w:t>Mar</w:t>
            </w:r>
            <w:r w:rsidR="00FA6679">
              <w:rPr>
                <w:rFonts w:eastAsia="Times New Roman" w:cs="Calibri"/>
                <w:b/>
                <w:bCs/>
                <w:color w:val="FFFFFF"/>
                <w:szCs w:val="20"/>
                <w:lang w:eastAsia="en-GB"/>
              </w:rPr>
              <w:t xml:space="preserve"> </w:t>
            </w:r>
            <w:r w:rsidRPr="00E0127C">
              <w:rPr>
                <w:rFonts w:eastAsia="Times New Roman" w:cs="Calibri"/>
                <w:b/>
                <w:bCs/>
                <w:color w:val="FFFFFF"/>
                <w:szCs w:val="20"/>
                <w:lang w:eastAsia="en-GB"/>
              </w:rPr>
              <w:t>23</w:t>
            </w:r>
          </w:p>
        </w:tc>
        <w:tc>
          <w:tcPr>
            <w:tcW w:w="1670" w:type="pct"/>
            <w:gridSpan w:val="2"/>
            <w:tcBorders>
              <w:top w:val="nil"/>
              <w:left w:val="nil"/>
              <w:bottom w:val="nil"/>
              <w:right w:val="nil"/>
            </w:tcBorders>
            <w:shd w:val="clear" w:color="000000" w:fill="000099"/>
            <w:noWrap/>
            <w:vAlign w:val="center"/>
            <w:hideMark/>
          </w:tcPr>
          <w:p w14:paraId="6D881C60" w14:textId="0D1CD760"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31</w:t>
            </w:r>
            <w:r w:rsidR="00FA6679">
              <w:rPr>
                <w:rFonts w:eastAsia="Times New Roman" w:cs="Calibri"/>
                <w:b/>
                <w:bCs/>
                <w:color w:val="FFFFFF"/>
                <w:szCs w:val="20"/>
                <w:lang w:eastAsia="en-GB"/>
              </w:rPr>
              <w:t xml:space="preserve"> </w:t>
            </w:r>
            <w:r w:rsidRPr="00E0127C">
              <w:rPr>
                <w:rFonts w:eastAsia="Times New Roman" w:cs="Calibri"/>
                <w:b/>
                <w:bCs/>
                <w:color w:val="FFFFFF"/>
                <w:szCs w:val="20"/>
                <w:lang w:eastAsia="en-GB"/>
              </w:rPr>
              <w:t>Mar</w:t>
            </w:r>
            <w:r w:rsidR="00FA6679">
              <w:rPr>
                <w:rFonts w:eastAsia="Times New Roman" w:cs="Calibri"/>
                <w:b/>
                <w:bCs/>
                <w:color w:val="FFFFFF"/>
                <w:szCs w:val="20"/>
                <w:lang w:eastAsia="en-GB"/>
              </w:rPr>
              <w:t xml:space="preserve"> </w:t>
            </w:r>
            <w:r w:rsidRPr="00E0127C">
              <w:rPr>
                <w:rFonts w:eastAsia="Times New Roman" w:cs="Calibri"/>
                <w:b/>
                <w:bCs/>
                <w:color w:val="FFFFFF"/>
                <w:szCs w:val="20"/>
                <w:lang w:eastAsia="en-GB"/>
              </w:rPr>
              <w:t>24</w:t>
            </w:r>
          </w:p>
        </w:tc>
      </w:tr>
      <w:tr w:rsidR="00E0127C" w:rsidRPr="00E0127C" w14:paraId="7B317242" w14:textId="77777777" w:rsidTr="00E0127C">
        <w:trPr>
          <w:trHeight w:val="426"/>
        </w:trPr>
        <w:tc>
          <w:tcPr>
            <w:tcW w:w="1660" w:type="pct"/>
            <w:tcBorders>
              <w:top w:val="nil"/>
              <w:left w:val="nil"/>
              <w:bottom w:val="nil"/>
              <w:right w:val="nil"/>
            </w:tcBorders>
            <w:shd w:val="clear" w:color="000000" w:fill="000099"/>
            <w:noWrap/>
            <w:vAlign w:val="center"/>
            <w:hideMark/>
          </w:tcPr>
          <w:p w14:paraId="63F15303" w14:textId="77777777" w:rsidR="00E0127C" w:rsidRPr="00E0127C" w:rsidRDefault="00E0127C" w:rsidP="00E0127C">
            <w:pPr>
              <w:spacing w:line="240" w:lineRule="auto"/>
              <w:jc w:val="left"/>
              <w:rPr>
                <w:rFonts w:eastAsia="Times New Roman" w:cs="Calibri"/>
                <w:b/>
                <w:bCs/>
                <w:color w:val="FFFFFF"/>
                <w:szCs w:val="20"/>
                <w:lang w:eastAsia="en-GB"/>
              </w:rPr>
            </w:pPr>
            <w:r w:rsidRPr="00E0127C">
              <w:rPr>
                <w:rFonts w:eastAsia="Times New Roman" w:cs="Calibri"/>
                <w:b/>
                <w:bCs/>
                <w:color w:val="FFFFFF"/>
                <w:szCs w:val="20"/>
                <w:lang w:eastAsia="en-GB"/>
              </w:rPr>
              <w:t>Asset category</w:t>
            </w:r>
          </w:p>
        </w:tc>
        <w:tc>
          <w:tcPr>
            <w:tcW w:w="835" w:type="pct"/>
            <w:tcBorders>
              <w:top w:val="nil"/>
              <w:left w:val="nil"/>
              <w:bottom w:val="nil"/>
              <w:right w:val="nil"/>
            </w:tcBorders>
            <w:shd w:val="clear" w:color="000000" w:fill="000099"/>
            <w:noWrap/>
            <w:vAlign w:val="center"/>
            <w:hideMark/>
          </w:tcPr>
          <w:p w14:paraId="3C0A8C22"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Total</w:t>
            </w:r>
          </w:p>
        </w:tc>
        <w:tc>
          <w:tcPr>
            <w:tcW w:w="835" w:type="pct"/>
            <w:tcBorders>
              <w:top w:val="nil"/>
              <w:left w:val="nil"/>
              <w:bottom w:val="nil"/>
              <w:right w:val="nil"/>
            </w:tcBorders>
            <w:shd w:val="clear" w:color="000000" w:fill="000099"/>
            <w:noWrap/>
            <w:vAlign w:val="center"/>
            <w:hideMark/>
          </w:tcPr>
          <w:p w14:paraId="7BAEB95B"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Percentage</w:t>
            </w:r>
          </w:p>
        </w:tc>
        <w:tc>
          <w:tcPr>
            <w:tcW w:w="835" w:type="pct"/>
            <w:tcBorders>
              <w:top w:val="nil"/>
              <w:left w:val="nil"/>
              <w:bottom w:val="nil"/>
              <w:right w:val="nil"/>
            </w:tcBorders>
            <w:shd w:val="clear" w:color="000000" w:fill="000099"/>
            <w:noWrap/>
            <w:vAlign w:val="center"/>
            <w:hideMark/>
          </w:tcPr>
          <w:p w14:paraId="7909E36C"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Total</w:t>
            </w:r>
          </w:p>
        </w:tc>
        <w:tc>
          <w:tcPr>
            <w:tcW w:w="835" w:type="pct"/>
            <w:tcBorders>
              <w:top w:val="nil"/>
              <w:left w:val="nil"/>
              <w:bottom w:val="nil"/>
              <w:right w:val="nil"/>
            </w:tcBorders>
            <w:shd w:val="clear" w:color="000000" w:fill="000099"/>
            <w:noWrap/>
            <w:vAlign w:val="center"/>
            <w:hideMark/>
          </w:tcPr>
          <w:p w14:paraId="0B66A0BF"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Percentage</w:t>
            </w:r>
          </w:p>
        </w:tc>
      </w:tr>
      <w:tr w:rsidR="00E0127C" w:rsidRPr="00E0127C" w14:paraId="5E677D54" w14:textId="77777777" w:rsidTr="00E0127C">
        <w:trPr>
          <w:trHeight w:val="290"/>
        </w:trPr>
        <w:tc>
          <w:tcPr>
            <w:tcW w:w="1660" w:type="pct"/>
            <w:tcBorders>
              <w:top w:val="nil"/>
              <w:left w:val="nil"/>
              <w:bottom w:val="nil"/>
              <w:right w:val="nil"/>
            </w:tcBorders>
            <w:shd w:val="clear" w:color="000000" w:fill="000099"/>
            <w:noWrap/>
            <w:vAlign w:val="center"/>
            <w:hideMark/>
          </w:tcPr>
          <w:p w14:paraId="32F95AFE"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 </w:t>
            </w:r>
          </w:p>
        </w:tc>
        <w:tc>
          <w:tcPr>
            <w:tcW w:w="835" w:type="pct"/>
            <w:tcBorders>
              <w:top w:val="nil"/>
              <w:left w:val="nil"/>
              <w:bottom w:val="nil"/>
              <w:right w:val="nil"/>
            </w:tcBorders>
            <w:shd w:val="clear" w:color="000000" w:fill="000099"/>
            <w:noWrap/>
            <w:vAlign w:val="center"/>
            <w:hideMark/>
          </w:tcPr>
          <w:p w14:paraId="2324966C"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£000</w:t>
            </w:r>
          </w:p>
        </w:tc>
        <w:tc>
          <w:tcPr>
            <w:tcW w:w="835" w:type="pct"/>
            <w:tcBorders>
              <w:top w:val="nil"/>
              <w:left w:val="nil"/>
              <w:bottom w:val="nil"/>
              <w:right w:val="nil"/>
            </w:tcBorders>
            <w:shd w:val="clear" w:color="000000" w:fill="000099"/>
            <w:noWrap/>
            <w:vAlign w:val="center"/>
            <w:hideMark/>
          </w:tcPr>
          <w:p w14:paraId="4DAB6009"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c>
          <w:tcPr>
            <w:tcW w:w="835" w:type="pct"/>
            <w:tcBorders>
              <w:top w:val="nil"/>
              <w:left w:val="nil"/>
              <w:bottom w:val="nil"/>
              <w:right w:val="nil"/>
            </w:tcBorders>
            <w:shd w:val="clear" w:color="000000" w:fill="000099"/>
            <w:noWrap/>
            <w:vAlign w:val="center"/>
            <w:hideMark/>
          </w:tcPr>
          <w:p w14:paraId="429018F4"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£000</w:t>
            </w:r>
          </w:p>
        </w:tc>
        <w:tc>
          <w:tcPr>
            <w:tcW w:w="835" w:type="pct"/>
            <w:tcBorders>
              <w:top w:val="nil"/>
              <w:left w:val="nil"/>
              <w:bottom w:val="nil"/>
              <w:right w:val="nil"/>
            </w:tcBorders>
            <w:shd w:val="clear" w:color="000000" w:fill="000099"/>
            <w:noWrap/>
            <w:vAlign w:val="center"/>
            <w:hideMark/>
          </w:tcPr>
          <w:p w14:paraId="2D1A20C2" w14:textId="77777777" w:rsidR="00E0127C" w:rsidRPr="00E0127C" w:rsidRDefault="00E0127C" w:rsidP="00E0127C">
            <w:pPr>
              <w:spacing w:line="240" w:lineRule="auto"/>
              <w:jc w:val="center"/>
              <w:rPr>
                <w:rFonts w:eastAsia="Times New Roman" w:cs="Calibri"/>
                <w:b/>
                <w:bCs/>
                <w:color w:val="FFFFFF"/>
                <w:szCs w:val="20"/>
                <w:lang w:eastAsia="en-GB"/>
              </w:rPr>
            </w:pPr>
            <w:r w:rsidRPr="00E0127C">
              <w:rPr>
                <w:rFonts w:eastAsia="Times New Roman" w:cs="Calibri"/>
                <w:b/>
                <w:bCs/>
                <w:color w:val="FFFFFF"/>
                <w:szCs w:val="20"/>
                <w:lang w:eastAsia="en-GB"/>
              </w:rPr>
              <w:t>%</w:t>
            </w:r>
          </w:p>
        </w:tc>
      </w:tr>
      <w:tr w:rsidR="00E0127C" w:rsidRPr="00E0127C" w14:paraId="4FD34D36" w14:textId="77777777" w:rsidTr="00E0127C">
        <w:trPr>
          <w:trHeight w:val="290"/>
        </w:trPr>
        <w:tc>
          <w:tcPr>
            <w:tcW w:w="1660" w:type="pct"/>
            <w:tcBorders>
              <w:top w:val="nil"/>
              <w:left w:val="nil"/>
              <w:bottom w:val="nil"/>
              <w:right w:val="nil"/>
            </w:tcBorders>
            <w:shd w:val="clear" w:color="000000" w:fill="FFFFFF"/>
            <w:noWrap/>
            <w:vAlign w:val="bottom"/>
            <w:hideMark/>
          </w:tcPr>
          <w:p w14:paraId="433FEAF7"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Equity Securities</w:t>
            </w:r>
          </w:p>
        </w:tc>
        <w:tc>
          <w:tcPr>
            <w:tcW w:w="835" w:type="pct"/>
            <w:tcBorders>
              <w:top w:val="nil"/>
              <w:left w:val="nil"/>
              <w:bottom w:val="nil"/>
              <w:right w:val="nil"/>
            </w:tcBorders>
            <w:shd w:val="clear" w:color="000000" w:fill="FFFFFF"/>
            <w:noWrap/>
            <w:vAlign w:val="bottom"/>
            <w:hideMark/>
          </w:tcPr>
          <w:p w14:paraId="0625CB58"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72F698A0"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794A320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2E6E12C8"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635C7157" w14:textId="77777777" w:rsidTr="00E0127C">
        <w:trPr>
          <w:trHeight w:val="290"/>
        </w:trPr>
        <w:tc>
          <w:tcPr>
            <w:tcW w:w="1660" w:type="pct"/>
            <w:tcBorders>
              <w:top w:val="nil"/>
              <w:left w:val="nil"/>
              <w:bottom w:val="nil"/>
              <w:right w:val="nil"/>
            </w:tcBorders>
            <w:shd w:val="clear" w:color="000000" w:fill="FFFFFF"/>
            <w:noWrap/>
            <w:vAlign w:val="bottom"/>
            <w:hideMark/>
          </w:tcPr>
          <w:p w14:paraId="7845E030"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Consumer</w:t>
            </w:r>
          </w:p>
        </w:tc>
        <w:tc>
          <w:tcPr>
            <w:tcW w:w="835" w:type="pct"/>
            <w:tcBorders>
              <w:top w:val="nil"/>
              <w:left w:val="nil"/>
              <w:bottom w:val="nil"/>
              <w:right w:val="nil"/>
            </w:tcBorders>
            <w:shd w:val="clear" w:color="000000" w:fill="FFFFFF"/>
            <w:noWrap/>
            <w:vAlign w:val="bottom"/>
            <w:hideMark/>
          </w:tcPr>
          <w:p w14:paraId="2BB68DE5"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156E58CB"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45512BFA"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2,441.2 </w:t>
            </w:r>
          </w:p>
        </w:tc>
        <w:tc>
          <w:tcPr>
            <w:tcW w:w="835" w:type="pct"/>
            <w:tcBorders>
              <w:top w:val="nil"/>
              <w:left w:val="nil"/>
              <w:bottom w:val="nil"/>
              <w:right w:val="nil"/>
            </w:tcBorders>
            <w:shd w:val="clear" w:color="000000" w:fill="CCECFF"/>
            <w:noWrap/>
            <w:vAlign w:val="bottom"/>
            <w:hideMark/>
          </w:tcPr>
          <w:p w14:paraId="5610F38E"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w:t>
            </w:r>
          </w:p>
        </w:tc>
      </w:tr>
      <w:tr w:rsidR="00E0127C" w:rsidRPr="00E0127C" w14:paraId="47F81D58" w14:textId="77777777" w:rsidTr="00E0127C">
        <w:trPr>
          <w:trHeight w:val="290"/>
        </w:trPr>
        <w:tc>
          <w:tcPr>
            <w:tcW w:w="1660" w:type="pct"/>
            <w:tcBorders>
              <w:top w:val="nil"/>
              <w:left w:val="nil"/>
              <w:bottom w:val="nil"/>
              <w:right w:val="nil"/>
            </w:tcBorders>
            <w:shd w:val="clear" w:color="000000" w:fill="FFFFFF"/>
            <w:noWrap/>
            <w:vAlign w:val="bottom"/>
            <w:hideMark/>
          </w:tcPr>
          <w:p w14:paraId="6C74FFE1"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Manufacturing</w:t>
            </w:r>
          </w:p>
        </w:tc>
        <w:tc>
          <w:tcPr>
            <w:tcW w:w="835" w:type="pct"/>
            <w:tcBorders>
              <w:top w:val="nil"/>
              <w:left w:val="nil"/>
              <w:bottom w:val="nil"/>
              <w:right w:val="nil"/>
            </w:tcBorders>
            <w:shd w:val="clear" w:color="000000" w:fill="FFFFFF"/>
            <w:noWrap/>
            <w:vAlign w:val="bottom"/>
            <w:hideMark/>
          </w:tcPr>
          <w:p w14:paraId="5F893C71"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2EE0B5DC"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7DAD8798"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2,153.2 </w:t>
            </w:r>
          </w:p>
        </w:tc>
        <w:tc>
          <w:tcPr>
            <w:tcW w:w="835" w:type="pct"/>
            <w:tcBorders>
              <w:top w:val="nil"/>
              <w:left w:val="nil"/>
              <w:bottom w:val="nil"/>
              <w:right w:val="nil"/>
            </w:tcBorders>
            <w:shd w:val="clear" w:color="000000" w:fill="CCECFF"/>
            <w:noWrap/>
            <w:vAlign w:val="bottom"/>
            <w:hideMark/>
          </w:tcPr>
          <w:p w14:paraId="0537C7C9"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w:t>
            </w:r>
          </w:p>
        </w:tc>
      </w:tr>
      <w:tr w:rsidR="00E0127C" w:rsidRPr="00E0127C" w14:paraId="5BD69956" w14:textId="77777777" w:rsidTr="00E0127C">
        <w:trPr>
          <w:trHeight w:val="290"/>
        </w:trPr>
        <w:tc>
          <w:tcPr>
            <w:tcW w:w="1660" w:type="pct"/>
            <w:tcBorders>
              <w:top w:val="nil"/>
              <w:left w:val="nil"/>
              <w:bottom w:val="nil"/>
              <w:right w:val="nil"/>
            </w:tcBorders>
            <w:shd w:val="clear" w:color="000000" w:fill="FFFFFF"/>
            <w:noWrap/>
            <w:vAlign w:val="bottom"/>
            <w:hideMark/>
          </w:tcPr>
          <w:p w14:paraId="148AA312"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Energy and Utilities</w:t>
            </w:r>
          </w:p>
        </w:tc>
        <w:tc>
          <w:tcPr>
            <w:tcW w:w="835" w:type="pct"/>
            <w:tcBorders>
              <w:top w:val="nil"/>
              <w:left w:val="nil"/>
              <w:bottom w:val="nil"/>
              <w:right w:val="nil"/>
            </w:tcBorders>
            <w:shd w:val="clear" w:color="000000" w:fill="FFFFFF"/>
            <w:noWrap/>
            <w:vAlign w:val="bottom"/>
            <w:hideMark/>
          </w:tcPr>
          <w:p w14:paraId="259EA4CF"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522566AD"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7FE0CDA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999.2 </w:t>
            </w:r>
          </w:p>
        </w:tc>
        <w:tc>
          <w:tcPr>
            <w:tcW w:w="835" w:type="pct"/>
            <w:tcBorders>
              <w:top w:val="nil"/>
              <w:left w:val="nil"/>
              <w:bottom w:val="nil"/>
              <w:right w:val="nil"/>
            </w:tcBorders>
            <w:shd w:val="clear" w:color="000000" w:fill="CCECFF"/>
            <w:noWrap/>
            <w:vAlign w:val="bottom"/>
            <w:hideMark/>
          </w:tcPr>
          <w:p w14:paraId="6E3E01C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13A832C9" w14:textId="77777777" w:rsidTr="00E0127C">
        <w:trPr>
          <w:trHeight w:val="290"/>
        </w:trPr>
        <w:tc>
          <w:tcPr>
            <w:tcW w:w="1660" w:type="pct"/>
            <w:tcBorders>
              <w:top w:val="nil"/>
              <w:left w:val="nil"/>
              <w:bottom w:val="nil"/>
              <w:right w:val="nil"/>
            </w:tcBorders>
            <w:shd w:val="clear" w:color="000000" w:fill="FFFFFF"/>
            <w:noWrap/>
            <w:vAlign w:val="bottom"/>
            <w:hideMark/>
          </w:tcPr>
          <w:p w14:paraId="52C5700D"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Financial Institutions</w:t>
            </w:r>
          </w:p>
        </w:tc>
        <w:tc>
          <w:tcPr>
            <w:tcW w:w="835" w:type="pct"/>
            <w:tcBorders>
              <w:top w:val="nil"/>
              <w:left w:val="nil"/>
              <w:bottom w:val="nil"/>
              <w:right w:val="nil"/>
            </w:tcBorders>
            <w:shd w:val="clear" w:color="000000" w:fill="FFFFFF"/>
            <w:noWrap/>
            <w:vAlign w:val="bottom"/>
            <w:hideMark/>
          </w:tcPr>
          <w:p w14:paraId="7B688D91"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750BF4A0"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66B48F31"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2,083.4 </w:t>
            </w:r>
          </w:p>
        </w:tc>
        <w:tc>
          <w:tcPr>
            <w:tcW w:w="835" w:type="pct"/>
            <w:tcBorders>
              <w:top w:val="nil"/>
              <w:left w:val="nil"/>
              <w:bottom w:val="nil"/>
              <w:right w:val="nil"/>
            </w:tcBorders>
            <w:shd w:val="clear" w:color="000000" w:fill="CCECFF"/>
            <w:noWrap/>
            <w:vAlign w:val="bottom"/>
            <w:hideMark/>
          </w:tcPr>
          <w:p w14:paraId="37E6286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w:t>
            </w:r>
          </w:p>
        </w:tc>
      </w:tr>
      <w:tr w:rsidR="00E0127C" w:rsidRPr="00E0127C" w14:paraId="342F9104" w14:textId="77777777" w:rsidTr="00E0127C">
        <w:trPr>
          <w:trHeight w:val="290"/>
        </w:trPr>
        <w:tc>
          <w:tcPr>
            <w:tcW w:w="1660" w:type="pct"/>
            <w:tcBorders>
              <w:top w:val="nil"/>
              <w:left w:val="nil"/>
              <w:bottom w:val="nil"/>
              <w:right w:val="nil"/>
            </w:tcBorders>
            <w:shd w:val="clear" w:color="000000" w:fill="FFFFFF"/>
            <w:noWrap/>
            <w:vAlign w:val="bottom"/>
            <w:hideMark/>
          </w:tcPr>
          <w:p w14:paraId="36B1142C"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Health and Care</w:t>
            </w:r>
          </w:p>
        </w:tc>
        <w:tc>
          <w:tcPr>
            <w:tcW w:w="835" w:type="pct"/>
            <w:tcBorders>
              <w:top w:val="nil"/>
              <w:left w:val="nil"/>
              <w:bottom w:val="nil"/>
              <w:right w:val="nil"/>
            </w:tcBorders>
            <w:shd w:val="clear" w:color="000000" w:fill="FFFFFF"/>
            <w:noWrap/>
            <w:vAlign w:val="bottom"/>
            <w:hideMark/>
          </w:tcPr>
          <w:p w14:paraId="425FBCF1"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6DE04509"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4FC56227"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1,625.2 </w:t>
            </w:r>
          </w:p>
        </w:tc>
        <w:tc>
          <w:tcPr>
            <w:tcW w:w="835" w:type="pct"/>
            <w:tcBorders>
              <w:top w:val="nil"/>
              <w:left w:val="nil"/>
              <w:bottom w:val="nil"/>
              <w:right w:val="nil"/>
            </w:tcBorders>
            <w:shd w:val="clear" w:color="000000" w:fill="CCECFF"/>
            <w:noWrap/>
            <w:vAlign w:val="bottom"/>
            <w:hideMark/>
          </w:tcPr>
          <w:p w14:paraId="625363F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w:t>
            </w:r>
          </w:p>
        </w:tc>
      </w:tr>
      <w:tr w:rsidR="00E0127C" w:rsidRPr="00E0127C" w14:paraId="45D22EF7" w14:textId="77777777" w:rsidTr="00E0127C">
        <w:trPr>
          <w:trHeight w:val="290"/>
        </w:trPr>
        <w:tc>
          <w:tcPr>
            <w:tcW w:w="1660" w:type="pct"/>
            <w:tcBorders>
              <w:top w:val="nil"/>
              <w:left w:val="nil"/>
              <w:bottom w:val="nil"/>
              <w:right w:val="nil"/>
            </w:tcBorders>
            <w:shd w:val="clear" w:color="000000" w:fill="FFFFFF"/>
            <w:noWrap/>
            <w:vAlign w:val="bottom"/>
            <w:hideMark/>
          </w:tcPr>
          <w:p w14:paraId="1FDB1175"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Information Technology</w:t>
            </w:r>
          </w:p>
        </w:tc>
        <w:tc>
          <w:tcPr>
            <w:tcW w:w="835" w:type="pct"/>
            <w:tcBorders>
              <w:top w:val="nil"/>
              <w:left w:val="nil"/>
              <w:bottom w:val="nil"/>
              <w:right w:val="nil"/>
            </w:tcBorders>
            <w:shd w:val="clear" w:color="000000" w:fill="FFFFFF"/>
            <w:noWrap/>
            <w:vAlign w:val="bottom"/>
            <w:hideMark/>
          </w:tcPr>
          <w:p w14:paraId="32398887"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64376068"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3B7A6CE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4,162.0 </w:t>
            </w:r>
          </w:p>
        </w:tc>
        <w:tc>
          <w:tcPr>
            <w:tcW w:w="835" w:type="pct"/>
            <w:tcBorders>
              <w:top w:val="nil"/>
              <w:left w:val="nil"/>
              <w:bottom w:val="nil"/>
              <w:right w:val="nil"/>
            </w:tcBorders>
            <w:shd w:val="clear" w:color="000000" w:fill="CCECFF"/>
            <w:noWrap/>
            <w:vAlign w:val="bottom"/>
            <w:hideMark/>
          </w:tcPr>
          <w:p w14:paraId="62B145DE"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2%</w:t>
            </w:r>
          </w:p>
        </w:tc>
      </w:tr>
      <w:tr w:rsidR="00E0127C" w:rsidRPr="00E0127C" w14:paraId="2E4EFA5F" w14:textId="77777777" w:rsidTr="00E0127C">
        <w:trPr>
          <w:trHeight w:val="290"/>
        </w:trPr>
        <w:tc>
          <w:tcPr>
            <w:tcW w:w="1660" w:type="pct"/>
            <w:tcBorders>
              <w:top w:val="nil"/>
              <w:left w:val="nil"/>
              <w:bottom w:val="nil"/>
              <w:right w:val="nil"/>
            </w:tcBorders>
            <w:shd w:val="clear" w:color="000000" w:fill="FFFFFF"/>
            <w:noWrap/>
            <w:vAlign w:val="bottom"/>
            <w:hideMark/>
          </w:tcPr>
          <w:p w14:paraId="2B6080FD"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Other</w:t>
            </w:r>
          </w:p>
        </w:tc>
        <w:tc>
          <w:tcPr>
            <w:tcW w:w="835" w:type="pct"/>
            <w:tcBorders>
              <w:top w:val="nil"/>
              <w:left w:val="nil"/>
              <w:bottom w:val="nil"/>
              <w:right w:val="nil"/>
            </w:tcBorders>
            <w:shd w:val="clear" w:color="000000" w:fill="FFFFFF"/>
            <w:noWrap/>
            <w:vAlign w:val="bottom"/>
            <w:hideMark/>
          </w:tcPr>
          <w:p w14:paraId="304139C9"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51529F9F"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69C27B2A"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416.3 </w:t>
            </w:r>
          </w:p>
        </w:tc>
        <w:tc>
          <w:tcPr>
            <w:tcW w:w="835" w:type="pct"/>
            <w:tcBorders>
              <w:top w:val="nil"/>
              <w:left w:val="nil"/>
              <w:bottom w:val="nil"/>
              <w:right w:val="nil"/>
            </w:tcBorders>
            <w:shd w:val="clear" w:color="000000" w:fill="CCECFF"/>
            <w:noWrap/>
            <w:vAlign w:val="bottom"/>
            <w:hideMark/>
          </w:tcPr>
          <w:p w14:paraId="64FBE361"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370A16D8" w14:textId="77777777" w:rsidTr="00E0127C">
        <w:trPr>
          <w:trHeight w:val="290"/>
        </w:trPr>
        <w:tc>
          <w:tcPr>
            <w:tcW w:w="1660" w:type="pct"/>
            <w:tcBorders>
              <w:top w:val="nil"/>
              <w:left w:val="nil"/>
              <w:bottom w:val="nil"/>
              <w:right w:val="nil"/>
            </w:tcBorders>
            <w:shd w:val="clear" w:color="000000" w:fill="FFFFFF"/>
            <w:noWrap/>
            <w:vAlign w:val="bottom"/>
            <w:hideMark/>
          </w:tcPr>
          <w:p w14:paraId="26E7EB33"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Debt Securities</w:t>
            </w:r>
          </w:p>
        </w:tc>
        <w:tc>
          <w:tcPr>
            <w:tcW w:w="835" w:type="pct"/>
            <w:tcBorders>
              <w:top w:val="nil"/>
              <w:left w:val="nil"/>
              <w:bottom w:val="nil"/>
              <w:right w:val="nil"/>
            </w:tcBorders>
            <w:shd w:val="clear" w:color="000000" w:fill="FFFFFF"/>
            <w:noWrap/>
            <w:vAlign w:val="bottom"/>
            <w:hideMark/>
          </w:tcPr>
          <w:p w14:paraId="2A36D174"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140E2563"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7DBCFD0F"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56452E32"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0544C893" w14:textId="77777777" w:rsidTr="00E0127C">
        <w:trPr>
          <w:trHeight w:val="580"/>
        </w:trPr>
        <w:tc>
          <w:tcPr>
            <w:tcW w:w="1660" w:type="pct"/>
            <w:tcBorders>
              <w:top w:val="nil"/>
              <w:left w:val="nil"/>
              <w:bottom w:val="nil"/>
              <w:right w:val="nil"/>
            </w:tcBorders>
            <w:shd w:val="clear" w:color="000000" w:fill="FFFFFF"/>
            <w:vAlign w:val="bottom"/>
            <w:hideMark/>
          </w:tcPr>
          <w:p w14:paraId="191B3EC7"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Corporate Bonds (investment grade)</w:t>
            </w:r>
          </w:p>
        </w:tc>
        <w:tc>
          <w:tcPr>
            <w:tcW w:w="835" w:type="pct"/>
            <w:tcBorders>
              <w:top w:val="nil"/>
              <w:left w:val="nil"/>
              <w:bottom w:val="nil"/>
              <w:right w:val="nil"/>
            </w:tcBorders>
            <w:shd w:val="clear" w:color="000000" w:fill="FFFFFF"/>
            <w:noWrap/>
            <w:vAlign w:val="bottom"/>
            <w:hideMark/>
          </w:tcPr>
          <w:p w14:paraId="454417C2"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6050418B"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01EF6A0F"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58C47EE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7F69FAE5" w14:textId="77777777" w:rsidTr="00E0127C">
        <w:trPr>
          <w:trHeight w:val="580"/>
        </w:trPr>
        <w:tc>
          <w:tcPr>
            <w:tcW w:w="1660" w:type="pct"/>
            <w:tcBorders>
              <w:top w:val="nil"/>
              <w:left w:val="nil"/>
              <w:bottom w:val="nil"/>
              <w:right w:val="nil"/>
            </w:tcBorders>
            <w:shd w:val="clear" w:color="000000" w:fill="FFFFFF"/>
            <w:vAlign w:val="bottom"/>
            <w:hideMark/>
          </w:tcPr>
          <w:p w14:paraId="3ACF6E6B"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Corporate Bonds (non-investment grade)</w:t>
            </w:r>
          </w:p>
        </w:tc>
        <w:tc>
          <w:tcPr>
            <w:tcW w:w="835" w:type="pct"/>
            <w:tcBorders>
              <w:top w:val="nil"/>
              <w:left w:val="nil"/>
              <w:bottom w:val="nil"/>
              <w:right w:val="nil"/>
            </w:tcBorders>
            <w:shd w:val="clear" w:color="000000" w:fill="FFFFFF"/>
            <w:noWrap/>
            <w:vAlign w:val="bottom"/>
            <w:hideMark/>
          </w:tcPr>
          <w:p w14:paraId="42CBCF7E"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1FE3FFB3"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08D53139"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75CE1E3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37F90319" w14:textId="77777777" w:rsidTr="00E0127C">
        <w:trPr>
          <w:trHeight w:val="290"/>
        </w:trPr>
        <w:tc>
          <w:tcPr>
            <w:tcW w:w="1660" w:type="pct"/>
            <w:tcBorders>
              <w:top w:val="nil"/>
              <w:left w:val="nil"/>
              <w:bottom w:val="nil"/>
              <w:right w:val="nil"/>
            </w:tcBorders>
            <w:shd w:val="clear" w:color="000000" w:fill="FFFFFF"/>
            <w:noWrap/>
            <w:vAlign w:val="bottom"/>
            <w:hideMark/>
          </w:tcPr>
          <w:p w14:paraId="1FCB1802"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UK Government</w:t>
            </w:r>
          </w:p>
        </w:tc>
        <w:tc>
          <w:tcPr>
            <w:tcW w:w="835" w:type="pct"/>
            <w:tcBorders>
              <w:top w:val="nil"/>
              <w:left w:val="nil"/>
              <w:bottom w:val="nil"/>
              <w:right w:val="nil"/>
            </w:tcBorders>
            <w:shd w:val="clear" w:color="000000" w:fill="FFFFFF"/>
            <w:noWrap/>
            <w:vAlign w:val="bottom"/>
            <w:hideMark/>
          </w:tcPr>
          <w:p w14:paraId="4D64BF18"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16,951.0</w:t>
            </w:r>
          </w:p>
        </w:tc>
        <w:tc>
          <w:tcPr>
            <w:tcW w:w="835" w:type="pct"/>
            <w:tcBorders>
              <w:top w:val="nil"/>
              <w:left w:val="nil"/>
              <w:bottom w:val="nil"/>
              <w:right w:val="nil"/>
            </w:tcBorders>
            <w:shd w:val="clear" w:color="000000" w:fill="FFFFFF"/>
            <w:noWrap/>
            <w:vAlign w:val="bottom"/>
            <w:hideMark/>
          </w:tcPr>
          <w:p w14:paraId="2D03E8AA"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8%</w:t>
            </w:r>
          </w:p>
        </w:tc>
        <w:tc>
          <w:tcPr>
            <w:tcW w:w="835" w:type="pct"/>
            <w:tcBorders>
              <w:top w:val="nil"/>
              <w:left w:val="nil"/>
              <w:bottom w:val="nil"/>
              <w:right w:val="nil"/>
            </w:tcBorders>
            <w:shd w:val="clear" w:color="000000" w:fill="CCECFF"/>
            <w:noWrap/>
            <w:vAlign w:val="bottom"/>
            <w:hideMark/>
          </w:tcPr>
          <w:p w14:paraId="0A019FA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33,882.7 </w:t>
            </w:r>
          </w:p>
        </w:tc>
        <w:tc>
          <w:tcPr>
            <w:tcW w:w="835" w:type="pct"/>
            <w:tcBorders>
              <w:top w:val="nil"/>
              <w:left w:val="nil"/>
              <w:bottom w:val="nil"/>
              <w:right w:val="nil"/>
            </w:tcBorders>
            <w:shd w:val="clear" w:color="000000" w:fill="CCECFF"/>
            <w:noWrap/>
            <w:vAlign w:val="bottom"/>
            <w:hideMark/>
          </w:tcPr>
          <w:p w14:paraId="7B56474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15%</w:t>
            </w:r>
          </w:p>
        </w:tc>
      </w:tr>
      <w:tr w:rsidR="00E0127C" w:rsidRPr="00E0127C" w14:paraId="0DCCDD88" w14:textId="77777777" w:rsidTr="00E0127C">
        <w:trPr>
          <w:trHeight w:val="290"/>
        </w:trPr>
        <w:tc>
          <w:tcPr>
            <w:tcW w:w="1660" w:type="pct"/>
            <w:tcBorders>
              <w:top w:val="nil"/>
              <w:left w:val="nil"/>
              <w:bottom w:val="nil"/>
              <w:right w:val="nil"/>
            </w:tcBorders>
            <w:shd w:val="clear" w:color="000000" w:fill="FFFFFF"/>
            <w:noWrap/>
            <w:vAlign w:val="bottom"/>
            <w:hideMark/>
          </w:tcPr>
          <w:p w14:paraId="66F8B89C"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Other</w:t>
            </w:r>
          </w:p>
        </w:tc>
        <w:tc>
          <w:tcPr>
            <w:tcW w:w="835" w:type="pct"/>
            <w:tcBorders>
              <w:top w:val="nil"/>
              <w:left w:val="nil"/>
              <w:bottom w:val="nil"/>
              <w:right w:val="nil"/>
            </w:tcBorders>
            <w:shd w:val="clear" w:color="000000" w:fill="FFFFFF"/>
            <w:noWrap/>
            <w:vAlign w:val="bottom"/>
            <w:hideMark/>
          </w:tcPr>
          <w:p w14:paraId="6ECF3367"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1DF3E47D"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309162CE"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5488590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5256C30F" w14:textId="77777777" w:rsidTr="00E0127C">
        <w:trPr>
          <w:trHeight w:val="290"/>
        </w:trPr>
        <w:tc>
          <w:tcPr>
            <w:tcW w:w="1660" w:type="pct"/>
            <w:tcBorders>
              <w:top w:val="nil"/>
              <w:left w:val="nil"/>
              <w:bottom w:val="nil"/>
              <w:right w:val="nil"/>
            </w:tcBorders>
            <w:shd w:val="clear" w:color="000000" w:fill="FFFFFF"/>
            <w:noWrap/>
            <w:vAlign w:val="bottom"/>
            <w:hideMark/>
          </w:tcPr>
          <w:p w14:paraId="075B586A"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Private Equity</w:t>
            </w:r>
          </w:p>
        </w:tc>
        <w:tc>
          <w:tcPr>
            <w:tcW w:w="835" w:type="pct"/>
            <w:tcBorders>
              <w:top w:val="nil"/>
              <w:left w:val="nil"/>
              <w:bottom w:val="nil"/>
              <w:right w:val="nil"/>
            </w:tcBorders>
            <w:shd w:val="clear" w:color="000000" w:fill="FFFFFF"/>
            <w:noWrap/>
            <w:vAlign w:val="bottom"/>
            <w:hideMark/>
          </w:tcPr>
          <w:p w14:paraId="565BA237"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146AEB4E"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64D1C23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5E14784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79BE9ADA" w14:textId="77777777" w:rsidTr="00E0127C">
        <w:trPr>
          <w:trHeight w:val="290"/>
        </w:trPr>
        <w:tc>
          <w:tcPr>
            <w:tcW w:w="1660" w:type="pct"/>
            <w:tcBorders>
              <w:top w:val="nil"/>
              <w:left w:val="nil"/>
              <w:bottom w:val="nil"/>
              <w:right w:val="nil"/>
            </w:tcBorders>
            <w:shd w:val="clear" w:color="000000" w:fill="FFFFFF"/>
            <w:noWrap/>
            <w:vAlign w:val="bottom"/>
            <w:hideMark/>
          </w:tcPr>
          <w:p w14:paraId="6586080A"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All</w:t>
            </w:r>
          </w:p>
        </w:tc>
        <w:tc>
          <w:tcPr>
            <w:tcW w:w="835" w:type="pct"/>
            <w:tcBorders>
              <w:top w:val="nil"/>
              <w:left w:val="nil"/>
              <w:bottom w:val="nil"/>
              <w:right w:val="nil"/>
            </w:tcBorders>
            <w:shd w:val="clear" w:color="000000" w:fill="FFFFFF"/>
            <w:noWrap/>
            <w:vAlign w:val="bottom"/>
            <w:hideMark/>
          </w:tcPr>
          <w:p w14:paraId="61EF4F8E"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15,486.5</w:t>
            </w:r>
          </w:p>
        </w:tc>
        <w:tc>
          <w:tcPr>
            <w:tcW w:w="835" w:type="pct"/>
            <w:tcBorders>
              <w:top w:val="nil"/>
              <w:left w:val="nil"/>
              <w:bottom w:val="nil"/>
              <w:right w:val="nil"/>
            </w:tcBorders>
            <w:shd w:val="clear" w:color="000000" w:fill="FFFFFF"/>
            <w:noWrap/>
            <w:vAlign w:val="bottom"/>
            <w:hideMark/>
          </w:tcPr>
          <w:p w14:paraId="34CBF851"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7%</w:t>
            </w:r>
          </w:p>
        </w:tc>
        <w:tc>
          <w:tcPr>
            <w:tcW w:w="835" w:type="pct"/>
            <w:tcBorders>
              <w:top w:val="nil"/>
              <w:left w:val="nil"/>
              <w:bottom w:val="nil"/>
              <w:right w:val="nil"/>
            </w:tcBorders>
            <w:shd w:val="clear" w:color="000000" w:fill="CCECFF"/>
            <w:noWrap/>
            <w:vAlign w:val="bottom"/>
            <w:hideMark/>
          </w:tcPr>
          <w:p w14:paraId="10020D5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17,184.9 </w:t>
            </w:r>
          </w:p>
        </w:tc>
        <w:tc>
          <w:tcPr>
            <w:tcW w:w="835" w:type="pct"/>
            <w:tcBorders>
              <w:top w:val="nil"/>
              <w:left w:val="nil"/>
              <w:bottom w:val="nil"/>
              <w:right w:val="nil"/>
            </w:tcBorders>
            <w:shd w:val="clear" w:color="000000" w:fill="CCECFF"/>
            <w:noWrap/>
            <w:vAlign w:val="bottom"/>
            <w:hideMark/>
          </w:tcPr>
          <w:p w14:paraId="39C5F11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7%</w:t>
            </w:r>
          </w:p>
        </w:tc>
      </w:tr>
      <w:tr w:rsidR="00E0127C" w:rsidRPr="00E0127C" w14:paraId="3549C003" w14:textId="77777777" w:rsidTr="00E0127C">
        <w:trPr>
          <w:trHeight w:val="290"/>
        </w:trPr>
        <w:tc>
          <w:tcPr>
            <w:tcW w:w="1660" w:type="pct"/>
            <w:tcBorders>
              <w:top w:val="nil"/>
              <w:left w:val="nil"/>
              <w:bottom w:val="nil"/>
              <w:right w:val="nil"/>
            </w:tcBorders>
            <w:shd w:val="clear" w:color="000000" w:fill="FFFFFF"/>
            <w:noWrap/>
            <w:vAlign w:val="bottom"/>
            <w:hideMark/>
          </w:tcPr>
          <w:p w14:paraId="20479070"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Real Estate</w:t>
            </w:r>
          </w:p>
        </w:tc>
        <w:tc>
          <w:tcPr>
            <w:tcW w:w="835" w:type="pct"/>
            <w:tcBorders>
              <w:top w:val="nil"/>
              <w:left w:val="nil"/>
              <w:bottom w:val="nil"/>
              <w:right w:val="nil"/>
            </w:tcBorders>
            <w:shd w:val="clear" w:color="000000" w:fill="FFFFFF"/>
            <w:noWrap/>
            <w:vAlign w:val="bottom"/>
            <w:hideMark/>
          </w:tcPr>
          <w:p w14:paraId="747CDA3F"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74CDA09D"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0F979F7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46CCAE5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0C570580" w14:textId="77777777" w:rsidTr="00E0127C">
        <w:trPr>
          <w:trHeight w:val="290"/>
        </w:trPr>
        <w:tc>
          <w:tcPr>
            <w:tcW w:w="1660" w:type="pct"/>
            <w:tcBorders>
              <w:top w:val="nil"/>
              <w:left w:val="nil"/>
              <w:bottom w:val="nil"/>
              <w:right w:val="nil"/>
            </w:tcBorders>
            <w:shd w:val="clear" w:color="000000" w:fill="FFFFFF"/>
            <w:noWrap/>
            <w:vAlign w:val="bottom"/>
            <w:hideMark/>
          </w:tcPr>
          <w:p w14:paraId="6957FC98"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UK Property</w:t>
            </w:r>
          </w:p>
        </w:tc>
        <w:tc>
          <w:tcPr>
            <w:tcW w:w="835" w:type="pct"/>
            <w:tcBorders>
              <w:top w:val="nil"/>
              <w:left w:val="nil"/>
              <w:bottom w:val="nil"/>
              <w:right w:val="nil"/>
            </w:tcBorders>
            <w:shd w:val="clear" w:color="000000" w:fill="FFFFFF"/>
            <w:noWrap/>
            <w:vAlign w:val="bottom"/>
            <w:hideMark/>
          </w:tcPr>
          <w:p w14:paraId="6F823453"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11,930.0</w:t>
            </w:r>
          </w:p>
        </w:tc>
        <w:tc>
          <w:tcPr>
            <w:tcW w:w="835" w:type="pct"/>
            <w:tcBorders>
              <w:top w:val="nil"/>
              <w:left w:val="nil"/>
              <w:bottom w:val="nil"/>
              <w:right w:val="nil"/>
            </w:tcBorders>
            <w:shd w:val="clear" w:color="000000" w:fill="FFFFFF"/>
            <w:noWrap/>
            <w:vAlign w:val="bottom"/>
            <w:hideMark/>
          </w:tcPr>
          <w:p w14:paraId="711E3D93"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6%</w:t>
            </w:r>
          </w:p>
        </w:tc>
        <w:tc>
          <w:tcPr>
            <w:tcW w:w="835" w:type="pct"/>
            <w:tcBorders>
              <w:top w:val="nil"/>
              <w:left w:val="nil"/>
              <w:bottom w:val="nil"/>
              <w:right w:val="nil"/>
            </w:tcBorders>
            <w:shd w:val="clear" w:color="000000" w:fill="CCECFF"/>
            <w:noWrap/>
            <w:vAlign w:val="bottom"/>
            <w:hideMark/>
          </w:tcPr>
          <w:p w14:paraId="302D201F"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12,266.6 </w:t>
            </w:r>
          </w:p>
        </w:tc>
        <w:tc>
          <w:tcPr>
            <w:tcW w:w="835" w:type="pct"/>
            <w:tcBorders>
              <w:top w:val="nil"/>
              <w:left w:val="nil"/>
              <w:bottom w:val="nil"/>
              <w:right w:val="nil"/>
            </w:tcBorders>
            <w:shd w:val="clear" w:color="000000" w:fill="CCECFF"/>
            <w:noWrap/>
            <w:vAlign w:val="bottom"/>
            <w:hideMark/>
          </w:tcPr>
          <w:p w14:paraId="4E361882"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5%</w:t>
            </w:r>
          </w:p>
        </w:tc>
      </w:tr>
      <w:tr w:rsidR="00E0127C" w:rsidRPr="00E0127C" w14:paraId="49AB9894" w14:textId="77777777" w:rsidTr="00E0127C">
        <w:trPr>
          <w:trHeight w:val="290"/>
        </w:trPr>
        <w:tc>
          <w:tcPr>
            <w:tcW w:w="1660" w:type="pct"/>
            <w:tcBorders>
              <w:top w:val="nil"/>
              <w:left w:val="nil"/>
              <w:bottom w:val="nil"/>
              <w:right w:val="nil"/>
            </w:tcBorders>
            <w:shd w:val="clear" w:color="000000" w:fill="FFFFFF"/>
            <w:noWrap/>
            <w:vAlign w:val="bottom"/>
            <w:hideMark/>
          </w:tcPr>
          <w:p w14:paraId="017AC3EA"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Overseas Property</w:t>
            </w:r>
          </w:p>
        </w:tc>
        <w:tc>
          <w:tcPr>
            <w:tcW w:w="835" w:type="pct"/>
            <w:tcBorders>
              <w:top w:val="nil"/>
              <w:left w:val="nil"/>
              <w:bottom w:val="nil"/>
              <w:right w:val="nil"/>
            </w:tcBorders>
            <w:shd w:val="clear" w:color="000000" w:fill="FFFFFF"/>
            <w:noWrap/>
            <w:vAlign w:val="bottom"/>
            <w:hideMark/>
          </w:tcPr>
          <w:p w14:paraId="5DBA9543"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1,622.2</w:t>
            </w:r>
          </w:p>
        </w:tc>
        <w:tc>
          <w:tcPr>
            <w:tcW w:w="835" w:type="pct"/>
            <w:tcBorders>
              <w:top w:val="nil"/>
              <w:left w:val="nil"/>
              <w:bottom w:val="nil"/>
              <w:right w:val="nil"/>
            </w:tcBorders>
            <w:shd w:val="clear" w:color="000000" w:fill="FFFFFF"/>
            <w:noWrap/>
            <w:vAlign w:val="bottom"/>
            <w:hideMark/>
          </w:tcPr>
          <w:p w14:paraId="59FD2074"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w:t>
            </w:r>
          </w:p>
        </w:tc>
        <w:tc>
          <w:tcPr>
            <w:tcW w:w="835" w:type="pct"/>
            <w:tcBorders>
              <w:top w:val="nil"/>
              <w:left w:val="nil"/>
              <w:bottom w:val="nil"/>
              <w:right w:val="nil"/>
            </w:tcBorders>
            <w:shd w:val="clear" w:color="000000" w:fill="CCECFF"/>
            <w:noWrap/>
            <w:vAlign w:val="bottom"/>
            <w:hideMark/>
          </w:tcPr>
          <w:p w14:paraId="5ED2E3C5"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1,683.6 </w:t>
            </w:r>
          </w:p>
        </w:tc>
        <w:tc>
          <w:tcPr>
            <w:tcW w:w="835" w:type="pct"/>
            <w:tcBorders>
              <w:top w:val="nil"/>
              <w:left w:val="nil"/>
              <w:bottom w:val="nil"/>
              <w:right w:val="nil"/>
            </w:tcBorders>
            <w:shd w:val="clear" w:color="000000" w:fill="CCECFF"/>
            <w:noWrap/>
            <w:vAlign w:val="bottom"/>
            <w:hideMark/>
          </w:tcPr>
          <w:p w14:paraId="5B78F067"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w:t>
            </w:r>
          </w:p>
        </w:tc>
      </w:tr>
      <w:tr w:rsidR="00E0127C" w:rsidRPr="00E0127C" w14:paraId="3F434041" w14:textId="77777777" w:rsidTr="00E0127C">
        <w:trPr>
          <w:trHeight w:val="580"/>
        </w:trPr>
        <w:tc>
          <w:tcPr>
            <w:tcW w:w="1660" w:type="pct"/>
            <w:tcBorders>
              <w:top w:val="nil"/>
              <w:left w:val="nil"/>
              <w:bottom w:val="nil"/>
              <w:right w:val="nil"/>
            </w:tcBorders>
            <w:shd w:val="clear" w:color="000000" w:fill="FFFFFF"/>
            <w:vAlign w:val="bottom"/>
            <w:hideMark/>
          </w:tcPr>
          <w:p w14:paraId="57093497"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Investment Funds and Unit Trusts</w:t>
            </w:r>
          </w:p>
        </w:tc>
        <w:tc>
          <w:tcPr>
            <w:tcW w:w="835" w:type="pct"/>
            <w:tcBorders>
              <w:top w:val="nil"/>
              <w:left w:val="nil"/>
              <w:bottom w:val="nil"/>
              <w:right w:val="nil"/>
            </w:tcBorders>
            <w:shd w:val="clear" w:color="000000" w:fill="FFFFFF"/>
            <w:noWrap/>
            <w:vAlign w:val="bottom"/>
            <w:hideMark/>
          </w:tcPr>
          <w:p w14:paraId="173361FF"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29431EA6"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0EFB83D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61FCEDFF"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581B641D" w14:textId="77777777" w:rsidTr="00E0127C">
        <w:trPr>
          <w:trHeight w:val="290"/>
        </w:trPr>
        <w:tc>
          <w:tcPr>
            <w:tcW w:w="1660" w:type="pct"/>
            <w:tcBorders>
              <w:top w:val="nil"/>
              <w:left w:val="nil"/>
              <w:bottom w:val="nil"/>
              <w:right w:val="nil"/>
            </w:tcBorders>
            <w:shd w:val="clear" w:color="000000" w:fill="FFFFFF"/>
            <w:noWrap/>
            <w:vAlign w:val="bottom"/>
            <w:hideMark/>
          </w:tcPr>
          <w:p w14:paraId="1204D7AE"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Equities</w:t>
            </w:r>
          </w:p>
        </w:tc>
        <w:tc>
          <w:tcPr>
            <w:tcW w:w="835" w:type="pct"/>
            <w:tcBorders>
              <w:top w:val="nil"/>
              <w:left w:val="nil"/>
              <w:bottom w:val="nil"/>
              <w:right w:val="nil"/>
            </w:tcBorders>
            <w:shd w:val="clear" w:color="000000" w:fill="FFFFFF"/>
            <w:noWrap/>
            <w:vAlign w:val="bottom"/>
            <w:hideMark/>
          </w:tcPr>
          <w:p w14:paraId="5ED2EE6C"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122,472.4</w:t>
            </w:r>
          </w:p>
        </w:tc>
        <w:tc>
          <w:tcPr>
            <w:tcW w:w="835" w:type="pct"/>
            <w:tcBorders>
              <w:top w:val="nil"/>
              <w:left w:val="nil"/>
              <w:bottom w:val="nil"/>
              <w:right w:val="nil"/>
            </w:tcBorders>
            <w:shd w:val="clear" w:color="000000" w:fill="FFFFFF"/>
            <w:noWrap/>
            <w:vAlign w:val="bottom"/>
            <w:hideMark/>
          </w:tcPr>
          <w:p w14:paraId="5D11989F"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59%</w:t>
            </w:r>
          </w:p>
        </w:tc>
        <w:tc>
          <w:tcPr>
            <w:tcW w:w="835" w:type="pct"/>
            <w:tcBorders>
              <w:top w:val="nil"/>
              <w:left w:val="nil"/>
              <w:bottom w:val="nil"/>
              <w:right w:val="nil"/>
            </w:tcBorders>
            <w:shd w:val="clear" w:color="000000" w:fill="CCECFF"/>
            <w:noWrap/>
            <w:vAlign w:val="bottom"/>
            <w:hideMark/>
          </w:tcPr>
          <w:p w14:paraId="0719017A"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99,849.3 </w:t>
            </w:r>
          </w:p>
        </w:tc>
        <w:tc>
          <w:tcPr>
            <w:tcW w:w="835" w:type="pct"/>
            <w:tcBorders>
              <w:top w:val="nil"/>
              <w:left w:val="nil"/>
              <w:bottom w:val="nil"/>
              <w:right w:val="nil"/>
            </w:tcBorders>
            <w:shd w:val="clear" w:color="000000" w:fill="CCECFF"/>
            <w:noWrap/>
            <w:vAlign w:val="bottom"/>
            <w:hideMark/>
          </w:tcPr>
          <w:p w14:paraId="655A6682"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43%</w:t>
            </w:r>
          </w:p>
        </w:tc>
      </w:tr>
      <w:tr w:rsidR="00E0127C" w:rsidRPr="00E0127C" w14:paraId="49677F71" w14:textId="77777777" w:rsidTr="00E0127C">
        <w:trPr>
          <w:trHeight w:val="290"/>
        </w:trPr>
        <w:tc>
          <w:tcPr>
            <w:tcW w:w="1660" w:type="pct"/>
            <w:tcBorders>
              <w:top w:val="nil"/>
              <w:left w:val="nil"/>
              <w:bottom w:val="nil"/>
              <w:right w:val="nil"/>
            </w:tcBorders>
            <w:shd w:val="clear" w:color="000000" w:fill="FFFFFF"/>
            <w:noWrap/>
            <w:vAlign w:val="bottom"/>
            <w:hideMark/>
          </w:tcPr>
          <w:p w14:paraId="2DDC930A"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lastRenderedPageBreak/>
              <w:t>Bonds</w:t>
            </w:r>
          </w:p>
        </w:tc>
        <w:tc>
          <w:tcPr>
            <w:tcW w:w="835" w:type="pct"/>
            <w:tcBorders>
              <w:top w:val="nil"/>
              <w:left w:val="nil"/>
              <w:bottom w:val="nil"/>
              <w:right w:val="nil"/>
            </w:tcBorders>
            <w:shd w:val="clear" w:color="000000" w:fill="FFFFFF"/>
            <w:noWrap/>
            <w:vAlign w:val="bottom"/>
            <w:hideMark/>
          </w:tcPr>
          <w:p w14:paraId="0201ACB2"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20,367.3</w:t>
            </w:r>
          </w:p>
        </w:tc>
        <w:tc>
          <w:tcPr>
            <w:tcW w:w="835" w:type="pct"/>
            <w:tcBorders>
              <w:top w:val="nil"/>
              <w:left w:val="nil"/>
              <w:bottom w:val="nil"/>
              <w:right w:val="nil"/>
            </w:tcBorders>
            <w:shd w:val="clear" w:color="000000" w:fill="FFFFFF"/>
            <w:noWrap/>
            <w:vAlign w:val="bottom"/>
            <w:hideMark/>
          </w:tcPr>
          <w:p w14:paraId="154AD5C6"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10%</w:t>
            </w:r>
          </w:p>
        </w:tc>
        <w:tc>
          <w:tcPr>
            <w:tcW w:w="835" w:type="pct"/>
            <w:tcBorders>
              <w:top w:val="nil"/>
              <w:left w:val="nil"/>
              <w:bottom w:val="nil"/>
              <w:right w:val="nil"/>
            </w:tcBorders>
            <w:shd w:val="clear" w:color="000000" w:fill="CCECFF"/>
            <w:noWrap/>
            <w:vAlign w:val="bottom"/>
            <w:hideMark/>
          </w:tcPr>
          <w:p w14:paraId="72F7CDBE"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33,671.9 </w:t>
            </w:r>
          </w:p>
        </w:tc>
        <w:tc>
          <w:tcPr>
            <w:tcW w:w="835" w:type="pct"/>
            <w:tcBorders>
              <w:top w:val="nil"/>
              <w:left w:val="nil"/>
              <w:bottom w:val="nil"/>
              <w:right w:val="nil"/>
            </w:tcBorders>
            <w:shd w:val="clear" w:color="000000" w:fill="CCECFF"/>
            <w:noWrap/>
            <w:vAlign w:val="bottom"/>
            <w:hideMark/>
          </w:tcPr>
          <w:p w14:paraId="279CE770"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15%</w:t>
            </w:r>
          </w:p>
        </w:tc>
      </w:tr>
      <w:tr w:rsidR="00E0127C" w:rsidRPr="00E0127C" w14:paraId="31D36D8B" w14:textId="77777777" w:rsidTr="00E0127C">
        <w:trPr>
          <w:trHeight w:val="290"/>
        </w:trPr>
        <w:tc>
          <w:tcPr>
            <w:tcW w:w="1660" w:type="pct"/>
            <w:tcBorders>
              <w:top w:val="nil"/>
              <w:left w:val="nil"/>
              <w:bottom w:val="nil"/>
              <w:right w:val="nil"/>
            </w:tcBorders>
            <w:shd w:val="clear" w:color="000000" w:fill="FFFFFF"/>
            <w:noWrap/>
            <w:vAlign w:val="bottom"/>
            <w:hideMark/>
          </w:tcPr>
          <w:p w14:paraId="2290DE08"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Hedge Funds</w:t>
            </w:r>
          </w:p>
        </w:tc>
        <w:tc>
          <w:tcPr>
            <w:tcW w:w="835" w:type="pct"/>
            <w:tcBorders>
              <w:top w:val="nil"/>
              <w:left w:val="nil"/>
              <w:bottom w:val="nil"/>
              <w:right w:val="nil"/>
            </w:tcBorders>
            <w:shd w:val="clear" w:color="000000" w:fill="FFFFFF"/>
            <w:noWrap/>
            <w:vAlign w:val="bottom"/>
            <w:hideMark/>
          </w:tcPr>
          <w:p w14:paraId="2AA2936D"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39FE911E"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7612018A"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2BD1FC9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67C6F3C9" w14:textId="77777777" w:rsidTr="00E0127C">
        <w:trPr>
          <w:trHeight w:val="290"/>
        </w:trPr>
        <w:tc>
          <w:tcPr>
            <w:tcW w:w="1660" w:type="pct"/>
            <w:tcBorders>
              <w:top w:val="nil"/>
              <w:left w:val="nil"/>
              <w:bottom w:val="nil"/>
              <w:right w:val="nil"/>
            </w:tcBorders>
            <w:shd w:val="clear" w:color="000000" w:fill="FFFFFF"/>
            <w:noWrap/>
            <w:vAlign w:val="bottom"/>
            <w:hideMark/>
          </w:tcPr>
          <w:p w14:paraId="171E34AE"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Commodities</w:t>
            </w:r>
          </w:p>
        </w:tc>
        <w:tc>
          <w:tcPr>
            <w:tcW w:w="835" w:type="pct"/>
            <w:tcBorders>
              <w:top w:val="nil"/>
              <w:left w:val="nil"/>
              <w:bottom w:val="nil"/>
              <w:right w:val="nil"/>
            </w:tcBorders>
            <w:shd w:val="clear" w:color="000000" w:fill="FFFFFF"/>
            <w:noWrap/>
            <w:vAlign w:val="bottom"/>
            <w:hideMark/>
          </w:tcPr>
          <w:p w14:paraId="7CD7C01D"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7BF20E9E"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1027CDC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620EAB1A"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070A79B5" w14:textId="77777777" w:rsidTr="00E0127C">
        <w:trPr>
          <w:trHeight w:val="290"/>
        </w:trPr>
        <w:tc>
          <w:tcPr>
            <w:tcW w:w="1660" w:type="pct"/>
            <w:tcBorders>
              <w:top w:val="nil"/>
              <w:left w:val="nil"/>
              <w:bottom w:val="nil"/>
              <w:right w:val="nil"/>
            </w:tcBorders>
            <w:shd w:val="clear" w:color="000000" w:fill="FFFFFF"/>
            <w:noWrap/>
            <w:vAlign w:val="bottom"/>
            <w:hideMark/>
          </w:tcPr>
          <w:p w14:paraId="56836313"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Infrastructure</w:t>
            </w:r>
          </w:p>
        </w:tc>
        <w:tc>
          <w:tcPr>
            <w:tcW w:w="835" w:type="pct"/>
            <w:tcBorders>
              <w:top w:val="nil"/>
              <w:left w:val="nil"/>
              <w:bottom w:val="nil"/>
              <w:right w:val="nil"/>
            </w:tcBorders>
            <w:shd w:val="clear" w:color="000000" w:fill="FFFFFF"/>
            <w:noWrap/>
            <w:vAlign w:val="bottom"/>
            <w:hideMark/>
          </w:tcPr>
          <w:p w14:paraId="097CAFD0"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14,540.1</w:t>
            </w:r>
          </w:p>
        </w:tc>
        <w:tc>
          <w:tcPr>
            <w:tcW w:w="835" w:type="pct"/>
            <w:tcBorders>
              <w:top w:val="nil"/>
              <w:left w:val="nil"/>
              <w:bottom w:val="nil"/>
              <w:right w:val="nil"/>
            </w:tcBorders>
            <w:shd w:val="clear" w:color="000000" w:fill="FFFFFF"/>
            <w:noWrap/>
            <w:vAlign w:val="bottom"/>
            <w:hideMark/>
          </w:tcPr>
          <w:p w14:paraId="0F718539"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7%</w:t>
            </w:r>
          </w:p>
        </w:tc>
        <w:tc>
          <w:tcPr>
            <w:tcW w:w="835" w:type="pct"/>
            <w:tcBorders>
              <w:top w:val="nil"/>
              <w:left w:val="nil"/>
              <w:bottom w:val="nil"/>
              <w:right w:val="nil"/>
            </w:tcBorders>
            <w:shd w:val="clear" w:color="000000" w:fill="CCECFF"/>
            <w:noWrap/>
            <w:vAlign w:val="bottom"/>
            <w:hideMark/>
          </w:tcPr>
          <w:p w14:paraId="11109A3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14,428.6 </w:t>
            </w:r>
          </w:p>
        </w:tc>
        <w:tc>
          <w:tcPr>
            <w:tcW w:w="835" w:type="pct"/>
            <w:tcBorders>
              <w:top w:val="nil"/>
              <w:left w:val="nil"/>
              <w:bottom w:val="nil"/>
              <w:right w:val="nil"/>
            </w:tcBorders>
            <w:shd w:val="clear" w:color="000000" w:fill="CCECFF"/>
            <w:noWrap/>
            <w:vAlign w:val="bottom"/>
            <w:hideMark/>
          </w:tcPr>
          <w:p w14:paraId="44F85CBC"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6%</w:t>
            </w:r>
          </w:p>
        </w:tc>
      </w:tr>
      <w:tr w:rsidR="00E0127C" w:rsidRPr="00E0127C" w14:paraId="0639D729" w14:textId="77777777" w:rsidTr="00E0127C">
        <w:trPr>
          <w:trHeight w:val="290"/>
        </w:trPr>
        <w:tc>
          <w:tcPr>
            <w:tcW w:w="1660" w:type="pct"/>
            <w:tcBorders>
              <w:top w:val="nil"/>
              <w:left w:val="nil"/>
              <w:bottom w:val="nil"/>
              <w:right w:val="nil"/>
            </w:tcBorders>
            <w:shd w:val="clear" w:color="000000" w:fill="FFFFFF"/>
            <w:noWrap/>
            <w:vAlign w:val="bottom"/>
            <w:hideMark/>
          </w:tcPr>
          <w:p w14:paraId="37EBCD53"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Other</w:t>
            </w:r>
          </w:p>
        </w:tc>
        <w:tc>
          <w:tcPr>
            <w:tcW w:w="835" w:type="pct"/>
            <w:tcBorders>
              <w:top w:val="nil"/>
              <w:left w:val="nil"/>
              <w:bottom w:val="nil"/>
              <w:right w:val="nil"/>
            </w:tcBorders>
            <w:shd w:val="clear" w:color="000000" w:fill="FFFFFF"/>
            <w:noWrap/>
            <w:vAlign w:val="bottom"/>
            <w:hideMark/>
          </w:tcPr>
          <w:p w14:paraId="6C30C84F"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268172C4"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4F1C8A9D"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14FE98D5"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59714474" w14:textId="77777777" w:rsidTr="00E0127C">
        <w:trPr>
          <w:trHeight w:val="290"/>
        </w:trPr>
        <w:tc>
          <w:tcPr>
            <w:tcW w:w="1660" w:type="pct"/>
            <w:tcBorders>
              <w:top w:val="nil"/>
              <w:left w:val="nil"/>
              <w:bottom w:val="nil"/>
              <w:right w:val="nil"/>
            </w:tcBorders>
            <w:shd w:val="clear" w:color="000000" w:fill="FFFFFF"/>
            <w:noWrap/>
            <w:vAlign w:val="bottom"/>
            <w:hideMark/>
          </w:tcPr>
          <w:p w14:paraId="73FFE0B6"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Derivatives</w:t>
            </w:r>
          </w:p>
        </w:tc>
        <w:tc>
          <w:tcPr>
            <w:tcW w:w="835" w:type="pct"/>
            <w:tcBorders>
              <w:top w:val="nil"/>
              <w:left w:val="nil"/>
              <w:bottom w:val="nil"/>
              <w:right w:val="nil"/>
            </w:tcBorders>
            <w:shd w:val="clear" w:color="000000" w:fill="FFFFFF"/>
            <w:noWrap/>
            <w:vAlign w:val="bottom"/>
            <w:hideMark/>
          </w:tcPr>
          <w:p w14:paraId="3A5C9563"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0CDBC6C4"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666511D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4E6A274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25BA918F" w14:textId="77777777" w:rsidTr="00E0127C">
        <w:trPr>
          <w:trHeight w:val="290"/>
        </w:trPr>
        <w:tc>
          <w:tcPr>
            <w:tcW w:w="1660" w:type="pct"/>
            <w:tcBorders>
              <w:top w:val="nil"/>
              <w:left w:val="nil"/>
              <w:bottom w:val="nil"/>
              <w:right w:val="nil"/>
            </w:tcBorders>
            <w:shd w:val="clear" w:color="000000" w:fill="FFFFFF"/>
            <w:noWrap/>
            <w:vAlign w:val="bottom"/>
            <w:hideMark/>
          </w:tcPr>
          <w:p w14:paraId="695BED6E"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Inflation</w:t>
            </w:r>
          </w:p>
        </w:tc>
        <w:tc>
          <w:tcPr>
            <w:tcW w:w="835" w:type="pct"/>
            <w:tcBorders>
              <w:top w:val="nil"/>
              <w:left w:val="nil"/>
              <w:bottom w:val="nil"/>
              <w:right w:val="nil"/>
            </w:tcBorders>
            <w:shd w:val="clear" w:color="000000" w:fill="FFFFFF"/>
            <w:noWrap/>
            <w:vAlign w:val="bottom"/>
            <w:hideMark/>
          </w:tcPr>
          <w:p w14:paraId="06B08642"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3D1B37AA"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58335C9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45749D12"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75E4351F" w14:textId="77777777" w:rsidTr="00E0127C">
        <w:trPr>
          <w:trHeight w:val="290"/>
        </w:trPr>
        <w:tc>
          <w:tcPr>
            <w:tcW w:w="1660" w:type="pct"/>
            <w:tcBorders>
              <w:top w:val="nil"/>
              <w:left w:val="nil"/>
              <w:bottom w:val="nil"/>
              <w:right w:val="nil"/>
            </w:tcBorders>
            <w:shd w:val="clear" w:color="000000" w:fill="FFFFFF"/>
            <w:noWrap/>
            <w:vAlign w:val="bottom"/>
            <w:hideMark/>
          </w:tcPr>
          <w:p w14:paraId="016EE283"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Interest Rate</w:t>
            </w:r>
          </w:p>
        </w:tc>
        <w:tc>
          <w:tcPr>
            <w:tcW w:w="835" w:type="pct"/>
            <w:tcBorders>
              <w:top w:val="nil"/>
              <w:left w:val="nil"/>
              <w:bottom w:val="nil"/>
              <w:right w:val="nil"/>
            </w:tcBorders>
            <w:shd w:val="clear" w:color="000000" w:fill="FFFFFF"/>
            <w:noWrap/>
            <w:vAlign w:val="bottom"/>
            <w:hideMark/>
          </w:tcPr>
          <w:p w14:paraId="15F45A9D"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5A44F427"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22576D9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0F1363B1"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64D404A3" w14:textId="77777777" w:rsidTr="00E0127C">
        <w:trPr>
          <w:trHeight w:val="290"/>
        </w:trPr>
        <w:tc>
          <w:tcPr>
            <w:tcW w:w="1660" w:type="pct"/>
            <w:tcBorders>
              <w:top w:val="nil"/>
              <w:left w:val="nil"/>
              <w:bottom w:val="nil"/>
              <w:right w:val="nil"/>
            </w:tcBorders>
            <w:shd w:val="clear" w:color="000000" w:fill="FFFFFF"/>
            <w:noWrap/>
            <w:vAlign w:val="bottom"/>
            <w:hideMark/>
          </w:tcPr>
          <w:p w14:paraId="4ED6CC77"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Foreign Exchange</w:t>
            </w:r>
          </w:p>
        </w:tc>
        <w:tc>
          <w:tcPr>
            <w:tcW w:w="835" w:type="pct"/>
            <w:tcBorders>
              <w:top w:val="nil"/>
              <w:left w:val="nil"/>
              <w:bottom w:val="nil"/>
              <w:right w:val="nil"/>
            </w:tcBorders>
            <w:shd w:val="clear" w:color="000000" w:fill="FFFFFF"/>
            <w:noWrap/>
            <w:vAlign w:val="bottom"/>
            <w:hideMark/>
          </w:tcPr>
          <w:p w14:paraId="216EC1C8"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310CD340"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5410FD90"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1.1 </w:t>
            </w:r>
          </w:p>
        </w:tc>
        <w:tc>
          <w:tcPr>
            <w:tcW w:w="835" w:type="pct"/>
            <w:tcBorders>
              <w:top w:val="nil"/>
              <w:left w:val="nil"/>
              <w:bottom w:val="nil"/>
              <w:right w:val="nil"/>
            </w:tcBorders>
            <w:shd w:val="clear" w:color="000000" w:fill="CCECFF"/>
            <w:noWrap/>
            <w:vAlign w:val="bottom"/>
            <w:hideMark/>
          </w:tcPr>
          <w:p w14:paraId="2ADC69CF"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31A78E76" w14:textId="77777777" w:rsidTr="00E0127C">
        <w:trPr>
          <w:trHeight w:val="290"/>
        </w:trPr>
        <w:tc>
          <w:tcPr>
            <w:tcW w:w="1660" w:type="pct"/>
            <w:tcBorders>
              <w:top w:val="nil"/>
              <w:left w:val="nil"/>
              <w:bottom w:val="nil"/>
              <w:right w:val="nil"/>
            </w:tcBorders>
            <w:shd w:val="clear" w:color="000000" w:fill="FFFFFF"/>
            <w:noWrap/>
            <w:vAlign w:val="bottom"/>
            <w:hideMark/>
          </w:tcPr>
          <w:p w14:paraId="34C2C445"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Other</w:t>
            </w:r>
          </w:p>
        </w:tc>
        <w:tc>
          <w:tcPr>
            <w:tcW w:w="835" w:type="pct"/>
            <w:tcBorders>
              <w:top w:val="nil"/>
              <w:left w:val="nil"/>
              <w:bottom w:val="nil"/>
              <w:right w:val="nil"/>
            </w:tcBorders>
            <w:shd w:val="clear" w:color="000000" w:fill="FFFFFF"/>
            <w:noWrap/>
            <w:vAlign w:val="bottom"/>
            <w:hideMark/>
          </w:tcPr>
          <w:p w14:paraId="2EF069DA"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w:t>
            </w:r>
          </w:p>
        </w:tc>
        <w:tc>
          <w:tcPr>
            <w:tcW w:w="835" w:type="pct"/>
            <w:tcBorders>
              <w:top w:val="nil"/>
              <w:left w:val="nil"/>
              <w:bottom w:val="nil"/>
              <w:right w:val="nil"/>
            </w:tcBorders>
            <w:shd w:val="clear" w:color="000000" w:fill="FFFFFF"/>
            <w:noWrap/>
            <w:vAlign w:val="bottom"/>
            <w:hideMark/>
          </w:tcPr>
          <w:p w14:paraId="5819A16B"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0%</w:t>
            </w:r>
          </w:p>
        </w:tc>
        <w:tc>
          <w:tcPr>
            <w:tcW w:w="835" w:type="pct"/>
            <w:tcBorders>
              <w:top w:val="nil"/>
              <w:left w:val="nil"/>
              <w:bottom w:val="nil"/>
              <w:right w:val="nil"/>
            </w:tcBorders>
            <w:shd w:val="clear" w:color="000000" w:fill="CCECFF"/>
            <w:noWrap/>
            <w:vAlign w:val="bottom"/>
            <w:hideMark/>
          </w:tcPr>
          <w:p w14:paraId="6A525BD0"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   </w:t>
            </w:r>
          </w:p>
        </w:tc>
        <w:tc>
          <w:tcPr>
            <w:tcW w:w="835" w:type="pct"/>
            <w:tcBorders>
              <w:top w:val="nil"/>
              <w:left w:val="nil"/>
              <w:bottom w:val="nil"/>
              <w:right w:val="nil"/>
            </w:tcBorders>
            <w:shd w:val="clear" w:color="000000" w:fill="CCECFF"/>
            <w:noWrap/>
            <w:vAlign w:val="bottom"/>
            <w:hideMark/>
          </w:tcPr>
          <w:p w14:paraId="74992183"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0%</w:t>
            </w:r>
          </w:p>
        </w:tc>
      </w:tr>
      <w:tr w:rsidR="00E0127C" w:rsidRPr="00E0127C" w14:paraId="72681B4D" w14:textId="77777777" w:rsidTr="00E0127C">
        <w:trPr>
          <w:trHeight w:val="290"/>
        </w:trPr>
        <w:tc>
          <w:tcPr>
            <w:tcW w:w="1660" w:type="pct"/>
            <w:tcBorders>
              <w:top w:val="nil"/>
              <w:left w:val="nil"/>
              <w:bottom w:val="nil"/>
              <w:right w:val="nil"/>
            </w:tcBorders>
            <w:shd w:val="clear" w:color="000000" w:fill="FFFFFF"/>
            <w:noWrap/>
            <w:vAlign w:val="bottom"/>
            <w:hideMark/>
          </w:tcPr>
          <w:p w14:paraId="0410FFB1"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Cash and Cash Equivalents</w:t>
            </w:r>
          </w:p>
        </w:tc>
        <w:tc>
          <w:tcPr>
            <w:tcW w:w="835" w:type="pct"/>
            <w:tcBorders>
              <w:top w:val="nil"/>
              <w:left w:val="nil"/>
              <w:bottom w:val="nil"/>
              <w:right w:val="nil"/>
            </w:tcBorders>
            <w:shd w:val="clear" w:color="000000" w:fill="FFFFFF"/>
            <w:noWrap/>
            <w:vAlign w:val="bottom"/>
            <w:hideMark/>
          </w:tcPr>
          <w:p w14:paraId="1B2DCCF8"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FFFFFF"/>
            <w:noWrap/>
            <w:vAlign w:val="bottom"/>
            <w:hideMark/>
          </w:tcPr>
          <w:p w14:paraId="471D0B41" w14:textId="77777777" w:rsidR="00E0127C" w:rsidRPr="00E0127C" w:rsidRDefault="00E0127C" w:rsidP="00E0127C">
            <w:pPr>
              <w:spacing w:line="240" w:lineRule="auto"/>
              <w:jc w:val="left"/>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40458931"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c>
          <w:tcPr>
            <w:tcW w:w="835" w:type="pct"/>
            <w:tcBorders>
              <w:top w:val="nil"/>
              <w:left w:val="nil"/>
              <w:bottom w:val="nil"/>
              <w:right w:val="nil"/>
            </w:tcBorders>
            <w:shd w:val="clear" w:color="000000" w:fill="CCECFF"/>
            <w:noWrap/>
            <w:vAlign w:val="bottom"/>
            <w:hideMark/>
          </w:tcPr>
          <w:p w14:paraId="46ACE8B4"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w:t>
            </w:r>
          </w:p>
        </w:tc>
      </w:tr>
      <w:tr w:rsidR="00E0127C" w:rsidRPr="00E0127C" w14:paraId="76070C75" w14:textId="77777777" w:rsidTr="00E0127C">
        <w:trPr>
          <w:trHeight w:val="290"/>
        </w:trPr>
        <w:tc>
          <w:tcPr>
            <w:tcW w:w="1660" w:type="pct"/>
            <w:tcBorders>
              <w:top w:val="nil"/>
              <w:left w:val="nil"/>
              <w:bottom w:val="nil"/>
              <w:right w:val="nil"/>
            </w:tcBorders>
            <w:shd w:val="clear" w:color="000000" w:fill="FFFFFF"/>
            <w:noWrap/>
            <w:vAlign w:val="bottom"/>
            <w:hideMark/>
          </w:tcPr>
          <w:p w14:paraId="1EEC57FA" w14:textId="77777777" w:rsidR="00E0127C" w:rsidRPr="00E0127C" w:rsidRDefault="00E0127C" w:rsidP="00E0127C">
            <w:pPr>
              <w:spacing w:line="240" w:lineRule="auto"/>
              <w:jc w:val="left"/>
              <w:rPr>
                <w:rFonts w:eastAsia="Times New Roman" w:cs="Calibri"/>
                <w:color w:val="000000"/>
                <w:sz w:val="22"/>
                <w:szCs w:val="22"/>
                <w:lang w:eastAsia="en-GB"/>
              </w:rPr>
            </w:pPr>
            <w:r w:rsidRPr="00E0127C">
              <w:rPr>
                <w:rFonts w:eastAsia="Times New Roman" w:cs="Calibri"/>
                <w:color w:val="000000"/>
                <w:sz w:val="22"/>
                <w:szCs w:val="22"/>
                <w:lang w:eastAsia="en-GB"/>
              </w:rPr>
              <w:t>All</w:t>
            </w:r>
          </w:p>
        </w:tc>
        <w:tc>
          <w:tcPr>
            <w:tcW w:w="835" w:type="pct"/>
            <w:tcBorders>
              <w:top w:val="nil"/>
              <w:left w:val="nil"/>
              <w:bottom w:val="nil"/>
              <w:right w:val="nil"/>
            </w:tcBorders>
            <w:shd w:val="clear" w:color="000000" w:fill="FFFFFF"/>
            <w:noWrap/>
            <w:vAlign w:val="bottom"/>
            <w:hideMark/>
          </w:tcPr>
          <w:p w14:paraId="6BF7E729"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3,118.5</w:t>
            </w:r>
          </w:p>
        </w:tc>
        <w:tc>
          <w:tcPr>
            <w:tcW w:w="835" w:type="pct"/>
            <w:tcBorders>
              <w:top w:val="nil"/>
              <w:left w:val="nil"/>
              <w:bottom w:val="nil"/>
              <w:right w:val="nil"/>
            </w:tcBorders>
            <w:shd w:val="clear" w:color="000000" w:fill="FFFFFF"/>
            <w:noWrap/>
            <w:vAlign w:val="bottom"/>
            <w:hideMark/>
          </w:tcPr>
          <w:p w14:paraId="206C0BD4" w14:textId="77777777" w:rsidR="00E0127C" w:rsidRPr="00E0127C" w:rsidRDefault="00E0127C" w:rsidP="00E0127C">
            <w:pPr>
              <w:spacing w:line="240" w:lineRule="auto"/>
              <w:jc w:val="right"/>
              <w:rPr>
                <w:rFonts w:eastAsia="Times New Roman" w:cs="Calibri"/>
                <w:color w:val="000000"/>
                <w:szCs w:val="20"/>
                <w:lang w:eastAsia="en-GB"/>
              </w:rPr>
            </w:pPr>
            <w:r w:rsidRPr="00E0127C">
              <w:rPr>
                <w:rFonts w:eastAsia="Times New Roman" w:cs="Calibri"/>
                <w:color w:val="000000"/>
                <w:szCs w:val="20"/>
                <w:lang w:eastAsia="en-GB"/>
              </w:rPr>
              <w:t>2%</w:t>
            </w:r>
          </w:p>
        </w:tc>
        <w:tc>
          <w:tcPr>
            <w:tcW w:w="835" w:type="pct"/>
            <w:tcBorders>
              <w:top w:val="nil"/>
              <w:left w:val="nil"/>
              <w:bottom w:val="nil"/>
              <w:right w:val="nil"/>
            </w:tcBorders>
            <w:shd w:val="clear" w:color="000000" w:fill="CCECFF"/>
            <w:noWrap/>
            <w:vAlign w:val="bottom"/>
            <w:hideMark/>
          </w:tcPr>
          <w:p w14:paraId="6C0E8846"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 xml:space="preserve">             4,352.8 </w:t>
            </w:r>
          </w:p>
        </w:tc>
        <w:tc>
          <w:tcPr>
            <w:tcW w:w="835" w:type="pct"/>
            <w:tcBorders>
              <w:top w:val="nil"/>
              <w:left w:val="nil"/>
              <w:bottom w:val="nil"/>
              <w:right w:val="nil"/>
            </w:tcBorders>
            <w:shd w:val="clear" w:color="000000" w:fill="CCECFF"/>
            <w:noWrap/>
            <w:vAlign w:val="bottom"/>
            <w:hideMark/>
          </w:tcPr>
          <w:p w14:paraId="048ED17B" w14:textId="77777777" w:rsidR="00E0127C" w:rsidRPr="00E0127C" w:rsidRDefault="00E0127C" w:rsidP="00E0127C">
            <w:pPr>
              <w:spacing w:line="240" w:lineRule="auto"/>
              <w:jc w:val="center"/>
              <w:rPr>
                <w:rFonts w:eastAsia="Times New Roman" w:cs="Calibri"/>
                <w:color w:val="000000"/>
                <w:szCs w:val="20"/>
                <w:lang w:eastAsia="en-GB"/>
              </w:rPr>
            </w:pPr>
            <w:r w:rsidRPr="00E0127C">
              <w:rPr>
                <w:rFonts w:eastAsia="Times New Roman" w:cs="Calibri"/>
                <w:color w:val="000000"/>
                <w:szCs w:val="20"/>
                <w:lang w:eastAsia="en-GB"/>
              </w:rPr>
              <w:t>2%</w:t>
            </w:r>
          </w:p>
        </w:tc>
      </w:tr>
      <w:tr w:rsidR="00E0127C" w:rsidRPr="00E0127C" w14:paraId="39787C6D" w14:textId="77777777" w:rsidTr="00E0127C">
        <w:trPr>
          <w:trHeight w:val="290"/>
        </w:trPr>
        <w:tc>
          <w:tcPr>
            <w:tcW w:w="1660" w:type="pct"/>
            <w:tcBorders>
              <w:top w:val="single" w:sz="4" w:space="0" w:color="auto"/>
              <w:left w:val="nil"/>
              <w:bottom w:val="single" w:sz="4" w:space="0" w:color="auto"/>
              <w:right w:val="nil"/>
            </w:tcBorders>
            <w:shd w:val="clear" w:color="000000" w:fill="FFFFFF"/>
            <w:noWrap/>
            <w:vAlign w:val="bottom"/>
            <w:hideMark/>
          </w:tcPr>
          <w:p w14:paraId="0775EE3A" w14:textId="77777777" w:rsidR="00E0127C" w:rsidRPr="00E0127C" w:rsidRDefault="00E0127C" w:rsidP="00E0127C">
            <w:pPr>
              <w:spacing w:line="240" w:lineRule="auto"/>
              <w:jc w:val="left"/>
              <w:rPr>
                <w:rFonts w:eastAsia="Times New Roman" w:cs="Calibri"/>
                <w:b/>
                <w:bCs/>
                <w:color w:val="000000"/>
                <w:sz w:val="22"/>
                <w:szCs w:val="22"/>
                <w:lang w:eastAsia="en-GB"/>
              </w:rPr>
            </w:pPr>
            <w:r w:rsidRPr="00E0127C">
              <w:rPr>
                <w:rFonts w:eastAsia="Times New Roman" w:cs="Calibri"/>
                <w:b/>
                <w:bCs/>
                <w:color w:val="000000"/>
                <w:sz w:val="22"/>
                <w:szCs w:val="22"/>
                <w:lang w:eastAsia="en-GB"/>
              </w:rPr>
              <w:t>Totals</w:t>
            </w:r>
          </w:p>
        </w:tc>
        <w:tc>
          <w:tcPr>
            <w:tcW w:w="835" w:type="pct"/>
            <w:tcBorders>
              <w:top w:val="single" w:sz="4" w:space="0" w:color="auto"/>
              <w:left w:val="nil"/>
              <w:bottom w:val="single" w:sz="4" w:space="0" w:color="auto"/>
              <w:right w:val="nil"/>
            </w:tcBorders>
            <w:shd w:val="clear" w:color="000000" w:fill="FFFFFF"/>
            <w:noWrap/>
            <w:vAlign w:val="bottom"/>
            <w:hideMark/>
          </w:tcPr>
          <w:p w14:paraId="5240D527" w14:textId="77777777" w:rsidR="00E0127C" w:rsidRPr="00E0127C" w:rsidRDefault="00E0127C" w:rsidP="00E0127C">
            <w:pPr>
              <w:spacing w:line="240" w:lineRule="auto"/>
              <w:jc w:val="right"/>
              <w:rPr>
                <w:rFonts w:eastAsia="Times New Roman" w:cs="Calibri"/>
                <w:b/>
                <w:bCs/>
                <w:color w:val="000000"/>
                <w:szCs w:val="20"/>
                <w:lang w:eastAsia="en-GB"/>
              </w:rPr>
            </w:pPr>
            <w:r w:rsidRPr="00E0127C">
              <w:rPr>
                <w:rFonts w:eastAsia="Times New Roman" w:cs="Calibri"/>
                <w:b/>
                <w:bCs/>
                <w:color w:val="000000"/>
                <w:szCs w:val="20"/>
                <w:lang w:eastAsia="en-GB"/>
              </w:rPr>
              <w:t>206,488</w:t>
            </w:r>
          </w:p>
        </w:tc>
        <w:tc>
          <w:tcPr>
            <w:tcW w:w="835" w:type="pct"/>
            <w:tcBorders>
              <w:top w:val="single" w:sz="4" w:space="0" w:color="auto"/>
              <w:left w:val="nil"/>
              <w:bottom w:val="single" w:sz="4" w:space="0" w:color="auto"/>
              <w:right w:val="nil"/>
            </w:tcBorders>
            <w:shd w:val="clear" w:color="000000" w:fill="FFFFFF"/>
            <w:noWrap/>
            <w:vAlign w:val="bottom"/>
            <w:hideMark/>
          </w:tcPr>
          <w:p w14:paraId="1C3E07D8" w14:textId="77777777" w:rsidR="00E0127C" w:rsidRPr="00E0127C" w:rsidRDefault="00E0127C" w:rsidP="00E0127C">
            <w:pPr>
              <w:spacing w:line="240" w:lineRule="auto"/>
              <w:jc w:val="right"/>
              <w:rPr>
                <w:rFonts w:eastAsia="Times New Roman" w:cs="Calibri"/>
                <w:b/>
                <w:bCs/>
                <w:color w:val="000000"/>
                <w:szCs w:val="20"/>
                <w:lang w:eastAsia="en-GB"/>
              </w:rPr>
            </w:pPr>
            <w:r w:rsidRPr="00E0127C">
              <w:rPr>
                <w:rFonts w:eastAsia="Times New Roman" w:cs="Calibri"/>
                <w:b/>
                <w:bCs/>
                <w:color w:val="000000"/>
                <w:szCs w:val="20"/>
                <w:lang w:eastAsia="en-GB"/>
              </w:rPr>
              <w:t>100%</w:t>
            </w:r>
          </w:p>
        </w:tc>
        <w:tc>
          <w:tcPr>
            <w:tcW w:w="835" w:type="pct"/>
            <w:tcBorders>
              <w:top w:val="single" w:sz="4" w:space="0" w:color="auto"/>
              <w:left w:val="nil"/>
              <w:bottom w:val="single" w:sz="4" w:space="0" w:color="auto"/>
              <w:right w:val="nil"/>
            </w:tcBorders>
            <w:shd w:val="clear" w:color="000000" w:fill="CCECFF"/>
            <w:noWrap/>
            <w:vAlign w:val="bottom"/>
            <w:hideMark/>
          </w:tcPr>
          <w:p w14:paraId="12BFB8AC" w14:textId="77777777" w:rsidR="00E0127C" w:rsidRPr="00E0127C" w:rsidRDefault="00E0127C" w:rsidP="00E0127C">
            <w:pPr>
              <w:spacing w:line="240" w:lineRule="auto"/>
              <w:jc w:val="center"/>
              <w:rPr>
                <w:rFonts w:eastAsia="Times New Roman" w:cs="Calibri"/>
                <w:b/>
                <w:bCs/>
                <w:color w:val="000000"/>
                <w:szCs w:val="20"/>
                <w:lang w:eastAsia="en-GB"/>
              </w:rPr>
            </w:pPr>
            <w:r w:rsidRPr="00E0127C">
              <w:rPr>
                <w:rFonts w:eastAsia="Times New Roman" w:cs="Calibri"/>
                <w:b/>
                <w:bCs/>
                <w:color w:val="000000"/>
                <w:szCs w:val="20"/>
                <w:lang w:eastAsia="en-GB"/>
              </w:rPr>
              <w:t xml:space="preserve">            231,202 </w:t>
            </w:r>
          </w:p>
        </w:tc>
        <w:tc>
          <w:tcPr>
            <w:tcW w:w="835" w:type="pct"/>
            <w:tcBorders>
              <w:top w:val="single" w:sz="4" w:space="0" w:color="auto"/>
              <w:left w:val="nil"/>
              <w:bottom w:val="single" w:sz="4" w:space="0" w:color="auto"/>
              <w:right w:val="nil"/>
            </w:tcBorders>
            <w:shd w:val="clear" w:color="000000" w:fill="CCECFF"/>
            <w:noWrap/>
            <w:vAlign w:val="bottom"/>
            <w:hideMark/>
          </w:tcPr>
          <w:p w14:paraId="601C51BC" w14:textId="77777777" w:rsidR="00E0127C" w:rsidRPr="00E0127C" w:rsidRDefault="00E0127C" w:rsidP="00E0127C">
            <w:pPr>
              <w:spacing w:line="240" w:lineRule="auto"/>
              <w:jc w:val="center"/>
              <w:rPr>
                <w:rFonts w:eastAsia="Times New Roman" w:cs="Calibri"/>
                <w:b/>
                <w:bCs/>
                <w:color w:val="000000"/>
                <w:szCs w:val="20"/>
                <w:lang w:eastAsia="en-GB"/>
              </w:rPr>
            </w:pPr>
            <w:r w:rsidRPr="00E0127C">
              <w:rPr>
                <w:rFonts w:eastAsia="Times New Roman" w:cs="Calibri"/>
                <w:b/>
                <w:bCs/>
                <w:color w:val="000000"/>
                <w:szCs w:val="20"/>
                <w:lang w:eastAsia="en-GB"/>
              </w:rPr>
              <w:t>100%</w:t>
            </w:r>
          </w:p>
        </w:tc>
      </w:tr>
    </w:tbl>
    <w:p w14:paraId="615FBE2F" w14:textId="3FED18D8" w:rsidR="00DE6C3F" w:rsidRDefault="00DE6C3F" w:rsidP="002522D4">
      <w:pPr>
        <w:pStyle w:val="Footer"/>
      </w:pPr>
    </w:p>
    <w:p w14:paraId="1F3564D3" w14:textId="77777777" w:rsidR="00E0127C" w:rsidRDefault="00E0127C" w:rsidP="00E0127C">
      <w:pPr>
        <w:pStyle w:val="VAHeadingLevel2"/>
      </w:pPr>
      <w:bookmarkStart w:id="243" w:name="_Toc517077314"/>
      <w:bookmarkStart w:id="244" w:name="_Toc9272539"/>
      <w:bookmarkStart w:id="245" w:name="_Toc9592083"/>
      <w:r w:rsidRPr="00E0127C">
        <w:t>Impact on the authority’s cash flows</w:t>
      </w:r>
    </w:p>
    <w:p w14:paraId="2ABC029A" w14:textId="77777777" w:rsidR="00E0127C" w:rsidRPr="00E0127C" w:rsidRDefault="00E0127C" w:rsidP="00E0127C">
      <w:pPr>
        <w:pStyle w:val="VAHeadingLevel2"/>
      </w:pPr>
    </w:p>
    <w:p w14:paraId="5E69B902" w14:textId="30E984C6" w:rsidR="00E0127C" w:rsidRPr="00E0127C" w:rsidRDefault="00E0127C" w:rsidP="00E0127C">
      <w:r w:rsidRPr="00E0127C">
        <w:t>The objectives of the scheme are to keep employers’ contributions at as constant a rate as possible, and therefore funding levels are monitored on an annual basis.</w:t>
      </w:r>
      <w:r w:rsidR="00FA6679">
        <w:t xml:space="preserve"> </w:t>
      </w:r>
      <w:r w:rsidRPr="00E0127C">
        <w:t xml:space="preserve"> The next triennial valuation is due to be completed on 31 March 2025.</w:t>
      </w:r>
    </w:p>
    <w:p w14:paraId="18EB7113" w14:textId="66950B52" w:rsidR="00E0127C" w:rsidRPr="00E0127C" w:rsidRDefault="00E0127C" w:rsidP="00E0127C">
      <w:r w:rsidRPr="00E0127C">
        <w:br/>
        <w:t xml:space="preserve">The scheme will need to take account of the national changes to the scheme under the Public Pensions Services Act 2013. </w:t>
      </w:r>
      <w:r w:rsidR="00FA6679">
        <w:t xml:space="preserve"> </w:t>
      </w:r>
      <w:r w:rsidRPr="00E0127C">
        <w:t xml:space="preserve">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 </w:t>
      </w:r>
      <w:r w:rsidR="00FA6679">
        <w:t xml:space="preserve"> </w:t>
      </w:r>
      <w:r w:rsidRPr="00E0127C">
        <w:t>The Act provides for scheme regulations to be made within a common framework, to establish new career average revalued earnings schemes to pay pensions and other benefits to certain public servants.</w:t>
      </w:r>
    </w:p>
    <w:p w14:paraId="1B5D963C" w14:textId="77777777" w:rsidR="00E0127C" w:rsidRPr="00E0127C" w:rsidRDefault="00E0127C" w:rsidP="00E0127C"/>
    <w:p w14:paraId="70593557" w14:textId="1EAA8244" w:rsidR="00E0127C" w:rsidRPr="00E0127C" w:rsidRDefault="00E0127C" w:rsidP="00E0127C">
      <w:r w:rsidRPr="00E0127C">
        <w:t>The authority anticipated to pay £</w:t>
      </w:r>
      <w:r>
        <w:t>28.5</w:t>
      </w:r>
      <w:r w:rsidRPr="00E0127C">
        <w:t>m expected contributions to the scheme in 2024/25.</w:t>
      </w:r>
    </w:p>
    <w:p w14:paraId="3F32171C" w14:textId="77777777" w:rsidR="00E0127C" w:rsidRDefault="00E0127C" w:rsidP="00EB49F7">
      <w:pPr>
        <w:pStyle w:val="NoteHeader"/>
      </w:pPr>
      <w:r>
        <w:br w:type="page"/>
      </w:r>
    </w:p>
    <w:p w14:paraId="45F0C7F6" w14:textId="57C2C67D" w:rsidR="002522D4" w:rsidRPr="00A14CAC" w:rsidRDefault="002522D4" w:rsidP="00EB49F7">
      <w:pPr>
        <w:pStyle w:val="NoteHeader"/>
        <w:rPr>
          <w:lang w:val="pt-BR"/>
        </w:rPr>
      </w:pPr>
      <w:bookmarkStart w:id="246" w:name="_Toc517077315"/>
      <w:bookmarkStart w:id="247" w:name="_Toc9272540"/>
      <w:bookmarkStart w:id="248" w:name="_Toc9592084"/>
      <w:bookmarkStart w:id="249" w:name="_Toc109632238"/>
      <w:bookmarkStart w:id="250" w:name="_Toc191457354"/>
      <w:bookmarkEnd w:id="243"/>
      <w:bookmarkEnd w:id="244"/>
      <w:bookmarkEnd w:id="245"/>
      <w:r w:rsidRPr="00A14CAC">
        <w:rPr>
          <w:lang w:val="pt-BR"/>
        </w:rPr>
        <w:lastRenderedPageBreak/>
        <w:t>Note 3</w:t>
      </w:r>
      <w:r w:rsidR="00AE0965">
        <w:rPr>
          <w:lang w:val="pt-BR"/>
        </w:rPr>
        <w:t>8</w:t>
      </w:r>
      <w:r w:rsidRPr="00A14CAC">
        <w:rPr>
          <w:lang w:val="pt-BR"/>
        </w:rPr>
        <w:t xml:space="preserve"> - Financial Instruments</w:t>
      </w:r>
      <w:bookmarkEnd w:id="246"/>
      <w:bookmarkEnd w:id="247"/>
      <w:bookmarkEnd w:id="248"/>
      <w:bookmarkEnd w:id="249"/>
      <w:bookmarkEnd w:id="250"/>
    </w:p>
    <w:p w14:paraId="41340A39" w14:textId="77777777" w:rsidR="002522D4" w:rsidRPr="00A14CAC" w:rsidRDefault="002522D4" w:rsidP="005433C7">
      <w:pPr>
        <w:rPr>
          <w:lang w:val="pt-BR"/>
        </w:rPr>
      </w:pPr>
    </w:p>
    <w:p w14:paraId="04790F18" w14:textId="13C6200E" w:rsidR="002522D4" w:rsidRPr="00A14CAC" w:rsidRDefault="00425E87" w:rsidP="005433C7">
      <w:pPr>
        <w:rPr>
          <w:lang w:val="pt-BR"/>
        </w:rPr>
      </w:pPr>
      <w:r w:rsidRPr="00A14CAC">
        <w:rPr>
          <w:noProof/>
          <w:lang w:eastAsia="en-GB"/>
        </w:rPr>
        <w:t>Refer to Note 3</w:t>
      </w:r>
      <w:r w:rsidR="00AE0965">
        <w:rPr>
          <w:noProof/>
          <w:lang w:eastAsia="en-GB"/>
        </w:rPr>
        <w:t>8</w:t>
      </w:r>
      <w:r w:rsidRPr="00A14CAC">
        <w:rPr>
          <w:noProof/>
          <w:lang w:eastAsia="en-GB"/>
        </w:rPr>
        <w:t xml:space="preserve"> Office of the Police, Fire &amp; Crime Commissioner (OPFCC) Statement of Accounts.</w:t>
      </w:r>
    </w:p>
    <w:p w14:paraId="6C7F3454" w14:textId="77777777" w:rsidR="005433C7" w:rsidRPr="00A14CAC" w:rsidRDefault="005433C7" w:rsidP="005433C7">
      <w:pPr>
        <w:rPr>
          <w:rFonts w:ascii="Verdana" w:eastAsia="Arial Unicode MS" w:hAnsi="Verdana"/>
          <w:b/>
          <w:bCs/>
          <w:szCs w:val="18"/>
        </w:rPr>
      </w:pPr>
    </w:p>
    <w:p w14:paraId="67077373" w14:textId="18425E95" w:rsidR="002522D4" w:rsidRPr="00A14CAC" w:rsidRDefault="00007E18" w:rsidP="00EB49F7">
      <w:pPr>
        <w:pStyle w:val="NoteHeader"/>
      </w:pPr>
      <w:bookmarkStart w:id="251" w:name="_Toc517077316"/>
      <w:bookmarkStart w:id="252" w:name="_Toc9272541"/>
      <w:bookmarkStart w:id="253" w:name="_Toc9592085"/>
      <w:bookmarkStart w:id="254" w:name="_Toc109632239"/>
      <w:bookmarkStart w:id="255" w:name="_Toc191457355"/>
      <w:r>
        <w:t xml:space="preserve">Note </w:t>
      </w:r>
      <w:r w:rsidR="00AE0965">
        <w:t>39</w:t>
      </w:r>
      <w:r>
        <w:t xml:space="preserve"> -</w:t>
      </w:r>
      <w:r w:rsidR="002522D4" w:rsidRPr="00A14CAC">
        <w:t xml:space="preserve"> Joint Operations</w:t>
      </w:r>
      <w:bookmarkEnd w:id="251"/>
      <w:r w:rsidR="002522D4" w:rsidRPr="00A14CAC">
        <w:t xml:space="preserve"> &amp; Associate Entities</w:t>
      </w:r>
      <w:bookmarkEnd w:id="252"/>
      <w:bookmarkEnd w:id="253"/>
      <w:bookmarkEnd w:id="254"/>
      <w:bookmarkEnd w:id="255"/>
    </w:p>
    <w:p w14:paraId="23E4E336" w14:textId="77777777" w:rsidR="002522D4" w:rsidRPr="00A14CAC" w:rsidRDefault="002522D4" w:rsidP="005433C7">
      <w:pPr>
        <w:rPr>
          <w:lang w:val="en-AU"/>
        </w:rPr>
      </w:pPr>
    </w:p>
    <w:p w14:paraId="137CD14F" w14:textId="461504BC" w:rsidR="00B121D3" w:rsidRPr="00A14CAC" w:rsidRDefault="00ED189C" w:rsidP="005433C7">
      <w:pPr>
        <w:rPr>
          <w:noProof/>
          <w:szCs w:val="20"/>
          <w:lang w:eastAsia="en-GB"/>
        </w:rPr>
      </w:pPr>
      <w:r w:rsidRPr="00A14CAC">
        <w:rPr>
          <w:noProof/>
          <w:szCs w:val="20"/>
          <w:lang w:eastAsia="en-GB"/>
        </w:rPr>
        <w:t xml:space="preserve">Refer to Note </w:t>
      </w:r>
      <w:r w:rsidR="00AE0965">
        <w:rPr>
          <w:noProof/>
          <w:szCs w:val="20"/>
          <w:lang w:eastAsia="en-GB"/>
        </w:rPr>
        <w:t>39</w:t>
      </w:r>
      <w:r w:rsidRPr="00A14CAC">
        <w:rPr>
          <w:noProof/>
          <w:szCs w:val="20"/>
          <w:lang w:eastAsia="en-GB"/>
        </w:rPr>
        <w:t xml:space="preserve"> Office of the Police, Fire &amp; Crime Commissioner (OPFCC) Statement of Accounts.</w:t>
      </w:r>
      <w:bookmarkStart w:id="256" w:name="_Toc517077321"/>
      <w:bookmarkStart w:id="257" w:name="_Toc9272543"/>
      <w:bookmarkStart w:id="258" w:name="End"/>
    </w:p>
    <w:p w14:paraId="36768C88" w14:textId="77777777" w:rsidR="00B121D3" w:rsidRPr="00A14CAC" w:rsidRDefault="00B121D3" w:rsidP="005433C7">
      <w:pPr>
        <w:rPr>
          <w:noProof/>
          <w:szCs w:val="20"/>
          <w:lang w:eastAsia="en-GB"/>
        </w:rPr>
      </w:pPr>
    </w:p>
    <w:p w14:paraId="7CFA0629" w14:textId="13E19E74" w:rsidR="00B121D3" w:rsidRPr="002351FB" w:rsidRDefault="00B121D3" w:rsidP="00B121D3">
      <w:pPr>
        <w:pStyle w:val="NoteHeader"/>
        <w:rPr>
          <w:lang w:val="pt-BR"/>
        </w:rPr>
      </w:pPr>
      <w:bookmarkStart w:id="259" w:name="_Toc517077320"/>
      <w:bookmarkStart w:id="260" w:name="_Toc9272542"/>
      <w:bookmarkStart w:id="261" w:name="_Toc9584305"/>
      <w:bookmarkStart w:id="262" w:name="_Toc9588168"/>
      <w:bookmarkStart w:id="263" w:name="_Toc109632240"/>
      <w:bookmarkStart w:id="264" w:name="_Toc191457356"/>
      <w:r w:rsidRPr="002351FB">
        <w:rPr>
          <w:lang w:val="pt-BR"/>
        </w:rPr>
        <w:t>Note 4</w:t>
      </w:r>
      <w:r w:rsidR="00AE0965">
        <w:rPr>
          <w:lang w:val="pt-BR"/>
        </w:rPr>
        <w:t>0</w:t>
      </w:r>
      <w:r w:rsidRPr="002351FB">
        <w:rPr>
          <w:lang w:val="pt-BR"/>
        </w:rPr>
        <w:t xml:space="preserve"> - Accounting Standards Issued, Not Adopted</w:t>
      </w:r>
      <w:bookmarkEnd w:id="259"/>
      <w:bookmarkEnd w:id="260"/>
      <w:bookmarkEnd w:id="261"/>
      <w:bookmarkEnd w:id="262"/>
      <w:bookmarkEnd w:id="263"/>
      <w:bookmarkEnd w:id="264"/>
      <w:r w:rsidRPr="002351FB">
        <w:rPr>
          <w:lang w:val="pt-BR"/>
        </w:rPr>
        <w:t xml:space="preserve"> </w:t>
      </w:r>
    </w:p>
    <w:p w14:paraId="1ECB3B0C" w14:textId="77777777" w:rsidR="001D2D0F" w:rsidRPr="002351FB" w:rsidRDefault="001D2D0F" w:rsidP="001D2D0F">
      <w:pPr>
        <w:rPr>
          <w:lang w:val="pt-BR"/>
        </w:rPr>
      </w:pPr>
    </w:p>
    <w:p w14:paraId="0EE35B8A" w14:textId="7E34972B" w:rsidR="00D1610F" w:rsidRPr="0097203D" w:rsidRDefault="00D1610F" w:rsidP="00D1610F">
      <w:r>
        <w:t xml:space="preserve">Under The Code of Practice on Local Authority Accounting disclosure of the impact of accounting standards issued but not yet adopted is required. </w:t>
      </w:r>
      <w:r w:rsidR="00155219">
        <w:t xml:space="preserve"> </w:t>
      </w:r>
      <w:r>
        <w:t xml:space="preserve">Following a review of the relevant standards it has been determined that there would </w:t>
      </w:r>
      <w:r w:rsidRPr="0097203D">
        <w:t>be no material changes to the accounts if these were to have been adopted.</w:t>
      </w:r>
      <w:r w:rsidR="00155219">
        <w:t xml:space="preserve"> </w:t>
      </w:r>
      <w:r w:rsidRPr="0097203D">
        <w:t xml:space="preserve"> The relevant standards being introduced for 202</w:t>
      </w:r>
      <w:r w:rsidR="00BF5D0D">
        <w:t>3</w:t>
      </w:r>
      <w:r w:rsidRPr="0097203D">
        <w:t>/2</w:t>
      </w:r>
      <w:r w:rsidR="00BF5D0D">
        <w:t>4</w:t>
      </w:r>
      <w:r w:rsidRPr="0097203D">
        <w:t xml:space="preserve"> are:</w:t>
      </w:r>
    </w:p>
    <w:p w14:paraId="75CD494A" w14:textId="77777777" w:rsidR="002607F4" w:rsidRPr="0097203D" w:rsidRDefault="00D1610F" w:rsidP="00CC730F">
      <w:pPr>
        <w:pStyle w:val="RedBullet"/>
      </w:pPr>
      <w:r w:rsidRPr="0097203D">
        <w:t xml:space="preserve">Definition of Accounting Estimates (Amendments to IAS 8) issued in February 2021. </w:t>
      </w:r>
    </w:p>
    <w:p w14:paraId="4AE290B5" w14:textId="7ED931CA" w:rsidR="00D1610F" w:rsidRPr="0097203D" w:rsidRDefault="00D1610F" w:rsidP="00CC730F">
      <w:pPr>
        <w:pStyle w:val="RedBullet"/>
      </w:pPr>
      <w:r w:rsidRPr="0097203D">
        <w:t>Disclosure of Accounting Policies (Amendments to IAS 1 and IFRS Practice Statement 2)</w:t>
      </w:r>
      <w:r w:rsidR="00537A0A" w:rsidRPr="0097203D">
        <w:t xml:space="preserve"> </w:t>
      </w:r>
      <w:r w:rsidRPr="0097203D">
        <w:t xml:space="preserve">issued in February 2021. </w:t>
      </w:r>
    </w:p>
    <w:p w14:paraId="4832C0BB" w14:textId="0F6299C9" w:rsidR="00CC730F" w:rsidRDefault="00D1610F" w:rsidP="00CC730F">
      <w:pPr>
        <w:pStyle w:val="RedBullet"/>
      </w:pPr>
      <w:r w:rsidRPr="0097203D">
        <w:t>Deferred Tax related to Assets and Liabilities arising from a Single Transaction (Amendments to IAS 12) issued in May 2021.</w:t>
      </w:r>
    </w:p>
    <w:p w14:paraId="4A8A6AD5" w14:textId="554E9E21" w:rsidR="00CC730F" w:rsidRDefault="00CC730F" w:rsidP="00CC730F">
      <w:pPr>
        <w:pStyle w:val="RedBullet"/>
      </w:pPr>
      <w:r w:rsidRPr="00CC730F">
        <w:t>Updating a Reference to the Conceptual Framework (Amendments to IFRS 3) issued in May 2020.</w:t>
      </w:r>
    </w:p>
    <w:p w14:paraId="552D2D7A" w14:textId="759057F2" w:rsidR="004D7014" w:rsidRDefault="00CC730F" w:rsidP="00D1610F">
      <w:pPr>
        <w:pStyle w:val="RedBullet"/>
      </w:pPr>
      <w:r w:rsidRPr="00CC730F">
        <w:t>Updated disclosures based on IFRS 16 Leases issued in January 2016</w:t>
      </w:r>
      <w:r w:rsidR="00B96465">
        <w:t>.</w:t>
      </w:r>
    </w:p>
    <w:p w14:paraId="10DE1368" w14:textId="77777777" w:rsidR="00B96465" w:rsidRPr="003C6B62" w:rsidRDefault="00B96465" w:rsidP="00B96465">
      <w:pPr>
        <w:pStyle w:val="RedBullet"/>
        <w:numPr>
          <w:ilvl w:val="0"/>
          <w:numId w:val="0"/>
        </w:numPr>
        <w:ind w:left="720" w:hanging="360"/>
      </w:pPr>
    </w:p>
    <w:p w14:paraId="40105EF0" w14:textId="7DB2FA48" w:rsidR="00B121D3" w:rsidRPr="001D2D0F" w:rsidRDefault="00B121D3" w:rsidP="00B121D3">
      <w:pPr>
        <w:pStyle w:val="NoteHeader"/>
        <w:rPr>
          <w:lang w:val="pt-BR"/>
        </w:rPr>
      </w:pPr>
      <w:bookmarkStart w:id="265" w:name="_Toc9584306"/>
      <w:bookmarkStart w:id="266" w:name="_Toc9588169"/>
      <w:bookmarkStart w:id="267" w:name="_Toc109632241"/>
      <w:bookmarkStart w:id="268" w:name="_Toc191457357"/>
      <w:r w:rsidRPr="001D2D0F">
        <w:rPr>
          <w:lang w:val="pt-BR"/>
        </w:rPr>
        <w:t>Note 4</w:t>
      </w:r>
      <w:r w:rsidR="00AE0965">
        <w:rPr>
          <w:lang w:val="pt-BR"/>
        </w:rPr>
        <w:t>1</w:t>
      </w:r>
      <w:r w:rsidRPr="001D2D0F">
        <w:rPr>
          <w:lang w:val="pt-BR"/>
        </w:rPr>
        <w:t xml:space="preserve"> - Restatements</w:t>
      </w:r>
      <w:bookmarkEnd w:id="265"/>
      <w:bookmarkEnd w:id="266"/>
      <w:bookmarkEnd w:id="267"/>
      <w:bookmarkEnd w:id="268"/>
      <w:r w:rsidRPr="001D2D0F">
        <w:rPr>
          <w:lang w:val="pt-BR"/>
        </w:rPr>
        <w:t xml:space="preserve"> </w:t>
      </w:r>
    </w:p>
    <w:p w14:paraId="4F16FAD9" w14:textId="77777777" w:rsidR="00B121D3" w:rsidRPr="001D2D0F" w:rsidRDefault="00B121D3" w:rsidP="006A5AA6">
      <w:pPr>
        <w:rPr>
          <w:lang w:val="pt-BR"/>
        </w:rPr>
      </w:pPr>
    </w:p>
    <w:p w14:paraId="6AF310A9" w14:textId="77777777" w:rsidR="00DC4315" w:rsidRDefault="002351FB">
      <w:pPr>
        <w:spacing w:line="240" w:lineRule="auto"/>
        <w:jc w:val="left"/>
        <w:rPr>
          <w:rFonts w:cstheme="minorHAnsi"/>
          <w:szCs w:val="20"/>
          <w:lang w:val="en-AU"/>
        </w:rPr>
      </w:pPr>
      <w:r w:rsidRPr="000133A0">
        <w:rPr>
          <w:rFonts w:cstheme="minorHAnsi"/>
          <w:szCs w:val="20"/>
          <w:lang w:val="en-AU"/>
        </w:rPr>
        <w:t xml:space="preserve">No restatements have taken </w:t>
      </w:r>
      <w:r w:rsidR="008C3689">
        <w:rPr>
          <w:rFonts w:cstheme="minorHAnsi"/>
          <w:szCs w:val="20"/>
          <w:lang w:val="en-AU"/>
        </w:rPr>
        <w:t>place in preparation of the 202</w:t>
      </w:r>
      <w:r w:rsidR="00BF5D0D">
        <w:rPr>
          <w:rFonts w:cstheme="minorHAnsi"/>
          <w:szCs w:val="20"/>
          <w:lang w:val="en-AU"/>
        </w:rPr>
        <w:t>3</w:t>
      </w:r>
      <w:r w:rsidR="008C3689">
        <w:rPr>
          <w:rFonts w:cstheme="minorHAnsi"/>
          <w:szCs w:val="20"/>
          <w:lang w:val="en-AU"/>
        </w:rPr>
        <w:t>/2</w:t>
      </w:r>
      <w:r w:rsidR="00BF5D0D">
        <w:rPr>
          <w:rFonts w:cstheme="minorHAnsi"/>
          <w:szCs w:val="20"/>
          <w:lang w:val="en-AU"/>
        </w:rPr>
        <w:t>4</w:t>
      </w:r>
      <w:r w:rsidRPr="000133A0">
        <w:rPr>
          <w:rFonts w:cstheme="minorHAnsi"/>
          <w:szCs w:val="20"/>
          <w:lang w:val="en-AU"/>
        </w:rPr>
        <w:t xml:space="preserve"> S</w:t>
      </w:r>
      <w:r>
        <w:rPr>
          <w:rFonts w:cstheme="minorHAnsi"/>
          <w:szCs w:val="20"/>
          <w:lang w:val="en-AU"/>
        </w:rPr>
        <w:t>tatement of Accounts for the OCC</w:t>
      </w:r>
      <w:r w:rsidRPr="000133A0">
        <w:rPr>
          <w:rFonts w:cstheme="minorHAnsi"/>
          <w:szCs w:val="20"/>
          <w:lang w:val="en-AU"/>
        </w:rPr>
        <w:t>.</w:t>
      </w:r>
      <w:bookmarkEnd w:id="80"/>
    </w:p>
    <w:p w14:paraId="6EF263E3" w14:textId="77777777" w:rsidR="00AE0965" w:rsidRDefault="00AE0965">
      <w:pPr>
        <w:spacing w:line="240" w:lineRule="auto"/>
        <w:jc w:val="left"/>
        <w:rPr>
          <w:rFonts w:cstheme="minorHAnsi"/>
          <w:szCs w:val="20"/>
          <w:lang w:val="en-AU"/>
        </w:rPr>
      </w:pPr>
    </w:p>
    <w:p w14:paraId="51899B3D" w14:textId="77777777" w:rsidR="00AE0965" w:rsidRDefault="00AE0965">
      <w:pPr>
        <w:spacing w:line="240" w:lineRule="auto"/>
        <w:jc w:val="left"/>
        <w:rPr>
          <w:rFonts w:cstheme="minorHAnsi"/>
          <w:szCs w:val="20"/>
          <w:lang w:val="en-AU"/>
        </w:rPr>
      </w:pPr>
    </w:p>
    <w:p w14:paraId="79D58C89" w14:textId="77777777" w:rsidR="00AE0965" w:rsidRDefault="00AE0965">
      <w:pPr>
        <w:spacing w:line="240" w:lineRule="auto"/>
        <w:jc w:val="left"/>
        <w:rPr>
          <w:rFonts w:cstheme="minorHAnsi"/>
          <w:szCs w:val="20"/>
          <w:lang w:val="en-AU"/>
        </w:rPr>
      </w:pPr>
    </w:p>
    <w:p w14:paraId="3534BBFF" w14:textId="77777777" w:rsidR="00AE0965" w:rsidRDefault="00AE0965">
      <w:pPr>
        <w:spacing w:line="240" w:lineRule="auto"/>
        <w:jc w:val="left"/>
        <w:rPr>
          <w:rFonts w:cstheme="minorHAnsi"/>
          <w:szCs w:val="20"/>
          <w:lang w:val="en-AU"/>
        </w:rPr>
      </w:pPr>
    </w:p>
    <w:p w14:paraId="483FF6FD" w14:textId="77777777" w:rsidR="00AE0965" w:rsidRDefault="00AE0965">
      <w:pPr>
        <w:spacing w:line="240" w:lineRule="auto"/>
        <w:jc w:val="left"/>
        <w:rPr>
          <w:rFonts w:cstheme="minorHAnsi"/>
          <w:szCs w:val="20"/>
          <w:lang w:val="en-AU"/>
        </w:rPr>
      </w:pPr>
    </w:p>
    <w:p w14:paraId="7FF89039" w14:textId="77777777" w:rsidR="00AE0965" w:rsidRDefault="00AE0965">
      <w:pPr>
        <w:spacing w:line="240" w:lineRule="auto"/>
        <w:jc w:val="left"/>
        <w:rPr>
          <w:rFonts w:cstheme="minorHAnsi"/>
          <w:szCs w:val="20"/>
          <w:lang w:val="en-AU"/>
        </w:rPr>
      </w:pPr>
    </w:p>
    <w:p w14:paraId="117388E9" w14:textId="77777777" w:rsidR="00AE0965" w:rsidRDefault="00AE0965">
      <w:pPr>
        <w:spacing w:line="240" w:lineRule="auto"/>
        <w:jc w:val="left"/>
        <w:rPr>
          <w:rFonts w:cstheme="minorHAnsi"/>
          <w:szCs w:val="20"/>
          <w:lang w:val="en-AU"/>
        </w:rPr>
      </w:pPr>
    </w:p>
    <w:p w14:paraId="0268B687" w14:textId="77777777" w:rsidR="00AE0965" w:rsidRDefault="00AE0965">
      <w:pPr>
        <w:spacing w:line="240" w:lineRule="auto"/>
        <w:jc w:val="left"/>
        <w:rPr>
          <w:rFonts w:cstheme="minorHAnsi"/>
          <w:szCs w:val="20"/>
          <w:lang w:val="en-AU"/>
        </w:rPr>
      </w:pPr>
    </w:p>
    <w:p w14:paraId="53AFF6A1" w14:textId="77777777" w:rsidR="00AE0965" w:rsidRDefault="00AE0965">
      <w:pPr>
        <w:spacing w:line="240" w:lineRule="auto"/>
        <w:jc w:val="left"/>
        <w:rPr>
          <w:rFonts w:cstheme="minorHAnsi"/>
          <w:szCs w:val="20"/>
          <w:lang w:val="en-AU"/>
        </w:rPr>
      </w:pPr>
    </w:p>
    <w:p w14:paraId="2088F4B7" w14:textId="77777777" w:rsidR="00AE0965" w:rsidRDefault="00AE0965">
      <w:pPr>
        <w:spacing w:line="240" w:lineRule="auto"/>
        <w:jc w:val="left"/>
        <w:rPr>
          <w:rFonts w:cstheme="minorHAnsi"/>
          <w:szCs w:val="20"/>
          <w:lang w:val="en-AU"/>
        </w:rPr>
      </w:pPr>
    </w:p>
    <w:p w14:paraId="23F89DEC" w14:textId="77777777" w:rsidR="00AE0965" w:rsidRDefault="00AE0965">
      <w:pPr>
        <w:spacing w:line="240" w:lineRule="auto"/>
        <w:jc w:val="left"/>
        <w:rPr>
          <w:rFonts w:cstheme="minorHAnsi"/>
          <w:szCs w:val="20"/>
          <w:lang w:val="en-AU"/>
        </w:rPr>
      </w:pPr>
    </w:p>
    <w:p w14:paraId="10A53C4F" w14:textId="77777777" w:rsidR="00AE0965" w:rsidRDefault="00AE0965">
      <w:pPr>
        <w:spacing w:line="240" w:lineRule="auto"/>
        <w:jc w:val="left"/>
        <w:rPr>
          <w:rFonts w:cstheme="minorHAnsi"/>
          <w:szCs w:val="20"/>
          <w:lang w:val="en-AU"/>
        </w:rPr>
      </w:pPr>
    </w:p>
    <w:p w14:paraId="6E618166" w14:textId="77777777" w:rsidR="00AE0965" w:rsidRDefault="00AE0965">
      <w:pPr>
        <w:spacing w:line="240" w:lineRule="auto"/>
        <w:jc w:val="left"/>
        <w:rPr>
          <w:rFonts w:cstheme="minorHAnsi"/>
          <w:szCs w:val="20"/>
          <w:lang w:val="en-AU"/>
        </w:rPr>
      </w:pPr>
    </w:p>
    <w:p w14:paraId="0C942896" w14:textId="77777777" w:rsidR="00AE0965" w:rsidRDefault="00AE0965">
      <w:pPr>
        <w:spacing w:line="240" w:lineRule="auto"/>
        <w:jc w:val="left"/>
        <w:rPr>
          <w:rFonts w:cstheme="minorHAnsi"/>
          <w:szCs w:val="20"/>
          <w:lang w:val="en-AU"/>
        </w:rPr>
      </w:pPr>
    </w:p>
    <w:p w14:paraId="4B62C72B" w14:textId="77777777" w:rsidR="00AE0965" w:rsidRDefault="00AE0965">
      <w:pPr>
        <w:spacing w:line="240" w:lineRule="auto"/>
        <w:jc w:val="left"/>
        <w:rPr>
          <w:rFonts w:cstheme="minorHAnsi"/>
          <w:szCs w:val="20"/>
          <w:lang w:val="en-AU"/>
        </w:rPr>
      </w:pPr>
    </w:p>
    <w:p w14:paraId="6503DB4E" w14:textId="77777777" w:rsidR="00AE0965" w:rsidRDefault="00AE0965">
      <w:pPr>
        <w:spacing w:line="240" w:lineRule="auto"/>
        <w:jc w:val="left"/>
        <w:rPr>
          <w:rFonts w:cstheme="minorHAnsi"/>
          <w:szCs w:val="20"/>
          <w:lang w:val="en-AU"/>
        </w:rPr>
      </w:pPr>
    </w:p>
    <w:p w14:paraId="26ED30FA" w14:textId="77777777" w:rsidR="00AE0965" w:rsidRDefault="00AE0965">
      <w:pPr>
        <w:spacing w:line="240" w:lineRule="auto"/>
        <w:jc w:val="left"/>
        <w:rPr>
          <w:rFonts w:cstheme="minorHAnsi"/>
          <w:szCs w:val="20"/>
          <w:lang w:val="en-AU"/>
        </w:rPr>
      </w:pPr>
    </w:p>
    <w:p w14:paraId="6D2970E8" w14:textId="77777777" w:rsidR="00AE0965" w:rsidRDefault="00AE0965">
      <w:pPr>
        <w:spacing w:line="240" w:lineRule="auto"/>
        <w:jc w:val="left"/>
        <w:rPr>
          <w:rFonts w:cstheme="minorHAnsi"/>
          <w:szCs w:val="20"/>
          <w:lang w:val="en-AU"/>
        </w:rPr>
      </w:pPr>
    </w:p>
    <w:p w14:paraId="6C60B21B" w14:textId="77777777" w:rsidR="00AE0965" w:rsidRDefault="00AE0965">
      <w:pPr>
        <w:spacing w:line="240" w:lineRule="auto"/>
        <w:jc w:val="left"/>
        <w:rPr>
          <w:rFonts w:cstheme="minorHAnsi"/>
          <w:szCs w:val="20"/>
          <w:lang w:val="en-AU"/>
        </w:rPr>
      </w:pPr>
    </w:p>
    <w:p w14:paraId="405C8E6C" w14:textId="77777777" w:rsidR="00AE0965" w:rsidRDefault="00AE0965">
      <w:pPr>
        <w:spacing w:line="240" w:lineRule="auto"/>
        <w:jc w:val="left"/>
        <w:rPr>
          <w:rFonts w:cstheme="minorHAnsi"/>
          <w:szCs w:val="20"/>
          <w:lang w:val="en-AU"/>
        </w:rPr>
      </w:pPr>
    </w:p>
    <w:p w14:paraId="12F21366" w14:textId="77777777" w:rsidR="00AE0965" w:rsidRDefault="00AE0965">
      <w:pPr>
        <w:spacing w:line="240" w:lineRule="auto"/>
        <w:jc w:val="left"/>
        <w:rPr>
          <w:rFonts w:cstheme="minorHAnsi"/>
          <w:szCs w:val="20"/>
          <w:lang w:val="en-AU"/>
        </w:rPr>
      </w:pPr>
    </w:p>
    <w:p w14:paraId="5FC615D8" w14:textId="77777777" w:rsidR="00AE0965" w:rsidRDefault="00AE0965">
      <w:pPr>
        <w:spacing w:line="240" w:lineRule="auto"/>
        <w:jc w:val="left"/>
        <w:rPr>
          <w:rFonts w:cstheme="minorHAnsi"/>
          <w:szCs w:val="20"/>
          <w:lang w:val="en-AU"/>
        </w:rPr>
      </w:pPr>
    </w:p>
    <w:p w14:paraId="50444AAD" w14:textId="77777777" w:rsidR="00AE0965" w:rsidRDefault="00AE0965">
      <w:pPr>
        <w:spacing w:line="240" w:lineRule="auto"/>
        <w:jc w:val="left"/>
        <w:rPr>
          <w:rFonts w:cstheme="minorHAnsi"/>
          <w:szCs w:val="20"/>
          <w:lang w:val="en-AU"/>
        </w:rPr>
      </w:pPr>
    </w:p>
    <w:p w14:paraId="5F2F01A0" w14:textId="77777777" w:rsidR="00AE0965" w:rsidRDefault="00AE0965">
      <w:pPr>
        <w:spacing w:line="240" w:lineRule="auto"/>
        <w:jc w:val="left"/>
        <w:rPr>
          <w:rFonts w:cstheme="minorHAnsi"/>
          <w:szCs w:val="20"/>
          <w:lang w:val="en-AU"/>
        </w:rPr>
      </w:pPr>
    </w:p>
    <w:p w14:paraId="048D955E" w14:textId="77777777" w:rsidR="00AE0965" w:rsidRDefault="00AE0965">
      <w:pPr>
        <w:spacing w:line="240" w:lineRule="auto"/>
        <w:jc w:val="left"/>
        <w:rPr>
          <w:rFonts w:cstheme="minorHAnsi"/>
          <w:szCs w:val="20"/>
          <w:lang w:val="en-AU"/>
        </w:rPr>
      </w:pPr>
    </w:p>
    <w:p w14:paraId="21439A78" w14:textId="77777777" w:rsidR="00AE0965" w:rsidRDefault="00AE0965">
      <w:pPr>
        <w:spacing w:line="240" w:lineRule="auto"/>
        <w:jc w:val="left"/>
        <w:rPr>
          <w:rFonts w:cstheme="minorHAnsi"/>
          <w:szCs w:val="20"/>
          <w:lang w:val="en-AU"/>
        </w:rPr>
      </w:pPr>
    </w:p>
    <w:p w14:paraId="71D22BBD" w14:textId="77777777" w:rsidR="00AE0965" w:rsidRDefault="00AE0965">
      <w:pPr>
        <w:spacing w:line="240" w:lineRule="auto"/>
        <w:jc w:val="left"/>
        <w:rPr>
          <w:rFonts w:cstheme="minorHAnsi"/>
          <w:szCs w:val="20"/>
          <w:lang w:val="en-AU"/>
        </w:rPr>
      </w:pPr>
    </w:p>
    <w:p w14:paraId="026B88F5" w14:textId="20F96419" w:rsidR="00DC4315" w:rsidRPr="003C09E9" w:rsidRDefault="00AE0965" w:rsidP="00DC4315">
      <w:r w:rsidRPr="00AE0965">
        <w:rPr>
          <w:rFonts w:asciiTheme="minorHAnsi" w:eastAsia="Times New Roman" w:hAnsiTheme="minorHAnsi" w:cs="Times New Roman"/>
          <w:b/>
          <w:bCs/>
          <w:color w:val="25316C"/>
          <w:sz w:val="24"/>
          <w:u w:val="single"/>
        </w:rPr>
        <w:lastRenderedPageBreak/>
        <w:t>Police Pension Fund Account</w:t>
      </w:r>
    </w:p>
    <w:p w14:paraId="1190C249" w14:textId="77777777" w:rsidR="00DC4315" w:rsidRPr="003C09E9" w:rsidRDefault="00DC4315" w:rsidP="00DC4315"/>
    <w:p w14:paraId="797A2FAD" w14:textId="77777777" w:rsidR="00DC4315" w:rsidRPr="00524D29" w:rsidRDefault="00DC4315" w:rsidP="00DC4315">
      <w:r w:rsidRPr="003C09E9">
        <w:t>This statement shows movements of funds related to police officer pensions.  The Group and OCC are required to operate a Police Officer Pension Fund from 1 April 2006, under the Police Pension Fund Regulations 2008.  The regulations specify the transactions that are paid into and out of the fund.</w:t>
      </w:r>
    </w:p>
    <w:p w14:paraId="5F83F2C9" w14:textId="77777777" w:rsidR="00DC4315" w:rsidRPr="00524D29" w:rsidRDefault="00DC4315" w:rsidP="00DC4315"/>
    <w:p w14:paraId="6405FB6F" w14:textId="77777777" w:rsidR="00DC4315" w:rsidRPr="00524D29" w:rsidRDefault="00DC4315" w:rsidP="00DC4315">
      <w:r w:rsidRPr="00524D29">
        <w:t xml:space="preserve">The Pensions Fund combines the accounting transaction of four pension schemes. </w:t>
      </w:r>
      <w:r>
        <w:t xml:space="preserve"> </w:t>
      </w:r>
      <w:r w:rsidRPr="00524D29">
        <w:t>These are the Police Pensions Scheme which was set up in 1987, 2006 Police Pensions Scheme, which was created under the Police Pension Regulations 2006, which applies to new recruits from 1 April 2006</w:t>
      </w:r>
      <w:r>
        <w:t>,</w:t>
      </w:r>
      <w:r w:rsidRPr="00524D29">
        <w:t xml:space="preserve"> and the 2015 Police Pension Scheme, which was created on 1 April 2015 and involved transfers in from the 1987 and 2006 schemes, based on length of service. </w:t>
      </w:r>
      <w:r>
        <w:t xml:space="preserve"> </w:t>
      </w:r>
      <w:r w:rsidRPr="00524D29">
        <w:t>The fourth scheme is the injury award scheme.</w:t>
      </w:r>
    </w:p>
    <w:p w14:paraId="548BB92D" w14:textId="77777777" w:rsidR="00DC4315" w:rsidRDefault="00DC4315" w:rsidP="00DC4315"/>
    <w:p w14:paraId="0F4BC3C0" w14:textId="77777777" w:rsidR="00DC4315" w:rsidRDefault="00DC4315" w:rsidP="00DC4315">
      <w:r>
        <w:t>Following the Sargent and McCloud High Court rulings, all members will be moved to the 2015 scheme</w:t>
      </w:r>
      <w:r w:rsidRPr="00D1695B">
        <w:t xml:space="preserve"> </w:t>
      </w:r>
      <w:r>
        <w:t>from 1</w:t>
      </w:r>
      <w:r w:rsidRPr="00A563A4">
        <w:rPr>
          <w:vertAlign w:val="superscript"/>
        </w:rPr>
        <w:t>st</w:t>
      </w:r>
      <w:r>
        <w:t xml:space="preserve"> April 2012 to ensure that there is no further possibility of age discrimination within the pension arrangements. </w:t>
      </w:r>
    </w:p>
    <w:p w14:paraId="68A14C67" w14:textId="77777777" w:rsidR="00DC4315" w:rsidRPr="00524D29" w:rsidRDefault="00DC4315" w:rsidP="00DC4315"/>
    <w:p w14:paraId="0EFCF957" w14:textId="77777777" w:rsidR="00DC4315" w:rsidRDefault="00DC4315" w:rsidP="00DC4315">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Groups Income and Expenditure Account.</w:t>
      </w:r>
    </w:p>
    <w:p w14:paraId="19F643FE" w14:textId="77777777" w:rsidR="00DC4315" w:rsidRDefault="00DC4315" w:rsidP="00DC4315"/>
    <w:tbl>
      <w:tblPr>
        <w:tblW w:w="8456" w:type="dxa"/>
        <w:tblLayout w:type="fixed"/>
        <w:tblLook w:val="04A0" w:firstRow="1" w:lastRow="0" w:firstColumn="1" w:lastColumn="0" w:noHBand="0" w:noVBand="1"/>
      </w:tblPr>
      <w:tblGrid>
        <w:gridCol w:w="5956"/>
        <w:gridCol w:w="1250"/>
        <w:gridCol w:w="1250"/>
      </w:tblGrid>
      <w:tr w:rsidR="00DC4315" w:rsidRPr="00DA4B61" w14:paraId="06AA7E7A" w14:textId="77777777" w:rsidTr="00071B92">
        <w:trPr>
          <w:trHeight w:val="80"/>
        </w:trPr>
        <w:tc>
          <w:tcPr>
            <w:tcW w:w="5956" w:type="dxa"/>
            <w:tcBorders>
              <w:top w:val="nil"/>
              <w:left w:val="nil"/>
              <w:bottom w:val="nil"/>
              <w:right w:val="nil"/>
            </w:tcBorders>
            <w:shd w:val="clear" w:color="000000" w:fill="000099"/>
            <w:noWrap/>
            <w:vAlign w:val="center"/>
            <w:hideMark/>
          </w:tcPr>
          <w:p w14:paraId="179B2265" w14:textId="77777777" w:rsidR="00DC4315" w:rsidRPr="00DA4B61" w:rsidRDefault="00DC4315" w:rsidP="00071B92">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2500" w:type="dxa"/>
            <w:gridSpan w:val="2"/>
            <w:vMerge w:val="restart"/>
            <w:tcBorders>
              <w:top w:val="nil"/>
              <w:left w:val="nil"/>
              <w:bottom w:val="nil"/>
              <w:right w:val="nil"/>
            </w:tcBorders>
            <w:shd w:val="clear" w:color="000000" w:fill="000099"/>
            <w:vAlign w:val="center"/>
            <w:hideMark/>
          </w:tcPr>
          <w:p w14:paraId="35833C3B" w14:textId="77777777" w:rsidR="00DC4315" w:rsidRPr="00DA4B61" w:rsidRDefault="00DC4315" w:rsidP="00071B92">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Police Pension Scheme</w:t>
            </w:r>
          </w:p>
        </w:tc>
      </w:tr>
      <w:tr w:rsidR="00DC4315" w:rsidRPr="00DA4B61" w14:paraId="66D76136" w14:textId="77777777" w:rsidTr="00071B92">
        <w:trPr>
          <w:trHeight w:val="300"/>
        </w:trPr>
        <w:tc>
          <w:tcPr>
            <w:tcW w:w="5956" w:type="dxa"/>
            <w:tcBorders>
              <w:top w:val="nil"/>
              <w:left w:val="nil"/>
              <w:bottom w:val="nil"/>
              <w:right w:val="nil"/>
            </w:tcBorders>
            <w:shd w:val="clear" w:color="000000" w:fill="000099"/>
            <w:noWrap/>
            <w:vAlign w:val="center"/>
            <w:hideMark/>
          </w:tcPr>
          <w:p w14:paraId="55C2B608" w14:textId="77777777" w:rsidR="00DC4315" w:rsidRPr="00DA4B61" w:rsidRDefault="00DC4315" w:rsidP="00071B92">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2500" w:type="dxa"/>
            <w:gridSpan w:val="2"/>
            <w:vMerge/>
            <w:tcBorders>
              <w:top w:val="nil"/>
              <w:left w:val="nil"/>
              <w:bottom w:val="nil"/>
              <w:right w:val="nil"/>
            </w:tcBorders>
            <w:vAlign w:val="center"/>
            <w:hideMark/>
          </w:tcPr>
          <w:p w14:paraId="29CE3516" w14:textId="77777777" w:rsidR="00DC4315" w:rsidRPr="00DA4B61" w:rsidRDefault="00DC4315" w:rsidP="00071B92">
            <w:pPr>
              <w:spacing w:line="240" w:lineRule="auto"/>
              <w:jc w:val="left"/>
              <w:rPr>
                <w:rFonts w:eastAsia="Times New Roman" w:cs="Calibri"/>
                <w:b/>
                <w:bCs/>
                <w:color w:val="FFFFFF"/>
                <w:szCs w:val="20"/>
                <w:lang w:eastAsia="en-GB"/>
              </w:rPr>
            </w:pPr>
          </w:p>
        </w:tc>
      </w:tr>
      <w:tr w:rsidR="00DC4315" w:rsidRPr="00DA4B61" w14:paraId="0C959CAA" w14:textId="77777777" w:rsidTr="00071B92">
        <w:trPr>
          <w:trHeight w:val="80"/>
        </w:trPr>
        <w:tc>
          <w:tcPr>
            <w:tcW w:w="5956" w:type="dxa"/>
            <w:tcBorders>
              <w:top w:val="nil"/>
              <w:left w:val="nil"/>
              <w:bottom w:val="nil"/>
              <w:right w:val="nil"/>
            </w:tcBorders>
            <w:shd w:val="clear" w:color="000000" w:fill="000099"/>
            <w:noWrap/>
            <w:vAlign w:val="center"/>
            <w:hideMark/>
          </w:tcPr>
          <w:p w14:paraId="6FB934BF" w14:textId="77777777" w:rsidR="00DC4315" w:rsidRPr="00DA4B61" w:rsidRDefault="00DC4315" w:rsidP="00071B92">
            <w:pPr>
              <w:spacing w:line="240" w:lineRule="auto"/>
              <w:jc w:val="left"/>
              <w:rPr>
                <w:rFonts w:eastAsia="Times New Roman" w:cs="Calibri"/>
                <w:color w:val="FFFFFF"/>
                <w:szCs w:val="20"/>
                <w:lang w:eastAsia="en-GB"/>
              </w:rPr>
            </w:pPr>
            <w:r w:rsidRPr="00DA4B61">
              <w:rPr>
                <w:rFonts w:eastAsia="Times New Roman" w:cs="Calibri"/>
                <w:color w:val="FFFFFF"/>
                <w:szCs w:val="20"/>
                <w:lang w:eastAsia="en-GB"/>
              </w:rPr>
              <w:t> </w:t>
            </w:r>
          </w:p>
        </w:tc>
        <w:tc>
          <w:tcPr>
            <w:tcW w:w="1250" w:type="dxa"/>
            <w:tcBorders>
              <w:top w:val="nil"/>
              <w:left w:val="nil"/>
              <w:bottom w:val="nil"/>
              <w:right w:val="nil"/>
            </w:tcBorders>
            <w:shd w:val="clear" w:color="000000" w:fill="000099"/>
            <w:noWrap/>
            <w:vAlign w:val="center"/>
            <w:hideMark/>
          </w:tcPr>
          <w:p w14:paraId="2F298550" w14:textId="77777777" w:rsidR="00DC4315" w:rsidRPr="00DA4B61" w:rsidRDefault="00DC4315" w:rsidP="00071B92">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2022/23</w:t>
            </w:r>
          </w:p>
        </w:tc>
        <w:tc>
          <w:tcPr>
            <w:tcW w:w="1250" w:type="dxa"/>
            <w:tcBorders>
              <w:top w:val="nil"/>
              <w:left w:val="nil"/>
              <w:right w:val="nil"/>
            </w:tcBorders>
            <w:shd w:val="clear" w:color="000000" w:fill="000099"/>
            <w:noWrap/>
            <w:vAlign w:val="center"/>
            <w:hideMark/>
          </w:tcPr>
          <w:p w14:paraId="66EC26B3" w14:textId="77777777" w:rsidR="00DC4315" w:rsidRPr="00DA4B61" w:rsidRDefault="00DC4315" w:rsidP="00071B92">
            <w:pPr>
              <w:spacing w:line="240" w:lineRule="auto"/>
              <w:jc w:val="center"/>
              <w:rPr>
                <w:rFonts w:eastAsia="Times New Roman" w:cs="Calibri"/>
                <w:b/>
                <w:bCs/>
                <w:color w:val="FFFFFF"/>
                <w:szCs w:val="20"/>
                <w:lang w:eastAsia="en-GB"/>
              </w:rPr>
            </w:pPr>
            <w:r w:rsidRPr="00DA4B61">
              <w:rPr>
                <w:rFonts w:eastAsia="Times New Roman" w:cs="Calibri"/>
                <w:b/>
                <w:bCs/>
                <w:color w:val="FFFFFF"/>
                <w:szCs w:val="20"/>
                <w:lang w:eastAsia="en-GB"/>
              </w:rPr>
              <w:t>2023/24</w:t>
            </w:r>
          </w:p>
        </w:tc>
      </w:tr>
      <w:tr w:rsidR="00DC4315" w:rsidRPr="00DA4B61" w14:paraId="52E85B5B" w14:textId="77777777" w:rsidTr="00071B92">
        <w:trPr>
          <w:trHeight w:val="300"/>
        </w:trPr>
        <w:tc>
          <w:tcPr>
            <w:tcW w:w="5956" w:type="dxa"/>
            <w:tcBorders>
              <w:top w:val="nil"/>
              <w:left w:val="nil"/>
              <w:bottom w:val="nil"/>
              <w:right w:val="nil"/>
            </w:tcBorders>
            <w:shd w:val="clear" w:color="000000" w:fill="FFFFFF"/>
            <w:noWrap/>
            <w:vAlign w:val="center"/>
            <w:hideMark/>
          </w:tcPr>
          <w:p w14:paraId="62A7CDFE" w14:textId="77777777" w:rsidR="00DC4315" w:rsidRPr="00DA4B61" w:rsidRDefault="00DC4315" w:rsidP="00071B92">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Contributions Receivable</w:t>
            </w:r>
          </w:p>
        </w:tc>
        <w:tc>
          <w:tcPr>
            <w:tcW w:w="1250" w:type="dxa"/>
            <w:tcBorders>
              <w:top w:val="nil"/>
              <w:left w:val="nil"/>
              <w:bottom w:val="nil"/>
              <w:right w:val="single" w:sz="4" w:space="0" w:color="auto"/>
            </w:tcBorders>
            <w:shd w:val="clear" w:color="000000" w:fill="FFFFFF"/>
            <w:noWrap/>
            <w:vAlign w:val="center"/>
            <w:hideMark/>
          </w:tcPr>
          <w:p w14:paraId="5A9677DE" w14:textId="77777777" w:rsidR="00DC4315" w:rsidRPr="00DA4B61" w:rsidRDefault="00DC4315" w:rsidP="00071B92">
            <w:pPr>
              <w:spacing w:line="240" w:lineRule="auto"/>
              <w:jc w:val="right"/>
              <w:rPr>
                <w:rFonts w:eastAsia="Times New Roman" w:cs="Calibri"/>
                <w:b/>
                <w:bCs/>
                <w:color w:val="000000"/>
                <w:szCs w:val="20"/>
                <w:lang w:eastAsia="en-GB"/>
              </w:rPr>
            </w:pPr>
            <w:r w:rsidRPr="00DA4B61">
              <w:rPr>
                <w:rFonts w:eastAsia="Times New Roman" w:cs="Calibri"/>
                <w:b/>
                <w:bCs/>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59815D62"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7C8F30EF" w14:textId="77777777" w:rsidTr="00071B92">
        <w:trPr>
          <w:trHeight w:val="300"/>
        </w:trPr>
        <w:tc>
          <w:tcPr>
            <w:tcW w:w="5956" w:type="dxa"/>
            <w:tcBorders>
              <w:top w:val="nil"/>
              <w:left w:val="nil"/>
              <w:bottom w:val="nil"/>
              <w:right w:val="nil"/>
            </w:tcBorders>
            <w:shd w:val="clear" w:color="000000" w:fill="FFFFFF"/>
            <w:noWrap/>
            <w:vAlign w:val="center"/>
            <w:hideMark/>
          </w:tcPr>
          <w:p w14:paraId="37059B55"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Group</w:t>
            </w:r>
          </w:p>
        </w:tc>
        <w:tc>
          <w:tcPr>
            <w:tcW w:w="1250" w:type="dxa"/>
            <w:tcBorders>
              <w:top w:val="nil"/>
              <w:left w:val="nil"/>
              <w:bottom w:val="nil"/>
              <w:right w:val="single" w:sz="4" w:space="0" w:color="auto"/>
            </w:tcBorders>
            <w:shd w:val="clear" w:color="000000" w:fill="FFFFFF"/>
            <w:noWrap/>
            <w:vAlign w:val="center"/>
            <w:hideMark/>
          </w:tcPr>
          <w:p w14:paraId="6D24ED95"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3CBB67F0"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265B7296" w14:textId="77777777" w:rsidTr="00071B92">
        <w:trPr>
          <w:trHeight w:val="300"/>
        </w:trPr>
        <w:tc>
          <w:tcPr>
            <w:tcW w:w="5956" w:type="dxa"/>
            <w:tcBorders>
              <w:top w:val="nil"/>
              <w:left w:val="nil"/>
              <w:bottom w:val="nil"/>
              <w:right w:val="nil"/>
            </w:tcBorders>
            <w:shd w:val="clear" w:color="000000" w:fill="FFFFFF"/>
            <w:noWrap/>
            <w:vAlign w:val="center"/>
            <w:hideMark/>
          </w:tcPr>
          <w:p w14:paraId="1C553D5C"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From Employer</w:t>
            </w:r>
          </w:p>
        </w:tc>
        <w:tc>
          <w:tcPr>
            <w:tcW w:w="1250" w:type="dxa"/>
            <w:tcBorders>
              <w:top w:val="nil"/>
              <w:left w:val="nil"/>
              <w:bottom w:val="nil"/>
              <w:right w:val="single" w:sz="4" w:space="0" w:color="auto"/>
            </w:tcBorders>
            <w:shd w:val="clear" w:color="000000" w:fill="FFFFFF"/>
            <w:noWrap/>
            <w:vAlign w:val="center"/>
            <w:hideMark/>
          </w:tcPr>
          <w:p w14:paraId="0D1FA1B4"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118B4179"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36A9130F" w14:textId="77777777" w:rsidTr="00071B92">
        <w:trPr>
          <w:trHeight w:val="300"/>
        </w:trPr>
        <w:tc>
          <w:tcPr>
            <w:tcW w:w="5956" w:type="dxa"/>
            <w:tcBorders>
              <w:top w:val="nil"/>
              <w:left w:val="nil"/>
              <w:bottom w:val="nil"/>
              <w:right w:val="nil"/>
            </w:tcBorders>
            <w:shd w:val="clear" w:color="000000" w:fill="FFFFFF"/>
            <w:noWrap/>
            <w:vAlign w:val="center"/>
            <w:hideMark/>
          </w:tcPr>
          <w:p w14:paraId="1D479DBD" w14:textId="77777777" w:rsidR="00DC4315" w:rsidRPr="00DA4B61" w:rsidRDefault="00DC4315" w:rsidP="00071B92">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Normal</w:t>
            </w:r>
          </w:p>
        </w:tc>
        <w:tc>
          <w:tcPr>
            <w:tcW w:w="1250" w:type="dxa"/>
            <w:tcBorders>
              <w:top w:val="nil"/>
              <w:left w:val="nil"/>
              <w:bottom w:val="nil"/>
              <w:right w:val="single" w:sz="4" w:space="0" w:color="auto"/>
            </w:tcBorders>
            <w:shd w:val="clear" w:color="000000" w:fill="FFFFFF"/>
            <w:noWrap/>
            <w:vAlign w:val="center"/>
            <w:hideMark/>
          </w:tcPr>
          <w:p w14:paraId="5F7B2CCE"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(15,536)</w:t>
            </w:r>
          </w:p>
        </w:tc>
        <w:tc>
          <w:tcPr>
            <w:tcW w:w="1250" w:type="dxa"/>
            <w:tcBorders>
              <w:top w:val="nil"/>
              <w:left w:val="single" w:sz="4" w:space="0" w:color="auto"/>
              <w:bottom w:val="nil"/>
              <w:right w:val="nil"/>
            </w:tcBorders>
            <w:shd w:val="clear" w:color="000000" w:fill="CCECFF"/>
            <w:vAlign w:val="center"/>
            <w:hideMark/>
          </w:tcPr>
          <w:p w14:paraId="1372D02D"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(17,121)</w:t>
            </w:r>
          </w:p>
        </w:tc>
      </w:tr>
      <w:tr w:rsidR="00DC4315" w:rsidRPr="00DA4B61" w14:paraId="206C2FD5" w14:textId="77777777" w:rsidTr="00071B92">
        <w:trPr>
          <w:trHeight w:val="300"/>
        </w:trPr>
        <w:tc>
          <w:tcPr>
            <w:tcW w:w="5956" w:type="dxa"/>
            <w:tcBorders>
              <w:top w:val="nil"/>
              <w:left w:val="nil"/>
              <w:bottom w:val="nil"/>
              <w:right w:val="nil"/>
            </w:tcBorders>
            <w:shd w:val="clear" w:color="000000" w:fill="FFFFFF"/>
            <w:noWrap/>
            <w:vAlign w:val="center"/>
            <w:hideMark/>
          </w:tcPr>
          <w:p w14:paraId="0F4CEF95" w14:textId="77777777" w:rsidR="00DC4315" w:rsidRPr="00DA4B61" w:rsidRDefault="00DC4315" w:rsidP="00071B92">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Early Retirements</w:t>
            </w:r>
          </w:p>
        </w:tc>
        <w:tc>
          <w:tcPr>
            <w:tcW w:w="1250" w:type="dxa"/>
            <w:tcBorders>
              <w:top w:val="nil"/>
              <w:left w:val="nil"/>
              <w:bottom w:val="nil"/>
              <w:right w:val="single" w:sz="4" w:space="0" w:color="auto"/>
            </w:tcBorders>
            <w:shd w:val="clear" w:color="000000" w:fill="FFFFFF"/>
            <w:noWrap/>
            <w:vAlign w:val="center"/>
            <w:hideMark/>
          </w:tcPr>
          <w:p w14:paraId="158FE566" w14:textId="77777777" w:rsidR="00DC4315" w:rsidRPr="00DA4B61" w:rsidRDefault="00DC4315" w:rsidP="00071B92">
            <w:pPr>
              <w:spacing w:line="240" w:lineRule="auto"/>
              <w:jc w:val="right"/>
              <w:rPr>
                <w:rFonts w:eastAsia="Times New Roman" w:cs="Calibri"/>
                <w:color w:val="000000"/>
                <w:szCs w:val="20"/>
                <w:lang w:eastAsia="en-GB"/>
              </w:rPr>
            </w:pPr>
            <w:r>
              <w:rPr>
                <w:rFonts w:eastAsia="Times New Roman" w:cs="Calibri"/>
                <w:color w:val="000000"/>
                <w:szCs w:val="20"/>
                <w:lang w:eastAsia="en-GB"/>
              </w:rPr>
              <w:t>-</w:t>
            </w: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4C602B5B" w14:textId="77777777" w:rsidR="00DC4315" w:rsidRPr="00DA4B61" w:rsidRDefault="00DC4315" w:rsidP="00071B92">
            <w:pPr>
              <w:spacing w:line="240" w:lineRule="auto"/>
              <w:jc w:val="right"/>
              <w:rPr>
                <w:rFonts w:eastAsia="Times New Roman" w:cs="Calibri"/>
                <w:color w:val="auto"/>
                <w:szCs w:val="20"/>
                <w:lang w:eastAsia="en-GB"/>
              </w:rPr>
            </w:pPr>
            <w:r>
              <w:rPr>
                <w:rFonts w:eastAsia="Times New Roman" w:cs="Calibri"/>
                <w:color w:val="auto"/>
                <w:szCs w:val="20"/>
                <w:lang w:eastAsia="en-GB"/>
              </w:rPr>
              <w:t>-</w:t>
            </w:r>
            <w:r w:rsidRPr="00DA4B61">
              <w:rPr>
                <w:rFonts w:eastAsia="Times New Roman" w:cs="Calibri"/>
                <w:color w:val="auto"/>
                <w:szCs w:val="20"/>
                <w:lang w:eastAsia="en-GB"/>
              </w:rPr>
              <w:t> </w:t>
            </w:r>
          </w:p>
        </w:tc>
      </w:tr>
      <w:tr w:rsidR="00DC4315" w:rsidRPr="00DA4B61" w14:paraId="7AB34791" w14:textId="77777777" w:rsidTr="00071B92">
        <w:trPr>
          <w:trHeight w:val="300"/>
        </w:trPr>
        <w:tc>
          <w:tcPr>
            <w:tcW w:w="5956" w:type="dxa"/>
            <w:tcBorders>
              <w:top w:val="nil"/>
              <w:left w:val="nil"/>
              <w:bottom w:val="nil"/>
              <w:right w:val="nil"/>
            </w:tcBorders>
            <w:shd w:val="clear" w:color="000000" w:fill="FFFFFF"/>
            <w:noWrap/>
            <w:vAlign w:val="center"/>
            <w:hideMark/>
          </w:tcPr>
          <w:p w14:paraId="7173B5D3" w14:textId="77777777" w:rsidR="00DC4315" w:rsidRPr="00DA4B61" w:rsidRDefault="00DC4315" w:rsidP="00071B92">
            <w:pPr>
              <w:spacing w:line="240" w:lineRule="auto"/>
              <w:ind w:firstLineChars="300" w:firstLine="600"/>
              <w:jc w:val="left"/>
              <w:rPr>
                <w:rFonts w:eastAsia="Times New Roman" w:cs="Calibri"/>
                <w:color w:val="000000"/>
                <w:szCs w:val="20"/>
                <w:lang w:eastAsia="en-GB"/>
              </w:rPr>
            </w:pPr>
            <w:r w:rsidRPr="00DA4B61">
              <w:rPr>
                <w:rFonts w:eastAsia="Times New Roman" w:cs="Calibri"/>
                <w:color w:val="000000"/>
                <w:szCs w:val="20"/>
                <w:lang w:eastAsia="en-GB"/>
              </w:rPr>
              <w:t>Ill Health</w:t>
            </w:r>
          </w:p>
        </w:tc>
        <w:tc>
          <w:tcPr>
            <w:tcW w:w="1250" w:type="dxa"/>
            <w:tcBorders>
              <w:top w:val="nil"/>
              <w:left w:val="nil"/>
              <w:bottom w:val="nil"/>
              <w:right w:val="single" w:sz="4" w:space="0" w:color="auto"/>
            </w:tcBorders>
            <w:shd w:val="clear" w:color="000000" w:fill="FFFFFF"/>
            <w:noWrap/>
            <w:vAlign w:val="center"/>
            <w:hideMark/>
          </w:tcPr>
          <w:p w14:paraId="7F13495F" w14:textId="77777777" w:rsidR="00DC4315" w:rsidRPr="00DA4B61" w:rsidRDefault="00DC4315" w:rsidP="00071B92">
            <w:pPr>
              <w:spacing w:line="240" w:lineRule="auto"/>
              <w:jc w:val="right"/>
              <w:rPr>
                <w:rFonts w:eastAsia="Times New Roman" w:cs="Calibri"/>
                <w:color w:val="000000"/>
                <w:szCs w:val="20"/>
                <w:lang w:eastAsia="en-GB"/>
              </w:rPr>
            </w:pPr>
            <w:r>
              <w:rPr>
                <w:rFonts w:eastAsia="Times New Roman" w:cs="Calibri"/>
                <w:color w:val="000000"/>
                <w:szCs w:val="20"/>
                <w:lang w:eastAsia="en-GB"/>
              </w:rPr>
              <w:t>-</w:t>
            </w: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21F2CD1B" w14:textId="77777777" w:rsidR="00DC4315" w:rsidRPr="00DA4B61" w:rsidRDefault="00DC4315" w:rsidP="00071B92">
            <w:pPr>
              <w:spacing w:line="240" w:lineRule="auto"/>
              <w:jc w:val="right"/>
              <w:rPr>
                <w:rFonts w:eastAsia="Times New Roman" w:cs="Calibri"/>
                <w:color w:val="auto"/>
                <w:szCs w:val="20"/>
                <w:lang w:eastAsia="en-GB"/>
              </w:rPr>
            </w:pPr>
            <w:r>
              <w:rPr>
                <w:rFonts w:eastAsia="Times New Roman" w:cs="Calibri"/>
                <w:color w:val="auto"/>
                <w:szCs w:val="20"/>
                <w:lang w:eastAsia="en-GB"/>
              </w:rPr>
              <w:t>-</w:t>
            </w:r>
            <w:r w:rsidRPr="00DA4B61">
              <w:rPr>
                <w:rFonts w:eastAsia="Times New Roman" w:cs="Calibri"/>
                <w:color w:val="auto"/>
                <w:szCs w:val="20"/>
                <w:lang w:eastAsia="en-GB"/>
              </w:rPr>
              <w:t> </w:t>
            </w:r>
          </w:p>
        </w:tc>
      </w:tr>
      <w:tr w:rsidR="00DC4315" w:rsidRPr="00DA4B61" w14:paraId="12A3145B" w14:textId="77777777" w:rsidTr="00071B92">
        <w:trPr>
          <w:trHeight w:val="300"/>
        </w:trPr>
        <w:tc>
          <w:tcPr>
            <w:tcW w:w="5956" w:type="dxa"/>
            <w:tcBorders>
              <w:top w:val="nil"/>
              <w:left w:val="nil"/>
              <w:bottom w:val="nil"/>
              <w:right w:val="nil"/>
            </w:tcBorders>
            <w:shd w:val="clear" w:color="000000" w:fill="FFFFFF"/>
            <w:noWrap/>
            <w:vAlign w:val="center"/>
            <w:hideMark/>
          </w:tcPr>
          <w:p w14:paraId="4ACD7FCF"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From Members</w:t>
            </w:r>
          </w:p>
        </w:tc>
        <w:tc>
          <w:tcPr>
            <w:tcW w:w="1250" w:type="dxa"/>
            <w:tcBorders>
              <w:top w:val="nil"/>
              <w:left w:val="nil"/>
              <w:bottom w:val="nil"/>
              <w:right w:val="single" w:sz="4" w:space="0" w:color="auto"/>
            </w:tcBorders>
            <w:shd w:val="clear" w:color="000000" w:fill="FFFFFF"/>
            <w:noWrap/>
            <w:vAlign w:val="center"/>
            <w:hideMark/>
          </w:tcPr>
          <w:p w14:paraId="48AD0509"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(6,653)</w:t>
            </w:r>
          </w:p>
        </w:tc>
        <w:tc>
          <w:tcPr>
            <w:tcW w:w="1250" w:type="dxa"/>
            <w:tcBorders>
              <w:top w:val="nil"/>
              <w:left w:val="single" w:sz="4" w:space="0" w:color="auto"/>
              <w:bottom w:val="nil"/>
              <w:right w:val="nil"/>
            </w:tcBorders>
            <w:shd w:val="clear" w:color="000000" w:fill="CCECFF"/>
            <w:vAlign w:val="center"/>
            <w:hideMark/>
          </w:tcPr>
          <w:p w14:paraId="30A70622"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(7,379)</w:t>
            </w:r>
          </w:p>
        </w:tc>
      </w:tr>
      <w:tr w:rsidR="00DC4315" w:rsidRPr="00E348F6" w14:paraId="18D06167" w14:textId="77777777" w:rsidTr="00071B92">
        <w:trPr>
          <w:trHeight w:val="60"/>
        </w:trPr>
        <w:tc>
          <w:tcPr>
            <w:tcW w:w="5956" w:type="dxa"/>
            <w:tcBorders>
              <w:top w:val="nil"/>
              <w:left w:val="nil"/>
              <w:bottom w:val="nil"/>
              <w:right w:val="nil"/>
            </w:tcBorders>
            <w:shd w:val="clear" w:color="000000" w:fill="FFFFFF"/>
            <w:noWrap/>
            <w:vAlign w:val="center"/>
            <w:hideMark/>
          </w:tcPr>
          <w:p w14:paraId="15509DE9" w14:textId="77777777" w:rsidR="00DC4315" w:rsidRPr="00E348F6" w:rsidRDefault="00DC4315" w:rsidP="00071B92">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auto" w:fill="auto"/>
            <w:noWrap/>
            <w:vAlign w:val="center"/>
            <w:hideMark/>
          </w:tcPr>
          <w:p w14:paraId="50C6A59F" w14:textId="77777777" w:rsidR="00DC4315" w:rsidRPr="00E348F6" w:rsidRDefault="00DC4315" w:rsidP="00071B92">
            <w:pPr>
              <w:spacing w:line="240" w:lineRule="auto"/>
              <w:jc w:val="right"/>
              <w:rPr>
                <w:rFonts w:eastAsia="Times New Roman" w:cs="Calibri"/>
                <w:color w:val="000000"/>
                <w:sz w:val="4"/>
                <w:szCs w:val="4"/>
                <w:lang w:eastAsia="en-GB"/>
              </w:rPr>
            </w:pPr>
          </w:p>
        </w:tc>
        <w:tc>
          <w:tcPr>
            <w:tcW w:w="1250" w:type="dxa"/>
            <w:tcBorders>
              <w:top w:val="nil"/>
              <w:left w:val="single" w:sz="4" w:space="0" w:color="auto"/>
              <w:bottom w:val="nil"/>
              <w:right w:val="nil"/>
            </w:tcBorders>
            <w:shd w:val="clear" w:color="000000" w:fill="CCECFF"/>
            <w:vAlign w:val="center"/>
            <w:hideMark/>
          </w:tcPr>
          <w:p w14:paraId="6FCCA484" w14:textId="77777777" w:rsidR="00DC4315" w:rsidRPr="00E348F6" w:rsidRDefault="00DC4315" w:rsidP="00071B92">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C4315" w:rsidRPr="00DA4B61" w14:paraId="63CAD762" w14:textId="77777777" w:rsidTr="00071B92">
        <w:trPr>
          <w:trHeight w:val="300"/>
        </w:trPr>
        <w:tc>
          <w:tcPr>
            <w:tcW w:w="5956" w:type="dxa"/>
            <w:tcBorders>
              <w:top w:val="nil"/>
              <w:left w:val="nil"/>
              <w:bottom w:val="nil"/>
              <w:right w:val="nil"/>
            </w:tcBorders>
            <w:shd w:val="clear" w:color="000000" w:fill="FFFFFF"/>
            <w:noWrap/>
            <w:vAlign w:val="center"/>
            <w:hideMark/>
          </w:tcPr>
          <w:p w14:paraId="0D35733B" w14:textId="77777777" w:rsidR="00DC4315" w:rsidRPr="00DA4B61" w:rsidRDefault="00DC4315" w:rsidP="00071B92">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Transfers In</w:t>
            </w:r>
          </w:p>
        </w:tc>
        <w:tc>
          <w:tcPr>
            <w:tcW w:w="1250" w:type="dxa"/>
            <w:tcBorders>
              <w:top w:val="nil"/>
              <w:left w:val="nil"/>
              <w:bottom w:val="nil"/>
              <w:right w:val="single" w:sz="4" w:space="0" w:color="auto"/>
            </w:tcBorders>
            <w:shd w:val="clear" w:color="000000" w:fill="FFFFFF"/>
            <w:noWrap/>
            <w:vAlign w:val="center"/>
            <w:hideMark/>
          </w:tcPr>
          <w:p w14:paraId="5692447F"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445AA077"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2D34FC5A" w14:textId="77777777" w:rsidTr="00071B92">
        <w:trPr>
          <w:trHeight w:val="300"/>
        </w:trPr>
        <w:tc>
          <w:tcPr>
            <w:tcW w:w="5956" w:type="dxa"/>
            <w:tcBorders>
              <w:top w:val="nil"/>
              <w:left w:val="nil"/>
              <w:bottom w:val="nil"/>
              <w:right w:val="nil"/>
            </w:tcBorders>
            <w:shd w:val="clear" w:color="000000" w:fill="FFFFFF"/>
            <w:noWrap/>
            <w:vAlign w:val="center"/>
            <w:hideMark/>
          </w:tcPr>
          <w:p w14:paraId="77B5C8DA"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Individual Transfers in from other schemes</w:t>
            </w:r>
          </w:p>
        </w:tc>
        <w:tc>
          <w:tcPr>
            <w:tcW w:w="1250" w:type="dxa"/>
            <w:tcBorders>
              <w:top w:val="nil"/>
              <w:left w:val="nil"/>
              <w:bottom w:val="nil"/>
              <w:right w:val="single" w:sz="4" w:space="0" w:color="auto"/>
            </w:tcBorders>
            <w:shd w:val="clear" w:color="000000" w:fill="FFFFFF"/>
            <w:noWrap/>
            <w:vAlign w:val="center"/>
            <w:hideMark/>
          </w:tcPr>
          <w:p w14:paraId="13E755E0"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(170)</w:t>
            </w:r>
          </w:p>
        </w:tc>
        <w:tc>
          <w:tcPr>
            <w:tcW w:w="1250" w:type="dxa"/>
            <w:tcBorders>
              <w:top w:val="nil"/>
              <w:left w:val="single" w:sz="4" w:space="0" w:color="auto"/>
              <w:bottom w:val="nil"/>
              <w:right w:val="nil"/>
            </w:tcBorders>
            <w:shd w:val="clear" w:color="000000" w:fill="CCECFF"/>
            <w:vAlign w:val="center"/>
            <w:hideMark/>
          </w:tcPr>
          <w:p w14:paraId="2CD61D76"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(38)</w:t>
            </w:r>
          </w:p>
        </w:tc>
      </w:tr>
      <w:tr w:rsidR="00DC4315" w:rsidRPr="00E348F6" w14:paraId="0AD7D262" w14:textId="77777777" w:rsidTr="00071B92">
        <w:trPr>
          <w:trHeight w:val="60"/>
        </w:trPr>
        <w:tc>
          <w:tcPr>
            <w:tcW w:w="5956" w:type="dxa"/>
            <w:tcBorders>
              <w:top w:val="nil"/>
              <w:left w:val="nil"/>
              <w:bottom w:val="nil"/>
              <w:right w:val="nil"/>
            </w:tcBorders>
            <w:shd w:val="clear" w:color="000000" w:fill="FFFFFF"/>
            <w:noWrap/>
            <w:vAlign w:val="center"/>
            <w:hideMark/>
          </w:tcPr>
          <w:p w14:paraId="64C1E348" w14:textId="77777777" w:rsidR="00DC4315" w:rsidRPr="00E348F6" w:rsidRDefault="00DC4315" w:rsidP="00071B92">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000000" w:fill="FFFFFF"/>
            <w:noWrap/>
            <w:vAlign w:val="center"/>
            <w:hideMark/>
          </w:tcPr>
          <w:p w14:paraId="7D393225" w14:textId="77777777" w:rsidR="00DC4315" w:rsidRPr="00E348F6" w:rsidRDefault="00DC4315" w:rsidP="00071B92">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nil"/>
              <w:right w:val="nil"/>
            </w:tcBorders>
            <w:shd w:val="clear" w:color="000000" w:fill="CCECFF"/>
            <w:vAlign w:val="center"/>
            <w:hideMark/>
          </w:tcPr>
          <w:p w14:paraId="1645B25A" w14:textId="77777777" w:rsidR="00DC4315" w:rsidRPr="00E348F6" w:rsidRDefault="00DC4315" w:rsidP="00071B92">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C4315" w:rsidRPr="00DA4B61" w14:paraId="1D7DA23F" w14:textId="77777777" w:rsidTr="00071B92">
        <w:trPr>
          <w:trHeight w:val="300"/>
        </w:trPr>
        <w:tc>
          <w:tcPr>
            <w:tcW w:w="5956" w:type="dxa"/>
            <w:tcBorders>
              <w:top w:val="nil"/>
              <w:left w:val="nil"/>
              <w:bottom w:val="nil"/>
              <w:right w:val="nil"/>
            </w:tcBorders>
            <w:shd w:val="clear" w:color="000000" w:fill="FFFFFF"/>
            <w:noWrap/>
            <w:vAlign w:val="center"/>
            <w:hideMark/>
          </w:tcPr>
          <w:p w14:paraId="14AEA91C" w14:textId="77777777" w:rsidR="00DC4315" w:rsidRPr="00DA4B61" w:rsidRDefault="00DC4315" w:rsidP="00071B92">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Benefits Payable</w:t>
            </w:r>
          </w:p>
        </w:tc>
        <w:tc>
          <w:tcPr>
            <w:tcW w:w="1250" w:type="dxa"/>
            <w:tcBorders>
              <w:top w:val="nil"/>
              <w:left w:val="nil"/>
              <w:bottom w:val="nil"/>
              <w:right w:val="single" w:sz="4" w:space="0" w:color="auto"/>
            </w:tcBorders>
            <w:shd w:val="clear" w:color="000000" w:fill="FFFFFF"/>
            <w:noWrap/>
            <w:vAlign w:val="center"/>
            <w:hideMark/>
          </w:tcPr>
          <w:p w14:paraId="0B9A50CC"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3A1A495F"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27719EFF" w14:textId="77777777" w:rsidTr="00071B92">
        <w:trPr>
          <w:trHeight w:val="300"/>
        </w:trPr>
        <w:tc>
          <w:tcPr>
            <w:tcW w:w="5956" w:type="dxa"/>
            <w:tcBorders>
              <w:top w:val="nil"/>
              <w:left w:val="nil"/>
              <w:bottom w:val="nil"/>
              <w:right w:val="nil"/>
            </w:tcBorders>
            <w:shd w:val="clear" w:color="000000" w:fill="FFFFFF"/>
            <w:noWrap/>
            <w:vAlign w:val="center"/>
            <w:hideMark/>
          </w:tcPr>
          <w:p w14:paraId="77C61177"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Pensions including ill health</w:t>
            </w:r>
          </w:p>
        </w:tc>
        <w:tc>
          <w:tcPr>
            <w:tcW w:w="1250" w:type="dxa"/>
            <w:tcBorders>
              <w:top w:val="nil"/>
              <w:left w:val="nil"/>
              <w:bottom w:val="nil"/>
              <w:right w:val="single" w:sz="4" w:space="0" w:color="auto"/>
            </w:tcBorders>
            <w:shd w:val="clear" w:color="000000" w:fill="FFFFFF"/>
            <w:noWrap/>
            <w:vAlign w:val="center"/>
            <w:hideMark/>
          </w:tcPr>
          <w:p w14:paraId="0499067C"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31,703</w:t>
            </w:r>
          </w:p>
        </w:tc>
        <w:tc>
          <w:tcPr>
            <w:tcW w:w="1250" w:type="dxa"/>
            <w:tcBorders>
              <w:top w:val="nil"/>
              <w:left w:val="single" w:sz="4" w:space="0" w:color="auto"/>
              <w:bottom w:val="nil"/>
              <w:right w:val="nil"/>
            </w:tcBorders>
            <w:shd w:val="clear" w:color="000000" w:fill="CCECFF"/>
            <w:vAlign w:val="center"/>
            <w:hideMark/>
          </w:tcPr>
          <w:p w14:paraId="7D9A6715"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34,971</w:t>
            </w:r>
          </w:p>
        </w:tc>
      </w:tr>
      <w:tr w:rsidR="00DC4315" w:rsidRPr="00DA4B61" w14:paraId="67304055" w14:textId="77777777" w:rsidTr="00071B92">
        <w:trPr>
          <w:trHeight w:val="300"/>
        </w:trPr>
        <w:tc>
          <w:tcPr>
            <w:tcW w:w="5956" w:type="dxa"/>
            <w:tcBorders>
              <w:top w:val="nil"/>
              <w:left w:val="nil"/>
              <w:bottom w:val="nil"/>
              <w:right w:val="nil"/>
            </w:tcBorders>
            <w:shd w:val="clear" w:color="000000" w:fill="FFFFFF"/>
            <w:noWrap/>
            <w:vAlign w:val="center"/>
            <w:hideMark/>
          </w:tcPr>
          <w:p w14:paraId="4CED549C"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Commutations and lump sums retirement benefits</w:t>
            </w:r>
          </w:p>
        </w:tc>
        <w:tc>
          <w:tcPr>
            <w:tcW w:w="1250" w:type="dxa"/>
            <w:tcBorders>
              <w:top w:val="nil"/>
              <w:left w:val="nil"/>
              <w:bottom w:val="nil"/>
              <w:right w:val="single" w:sz="4" w:space="0" w:color="auto"/>
            </w:tcBorders>
            <w:shd w:val="clear" w:color="000000" w:fill="FFFFFF"/>
            <w:noWrap/>
            <w:vAlign w:val="center"/>
            <w:hideMark/>
          </w:tcPr>
          <w:p w14:paraId="47D3B273"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6,033</w:t>
            </w:r>
          </w:p>
        </w:tc>
        <w:tc>
          <w:tcPr>
            <w:tcW w:w="1250" w:type="dxa"/>
            <w:tcBorders>
              <w:top w:val="nil"/>
              <w:left w:val="single" w:sz="4" w:space="0" w:color="auto"/>
              <w:bottom w:val="nil"/>
              <w:right w:val="nil"/>
            </w:tcBorders>
            <w:shd w:val="clear" w:color="000000" w:fill="CCECFF"/>
            <w:vAlign w:val="center"/>
            <w:hideMark/>
          </w:tcPr>
          <w:p w14:paraId="1F71AE16"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5,198</w:t>
            </w:r>
          </w:p>
        </w:tc>
      </w:tr>
      <w:tr w:rsidR="00DC4315" w:rsidRPr="00DA4B61" w14:paraId="304D3A2C" w14:textId="77777777" w:rsidTr="00071B92">
        <w:trPr>
          <w:trHeight w:val="300"/>
        </w:trPr>
        <w:tc>
          <w:tcPr>
            <w:tcW w:w="5956" w:type="dxa"/>
            <w:tcBorders>
              <w:top w:val="nil"/>
              <w:left w:val="nil"/>
              <w:bottom w:val="nil"/>
              <w:right w:val="nil"/>
            </w:tcBorders>
            <w:shd w:val="clear" w:color="000000" w:fill="FFFFFF"/>
            <w:noWrap/>
            <w:vAlign w:val="center"/>
            <w:hideMark/>
          </w:tcPr>
          <w:p w14:paraId="4120DB83"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Other</w:t>
            </w:r>
          </w:p>
        </w:tc>
        <w:tc>
          <w:tcPr>
            <w:tcW w:w="1250" w:type="dxa"/>
            <w:tcBorders>
              <w:top w:val="nil"/>
              <w:left w:val="nil"/>
              <w:bottom w:val="nil"/>
              <w:right w:val="single" w:sz="4" w:space="0" w:color="auto"/>
            </w:tcBorders>
            <w:shd w:val="clear" w:color="000000" w:fill="FFFFFF"/>
            <w:noWrap/>
            <w:vAlign w:val="center"/>
            <w:hideMark/>
          </w:tcPr>
          <w:p w14:paraId="24921A3E"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264</w:t>
            </w:r>
          </w:p>
        </w:tc>
        <w:tc>
          <w:tcPr>
            <w:tcW w:w="1250" w:type="dxa"/>
            <w:tcBorders>
              <w:top w:val="nil"/>
              <w:left w:val="single" w:sz="4" w:space="0" w:color="auto"/>
              <w:bottom w:val="nil"/>
              <w:right w:val="nil"/>
            </w:tcBorders>
            <w:shd w:val="clear" w:color="000000" w:fill="CCECFF"/>
            <w:vAlign w:val="center"/>
            <w:hideMark/>
          </w:tcPr>
          <w:p w14:paraId="14057459"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342</w:t>
            </w:r>
          </w:p>
        </w:tc>
      </w:tr>
      <w:tr w:rsidR="00DC4315" w:rsidRPr="00E348F6" w14:paraId="6BCFCD93" w14:textId="77777777" w:rsidTr="00071B92">
        <w:trPr>
          <w:trHeight w:val="60"/>
        </w:trPr>
        <w:tc>
          <w:tcPr>
            <w:tcW w:w="5956" w:type="dxa"/>
            <w:tcBorders>
              <w:top w:val="nil"/>
              <w:left w:val="nil"/>
              <w:bottom w:val="nil"/>
              <w:right w:val="nil"/>
            </w:tcBorders>
            <w:shd w:val="clear" w:color="000000" w:fill="FFFFFF"/>
            <w:noWrap/>
            <w:vAlign w:val="center"/>
            <w:hideMark/>
          </w:tcPr>
          <w:p w14:paraId="1DBD7A89" w14:textId="77777777" w:rsidR="00DC4315" w:rsidRPr="00E348F6" w:rsidRDefault="00DC4315" w:rsidP="00071B92">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nil"/>
              <w:right w:val="single" w:sz="4" w:space="0" w:color="auto"/>
            </w:tcBorders>
            <w:shd w:val="clear" w:color="000000" w:fill="FFFFFF"/>
            <w:noWrap/>
            <w:vAlign w:val="center"/>
            <w:hideMark/>
          </w:tcPr>
          <w:p w14:paraId="0912975D" w14:textId="77777777" w:rsidR="00DC4315" w:rsidRPr="00E348F6" w:rsidRDefault="00DC4315" w:rsidP="00071B92">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nil"/>
              <w:right w:val="nil"/>
            </w:tcBorders>
            <w:shd w:val="clear" w:color="000000" w:fill="CCECFF"/>
            <w:vAlign w:val="center"/>
            <w:hideMark/>
          </w:tcPr>
          <w:p w14:paraId="29458A1A" w14:textId="77777777" w:rsidR="00DC4315" w:rsidRPr="00E348F6" w:rsidRDefault="00DC4315" w:rsidP="00071B92">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C4315" w:rsidRPr="00DA4B61" w14:paraId="0D58C225" w14:textId="77777777" w:rsidTr="00071B92">
        <w:trPr>
          <w:trHeight w:val="300"/>
        </w:trPr>
        <w:tc>
          <w:tcPr>
            <w:tcW w:w="5956" w:type="dxa"/>
            <w:tcBorders>
              <w:top w:val="nil"/>
              <w:left w:val="nil"/>
              <w:bottom w:val="nil"/>
              <w:right w:val="nil"/>
            </w:tcBorders>
            <w:shd w:val="clear" w:color="000000" w:fill="FFFFFF"/>
            <w:noWrap/>
            <w:vAlign w:val="center"/>
            <w:hideMark/>
          </w:tcPr>
          <w:p w14:paraId="1E0E8135" w14:textId="77777777" w:rsidR="00DC4315" w:rsidRPr="00DA4B61" w:rsidRDefault="00DC4315" w:rsidP="00071B92">
            <w:pPr>
              <w:spacing w:line="240" w:lineRule="auto"/>
              <w:jc w:val="left"/>
              <w:rPr>
                <w:rFonts w:eastAsia="Times New Roman" w:cs="Calibri"/>
                <w:b/>
                <w:bCs/>
                <w:color w:val="000000"/>
                <w:szCs w:val="20"/>
                <w:lang w:eastAsia="en-GB"/>
              </w:rPr>
            </w:pPr>
            <w:r w:rsidRPr="00DA4B61">
              <w:rPr>
                <w:rFonts w:eastAsia="Times New Roman" w:cs="Calibri"/>
                <w:b/>
                <w:bCs/>
                <w:color w:val="000000"/>
                <w:szCs w:val="20"/>
                <w:lang w:eastAsia="en-GB"/>
              </w:rPr>
              <w:t>Payments to and on account of leavers</w:t>
            </w:r>
          </w:p>
        </w:tc>
        <w:tc>
          <w:tcPr>
            <w:tcW w:w="1250" w:type="dxa"/>
            <w:tcBorders>
              <w:top w:val="nil"/>
              <w:left w:val="nil"/>
              <w:bottom w:val="nil"/>
              <w:right w:val="single" w:sz="4" w:space="0" w:color="auto"/>
            </w:tcBorders>
            <w:shd w:val="clear" w:color="000000" w:fill="FFFFFF"/>
            <w:noWrap/>
            <w:vAlign w:val="center"/>
            <w:hideMark/>
          </w:tcPr>
          <w:p w14:paraId="2D7F8B06"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 </w:t>
            </w:r>
          </w:p>
        </w:tc>
        <w:tc>
          <w:tcPr>
            <w:tcW w:w="1250" w:type="dxa"/>
            <w:tcBorders>
              <w:top w:val="nil"/>
              <w:left w:val="single" w:sz="4" w:space="0" w:color="auto"/>
              <w:bottom w:val="nil"/>
              <w:right w:val="nil"/>
            </w:tcBorders>
            <w:shd w:val="clear" w:color="000000" w:fill="CCECFF"/>
            <w:vAlign w:val="center"/>
            <w:hideMark/>
          </w:tcPr>
          <w:p w14:paraId="11052492" w14:textId="77777777" w:rsidR="00DC4315" w:rsidRPr="00DA4B61" w:rsidRDefault="00DC4315" w:rsidP="00071B92">
            <w:pPr>
              <w:spacing w:line="240" w:lineRule="auto"/>
              <w:jc w:val="right"/>
              <w:rPr>
                <w:rFonts w:eastAsia="Times New Roman" w:cs="Calibri"/>
                <w:color w:val="auto"/>
                <w:szCs w:val="20"/>
                <w:lang w:eastAsia="en-GB"/>
              </w:rPr>
            </w:pPr>
            <w:r w:rsidRPr="00DA4B61">
              <w:rPr>
                <w:rFonts w:eastAsia="Times New Roman" w:cs="Calibri"/>
                <w:color w:val="auto"/>
                <w:szCs w:val="20"/>
                <w:lang w:eastAsia="en-GB"/>
              </w:rPr>
              <w:t> </w:t>
            </w:r>
          </w:p>
        </w:tc>
      </w:tr>
      <w:tr w:rsidR="00DC4315" w:rsidRPr="00DA4B61" w14:paraId="3EE2B6A9" w14:textId="77777777" w:rsidTr="00071B92">
        <w:trPr>
          <w:trHeight w:val="300"/>
        </w:trPr>
        <w:tc>
          <w:tcPr>
            <w:tcW w:w="5956" w:type="dxa"/>
            <w:tcBorders>
              <w:top w:val="nil"/>
              <w:left w:val="nil"/>
              <w:bottom w:val="nil"/>
              <w:right w:val="nil"/>
            </w:tcBorders>
            <w:shd w:val="clear" w:color="000000" w:fill="FFFFFF"/>
            <w:noWrap/>
            <w:vAlign w:val="center"/>
            <w:hideMark/>
          </w:tcPr>
          <w:p w14:paraId="211CB566" w14:textId="77777777" w:rsidR="00DC4315" w:rsidRPr="00DA4B61" w:rsidRDefault="00DC4315" w:rsidP="00071B92">
            <w:pPr>
              <w:spacing w:line="240" w:lineRule="auto"/>
              <w:jc w:val="left"/>
              <w:rPr>
                <w:rFonts w:eastAsia="Times New Roman" w:cs="Calibri"/>
                <w:color w:val="000000"/>
                <w:szCs w:val="20"/>
                <w:lang w:eastAsia="en-GB"/>
              </w:rPr>
            </w:pPr>
            <w:r w:rsidRPr="00DA4B61">
              <w:rPr>
                <w:rFonts w:eastAsia="Times New Roman" w:cs="Calibri"/>
                <w:color w:val="000000"/>
                <w:szCs w:val="20"/>
                <w:lang w:eastAsia="en-GB"/>
              </w:rPr>
              <w:t>Individual Transfer Out from other schemes</w:t>
            </w:r>
          </w:p>
        </w:tc>
        <w:tc>
          <w:tcPr>
            <w:tcW w:w="1250" w:type="dxa"/>
            <w:tcBorders>
              <w:top w:val="nil"/>
              <w:left w:val="nil"/>
              <w:bottom w:val="nil"/>
              <w:right w:val="single" w:sz="4" w:space="0" w:color="auto"/>
            </w:tcBorders>
            <w:shd w:val="clear" w:color="000000" w:fill="FFFFFF"/>
            <w:noWrap/>
            <w:vAlign w:val="center"/>
            <w:hideMark/>
          </w:tcPr>
          <w:p w14:paraId="6567C71F" w14:textId="77777777" w:rsidR="00DC4315" w:rsidRPr="00DA4B61" w:rsidRDefault="00DC4315" w:rsidP="00071B92">
            <w:pPr>
              <w:spacing w:line="240" w:lineRule="auto"/>
              <w:jc w:val="right"/>
              <w:rPr>
                <w:rFonts w:eastAsia="Times New Roman" w:cs="Calibri"/>
                <w:color w:val="000000"/>
                <w:szCs w:val="20"/>
                <w:lang w:eastAsia="en-GB"/>
              </w:rPr>
            </w:pPr>
            <w:r w:rsidRPr="00DA4B61">
              <w:rPr>
                <w:rFonts w:eastAsia="Times New Roman" w:cs="Calibri"/>
                <w:color w:val="000000"/>
                <w:szCs w:val="20"/>
                <w:lang w:eastAsia="en-GB"/>
              </w:rPr>
              <w:t>39</w:t>
            </w:r>
          </w:p>
        </w:tc>
        <w:tc>
          <w:tcPr>
            <w:tcW w:w="1250" w:type="dxa"/>
            <w:tcBorders>
              <w:top w:val="nil"/>
              <w:left w:val="single" w:sz="4" w:space="0" w:color="auto"/>
              <w:bottom w:val="nil"/>
              <w:right w:val="nil"/>
            </w:tcBorders>
            <w:shd w:val="clear" w:color="000000" w:fill="CCECFF"/>
            <w:vAlign w:val="center"/>
            <w:hideMark/>
          </w:tcPr>
          <w:p w14:paraId="594ECB86" w14:textId="77777777" w:rsidR="00DC4315" w:rsidRPr="00DA4B61" w:rsidRDefault="00DC4315" w:rsidP="00071B92">
            <w:pPr>
              <w:spacing w:line="240" w:lineRule="auto"/>
              <w:jc w:val="right"/>
              <w:rPr>
                <w:rFonts w:eastAsia="Times New Roman" w:cs="Calibri"/>
                <w:color w:val="auto"/>
                <w:szCs w:val="20"/>
                <w:lang w:eastAsia="en-GB"/>
              </w:rPr>
            </w:pPr>
            <w:r>
              <w:rPr>
                <w:rFonts w:eastAsia="Times New Roman" w:cs="Calibri"/>
                <w:color w:val="auto"/>
                <w:szCs w:val="20"/>
                <w:lang w:eastAsia="en-GB"/>
              </w:rPr>
              <w:t>-</w:t>
            </w:r>
          </w:p>
        </w:tc>
      </w:tr>
      <w:tr w:rsidR="00DC4315" w:rsidRPr="00E348F6" w14:paraId="3EFB1E4C" w14:textId="77777777" w:rsidTr="00071B92">
        <w:trPr>
          <w:trHeight w:val="60"/>
        </w:trPr>
        <w:tc>
          <w:tcPr>
            <w:tcW w:w="5956" w:type="dxa"/>
            <w:tcBorders>
              <w:top w:val="nil"/>
              <w:left w:val="nil"/>
              <w:bottom w:val="single" w:sz="4" w:space="0" w:color="auto"/>
              <w:right w:val="nil"/>
            </w:tcBorders>
            <w:shd w:val="clear" w:color="000000" w:fill="FFFFFF"/>
            <w:noWrap/>
            <w:vAlign w:val="center"/>
            <w:hideMark/>
          </w:tcPr>
          <w:p w14:paraId="1A864937" w14:textId="77777777" w:rsidR="00DC4315" w:rsidRPr="00E348F6" w:rsidRDefault="00DC4315" w:rsidP="00071B92">
            <w:pPr>
              <w:spacing w:line="240" w:lineRule="auto"/>
              <w:jc w:val="lef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nil"/>
              <w:bottom w:val="single" w:sz="4" w:space="0" w:color="auto"/>
              <w:right w:val="single" w:sz="4" w:space="0" w:color="auto"/>
            </w:tcBorders>
            <w:shd w:val="clear" w:color="000000" w:fill="FFFFFF"/>
            <w:noWrap/>
            <w:vAlign w:val="center"/>
            <w:hideMark/>
          </w:tcPr>
          <w:p w14:paraId="2CB371F6" w14:textId="77777777" w:rsidR="00DC4315" w:rsidRPr="00E348F6" w:rsidRDefault="00DC4315" w:rsidP="00071B92">
            <w:pPr>
              <w:spacing w:line="240" w:lineRule="auto"/>
              <w:jc w:val="right"/>
              <w:rPr>
                <w:rFonts w:eastAsia="Times New Roman" w:cs="Calibri"/>
                <w:color w:val="000000"/>
                <w:sz w:val="4"/>
                <w:szCs w:val="4"/>
                <w:lang w:eastAsia="en-GB"/>
              </w:rPr>
            </w:pPr>
            <w:r w:rsidRPr="00E348F6">
              <w:rPr>
                <w:rFonts w:eastAsia="Times New Roman" w:cs="Calibri"/>
                <w:color w:val="000000"/>
                <w:sz w:val="4"/>
                <w:szCs w:val="4"/>
                <w:lang w:eastAsia="en-GB"/>
              </w:rPr>
              <w:t> </w:t>
            </w:r>
          </w:p>
        </w:tc>
        <w:tc>
          <w:tcPr>
            <w:tcW w:w="1250" w:type="dxa"/>
            <w:tcBorders>
              <w:top w:val="nil"/>
              <w:left w:val="single" w:sz="4" w:space="0" w:color="auto"/>
              <w:bottom w:val="single" w:sz="4" w:space="0" w:color="auto"/>
              <w:right w:val="nil"/>
            </w:tcBorders>
            <w:shd w:val="clear" w:color="000000" w:fill="CCECFF"/>
            <w:vAlign w:val="center"/>
            <w:hideMark/>
          </w:tcPr>
          <w:p w14:paraId="7B27BFEF" w14:textId="77777777" w:rsidR="00DC4315" w:rsidRPr="00E348F6" w:rsidRDefault="00DC4315" w:rsidP="00071B92">
            <w:pPr>
              <w:spacing w:line="240" w:lineRule="auto"/>
              <w:jc w:val="right"/>
              <w:rPr>
                <w:rFonts w:eastAsia="Times New Roman" w:cs="Calibri"/>
                <w:color w:val="auto"/>
                <w:sz w:val="4"/>
                <w:szCs w:val="4"/>
                <w:lang w:eastAsia="en-GB"/>
              </w:rPr>
            </w:pPr>
            <w:r w:rsidRPr="00E348F6">
              <w:rPr>
                <w:rFonts w:eastAsia="Times New Roman" w:cs="Calibri"/>
                <w:color w:val="auto"/>
                <w:sz w:val="4"/>
                <w:szCs w:val="4"/>
                <w:lang w:eastAsia="en-GB"/>
              </w:rPr>
              <w:t> </w:t>
            </w:r>
          </w:p>
        </w:tc>
      </w:tr>
      <w:tr w:rsidR="00DC4315" w:rsidRPr="005B4D7B" w14:paraId="4AD0F09B" w14:textId="77777777" w:rsidTr="00071B92">
        <w:trPr>
          <w:trHeight w:val="300"/>
        </w:trPr>
        <w:tc>
          <w:tcPr>
            <w:tcW w:w="5956" w:type="dxa"/>
            <w:tcBorders>
              <w:top w:val="single" w:sz="4" w:space="0" w:color="auto"/>
              <w:left w:val="nil"/>
              <w:bottom w:val="single" w:sz="4" w:space="0" w:color="auto"/>
              <w:right w:val="nil"/>
            </w:tcBorders>
            <w:shd w:val="clear" w:color="000000" w:fill="FFFFFF"/>
            <w:noWrap/>
            <w:vAlign w:val="center"/>
            <w:hideMark/>
          </w:tcPr>
          <w:p w14:paraId="42C627CB" w14:textId="77777777" w:rsidR="00DC4315" w:rsidRPr="005B4D7B" w:rsidRDefault="00DC4315" w:rsidP="00071B92">
            <w:pPr>
              <w:spacing w:line="240" w:lineRule="auto"/>
              <w:jc w:val="left"/>
              <w:rPr>
                <w:rFonts w:eastAsia="Times New Roman" w:cs="Calibri"/>
                <w:b/>
                <w:bCs/>
                <w:color w:val="000000"/>
                <w:szCs w:val="20"/>
                <w:lang w:eastAsia="en-GB"/>
              </w:rPr>
            </w:pPr>
            <w:r w:rsidRPr="005B4D7B">
              <w:rPr>
                <w:rFonts w:eastAsia="Times New Roman" w:cs="Calibri"/>
                <w:b/>
                <w:bCs/>
                <w:color w:val="000000"/>
                <w:szCs w:val="20"/>
                <w:lang w:eastAsia="en-GB"/>
              </w:rPr>
              <w:t>Net amount payable for the year</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46F17CF3" w14:textId="77777777" w:rsidR="00DC4315" w:rsidRPr="005B4D7B" w:rsidRDefault="00DC4315" w:rsidP="00071B92">
            <w:pPr>
              <w:spacing w:line="240" w:lineRule="auto"/>
              <w:jc w:val="right"/>
              <w:rPr>
                <w:rFonts w:eastAsia="Times New Roman" w:cs="Calibri"/>
                <w:b/>
                <w:bCs/>
                <w:color w:val="000000"/>
                <w:szCs w:val="20"/>
                <w:lang w:eastAsia="en-GB"/>
              </w:rPr>
            </w:pPr>
            <w:r w:rsidRPr="005B4D7B">
              <w:rPr>
                <w:rFonts w:eastAsia="Times New Roman" w:cs="Calibri"/>
                <w:b/>
                <w:bCs/>
                <w:color w:val="000000"/>
                <w:szCs w:val="20"/>
                <w:lang w:eastAsia="en-GB"/>
              </w:rPr>
              <w:t>15,680</w:t>
            </w:r>
          </w:p>
        </w:tc>
        <w:tc>
          <w:tcPr>
            <w:tcW w:w="1250" w:type="dxa"/>
            <w:tcBorders>
              <w:top w:val="single" w:sz="4" w:space="0" w:color="auto"/>
              <w:left w:val="single" w:sz="4" w:space="0" w:color="auto"/>
              <w:bottom w:val="single" w:sz="4" w:space="0" w:color="auto"/>
              <w:right w:val="nil"/>
            </w:tcBorders>
            <w:shd w:val="clear" w:color="000000" w:fill="CCECFF"/>
            <w:vAlign w:val="center"/>
            <w:hideMark/>
          </w:tcPr>
          <w:p w14:paraId="395346D3" w14:textId="77777777" w:rsidR="00DC4315" w:rsidRPr="005B4D7B" w:rsidRDefault="00DC4315" w:rsidP="00071B92">
            <w:pPr>
              <w:spacing w:line="240" w:lineRule="auto"/>
              <w:jc w:val="right"/>
              <w:rPr>
                <w:rFonts w:eastAsia="Times New Roman" w:cs="Calibri"/>
                <w:b/>
                <w:bCs/>
                <w:color w:val="auto"/>
                <w:szCs w:val="20"/>
                <w:lang w:eastAsia="en-GB"/>
              </w:rPr>
            </w:pPr>
            <w:r w:rsidRPr="005B4D7B">
              <w:rPr>
                <w:rFonts w:eastAsia="Times New Roman" w:cs="Calibri"/>
                <w:b/>
                <w:bCs/>
                <w:color w:val="auto"/>
                <w:szCs w:val="20"/>
                <w:lang w:eastAsia="en-GB"/>
              </w:rPr>
              <w:t>15,973</w:t>
            </w:r>
          </w:p>
        </w:tc>
      </w:tr>
      <w:tr w:rsidR="00DC4315" w:rsidRPr="005B4D7B" w14:paraId="1F2EC062" w14:textId="77777777" w:rsidTr="00071B92">
        <w:trPr>
          <w:trHeight w:val="300"/>
        </w:trPr>
        <w:tc>
          <w:tcPr>
            <w:tcW w:w="5956" w:type="dxa"/>
            <w:tcBorders>
              <w:top w:val="single" w:sz="4" w:space="0" w:color="auto"/>
              <w:left w:val="nil"/>
              <w:bottom w:val="single" w:sz="4" w:space="0" w:color="auto"/>
              <w:right w:val="nil"/>
            </w:tcBorders>
            <w:shd w:val="clear" w:color="000000" w:fill="FFFFFF"/>
            <w:noWrap/>
            <w:vAlign w:val="center"/>
            <w:hideMark/>
          </w:tcPr>
          <w:p w14:paraId="4CAB4FFC" w14:textId="77777777" w:rsidR="00DC4315" w:rsidRPr="005B4D7B" w:rsidRDefault="00DC4315" w:rsidP="00071B92">
            <w:pPr>
              <w:spacing w:line="240" w:lineRule="auto"/>
              <w:jc w:val="left"/>
              <w:rPr>
                <w:rFonts w:eastAsia="Times New Roman" w:cs="Calibri"/>
                <w:b/>
                <w:bCs/>
                <w:color w:val="000000"/>
                <w:szCs w:val="20"/>
                <w:lang w:eastAsia="en-GB"/>
              </w:rPr>
            </w:pPr>
            <w:r w:rsidRPr="005B4D7B">
              <w:rPr>
                <w:rFonts w:eastAsia="Times New Roman" w:cs="Calibri"/>
                <w:b/>
                <w:bCs/>
                <w:color w:val="000000"/>
                <w:szCs w:val="20"/>
                <w:lang w:eastAsia="en-GB"/>
              </w:rPr>
              <w:t>Top up grant receivable from Central Government</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6328630B" w14:textId="77777777" w:rsidR="00DC4315" w:rsidRPr="005B4D7B" w:rsidRDefault="00DC4315" w:rsidP="00071B92">
            <w:pPr>
              <w:spacing w:line="240" w:lineRule="auto"/>
              <w:jc w:val="right"/>
              <w:rPr>
                <w:rFonts w:eastAsia="Times New Roman" w:cs="Calibri"/>
                <w:b/>
                <w:bCs/>
                <w:color w:val="000000"/>
                <w:szCs w:val="20"/>
                <w:lang w:eastAsia="en-GB"/>
              </w:rPr>
            </w:pPr>
            <w:r w:rsidRPr="005B4D7B">
              <w:rPr>
                <w:rFonts w:eastAsia="Times New Roman" w:cs="Calibri"/>
                <w:b/>
                <w:bCs/>
                <w:color w:val="000000"/>
                <w:szCs w:val="20"/>
                <w:lang w:eastAsia="en-GB"/>
              </w:rPr>
              <w:t>(15,680)</w:t>
            </w:r>
          </w:p>
        </w:tc>
        <w:tc>
          <w:tcPr>
            <w:tcW w:w="1250" w:type="dxa"/>
            <w:tcBorders>
              <w:top w:val="single" w:sz="4" w:space="0" w:color="auto"/>
              <w:left w:val="single" w:sz="4" w:space="0" w:color="auto"/>
              <w:bottom w:val="single" w:sz="4" w:space="0" w:color="auto"/>
              <w:right w:val="nil"/>
            </w:tcBorders>
            <w:shd w:val="clear" w:color="000000" w:fill="CCECFF"/>
            <w:vAlign w:val="center"/>
            <w:hideMark/>
          </w:tcPr>
          <w:p w14:paraId="1F6C7770" w14:textId="77777777" w:rsidR="00DC4315" w:rsidRPr="005B4D7B" w:rsidRDefault="00DC4315" w:rsidP="00071B92">
            <w:pPr>
              <w:spacing w:line="240" w:lineRule="auto"/>
              <w:jc w:val="right"/>
              <w:rPr>
                <w:rFonts w:eastAsia="Times New Roman" w:cs="Calibri"/>
                <w:b/>
                <w:bCs/>
                <w:color w:val="auto"/>
                <w:szCs w:val="20"/>
                <w:lang w:eastAsia="en-GB"/>
              </w:rPr>
            </w:pPr>
            <w:r w:rsidRPr="005B4D7B">
              <w:rPr>
                <w:rFonts w:eastAsia="Times New Roman" w:cs="Calibri"/>
                <w:b/>
                <w:bCs/>
                <w:color w:val="auto"/>
                <w:szCs w:val="20"/>
                <w:lang w:eastAsia="en-GB"/>
              </w:rPr>
              <w:t>(15,973)</w:t>
            </w:r>
          </w:p>
        </w:tc>
      </w:tr>
    </w:tbl>
    <w:p w14:paraId="5F972805" w14:textId="77777777" w:rsidR="00DC4315" w:rsidRDefault="00DC4315" w:rsidP="00DC4315">
      <w:pPr>
        <w:rPr>
          <w:szCs w:val="20"/>
        </w:rPr>
      </w:pPr>
    </w:p>
    <w:p w14:paraId="44E73F67" w14:textId="77777777" w:rsidR="00DC4315" w:rsidRPr="0030208D" w:rsidRDefault="00DC4315" w:rsidP="00DC4315">
      <w:pPr>
        <w:rPr>
          <w:szCs w:val="20"/>
        </w:rPr>
      </w:pPr>
      <w:r w:rsidRPr="0030208D">
        <w:rPr>
          <w:szCs w:val="20"/>
        </w:rPr>
        <w:t>Details of the long-term pension obligation can be found within Note 17.</w:t>
      </w:r>
    </w:p>
    <w:p w14:paraId="7678285C" w14:textId="77777777" w:rsidR="00DC4315" w:rsidRDefault="00DC4315" w:rsidP="00DC4315">
      <w:pPr>
        <w:pStyle w:val="VAHeadingLevel3"/>
      </w:pPr>
    </w:p>
    <w:p w14:paraId="7AB1385F" w14:textId="77777777" w:rsidR="00DC4315" w:rsidRDefault="00DC4315" w:rsidP="00DC4315">
      <w:pPr>
        <w:pStyle w:val="VAHeadingLevel3"/>
      </w:pPr>
      <w:r w:rsidRPr="0030208D">
        <w:t>Net Asset Statement</w:t>
      </w:r>
    </w:p>
    <w:p w14:paraId="7BCC8487" w14:textId="77777777" w:rsidR="00DC4315" w:rsidRPr="0030208D" w:rsidRDefault="00DC4315" w:rsidP="00DC4315">
      <w:r w:rsidRPr="0030208D">
        <w:t>There were no unpaid pensions due or recoverable overpayments</w:t>
      </w:r>
      <w:r>
        <w:t xml:space="preserve"> of pensions as at 31</w:t>
      </w:r>
      <w:r w:rsidRPr="00DC2CD5">
        <w:rPr>
          <w:vertAlign w:val="superscript"/>
        </w:rPr>
        <w:t>st</w:t>
      </w:r>
      <w:r>
        <w:t xml:space="preserve"> March 2024.</w:t>
      </w:r>
    </w:p>
    <w:p w14:paraId="70051E29" w14:textId="77777777" w:rsidR="00DC4315" w:rsidRPr="00DA4B61" w:rsidRDefault="00DC4315" w:rsidP="00DC4315">
      <w:pPr>
        <w:pStyle w:val="VAHeadingLevel2"/>
      </w:pPr>
      <w:r w:rsidRPr="00DA4B61">
        <w:t>Notes to the Police Pension Fund Account</w:t>
      </w:r>
    </w:p>
    <w:p w14:paraId="0F62F320" w14:textId="77777777" w:rsidR="00DC4315" w:rsidRPr="00DA4B61" w:rsidRDefault="00DC4315" w:rsidP="00DC4315"/>
    <w:p w14:paraId="6215B936" w14:textId="77777777" w:rsidR="00DC4315" w:rsidRDefault="00DC4315" w:rsidP="002C018B">
      <w:pPr>
        <w:pStyle w:val="VAHeadingLevel3"/>
        <w:numPr>
          <w:ilvl w:val="0"/>
          <w:numId w:val="7"/>
        </w:numPr>
      </w:pPr>
      <w:r w:rsidRPr="00DA4B61">
        <w:lastRenderedPageBreak/>
        <w:t>Employer and Officer Contributions to the Pension Fund</w:t>
      </w:r>
    </w:p>
    <w:p w14:paraId="766F3B5C" w14:textId="77777777" w:rsidR="00DC4315" w:rsidRDefault="00DC4315" w:rsidP="00DC4315"/>
    <w:p w14:paraId="24452419" w14:textId="77777777" w:rsidR="00DC4315" w:rsidRPr="00DA4B61" w:rsidRDefault="00DC4315" w:rsidP="00DC4315">
      <w:r w:rsidRPr="00DA4B61">
        <w:t xml:space="preserve">These are based on percentages of pensionable pay set nationally by the Home Office and subject to a three yearly review by the Government’s Actuary’s Department.  </w:t>
      </w:r>
      <w:r>
        <w:t xml:space="preserve">The 1987 and 2006 Schemes are closed, with all new entrants entering the 2015 scheme.  </w:t>
      </w:r>
      <w:r w:rsidRPr="00DA4B61">
        <w:t>The current percentages of pensionable pay are:</w:t>
      </w:r>
    </w:p>
    <w:p w14:paraId="0B868750" w14:textId="77777777" w:rsidR="00DC4315" w:rsidRPr="00DA4B61" w:rsidRDefault="00DC4315" w:rsidP="00DC4315">
      <w:pPr>
        <w:rPr>
          <w:sz w:val="16"/>
        </w:rPr>
      </w:pPr>
    </w:p>
    <w:tbl>
      <w:tblPr>
        <w:tblW w:w="0" w:type="auto"/>
        <w:tblLook w:val="04A0" w:firstRow="1" w:lastRow="0" w:firstColumn="1" w:lastColumn="0" w:noHBand="0" w:noVBand="1"/>
      </w:tblPr>
      <w:tblGrid>
        <w:gridCol w:w="2230"/>
        <w:gridCol w:w="676"/>
        <w:gridCol w:w="815"/>
        <w:gridCol w:w="815"/>
        <w:gridCol w:w="815"/>
        <w:gridCol w:w="815"/>
        <w:gridCol w:w="815"/>
        <w:gridCol w:w="815"/>
      </w:tblGrid>
      <w:tr w:rsidR="00DC4315" w:rsidRPr="00384D8C" w14:paraId="6BE82874" w14:textId="77777777" w:rsidTr="00071B92">
        <w:trPr>
          <w:trHeight w:val="495"/>
        </w:trPr>
        <w:tc>
          <w:tcPr>
            <w:tcW w:w="0" w:type="auto"/>
            <w:tcBorders>
              <w:top w:val="nil"/>
              <w:left w:val="nil"/>
              <w:bottom w:val="nil"/>
              <w:right w:val="nil"/>
            </w:tcBorders>
            <w:shd w:val="clear" w:color="000000" w:fill="FFFFFF"/>
            <w:noWrap/>
            <w:vAlign w:val="bottom"/>
            <w:hideMark/>
          </w:tcPr>
          <w:p w14:paraId="4301AC54"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323CE90F"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gridSpan w:val="3"/>
            <w:tcBorders>
              <w:top w:val="nil"/>
              <w:left w:val="nil"/>
              <w:bottom w:val="nil"/>
              <w:right w:val="nil"/>
            </w:tcBorders>
            <w:shd w:val="clear" w:color="000000" w:fill="000099"/>
            <w:noWrap/>
            <w:vAlign w:val="center"/>
            <w:hideMark/>
          </w:tcPr>
          <w:p w14:paraId="65C5B66B"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2022/23</w:t>
            </w:r>
          </w:p>
        </w:tc>
        <w:tc>
          <w:tcPr>
            <w:tcW w:w="0" w:type="auto"/>
            <w:gridSpan w:val="3"/>
            <w:tcBorders>
              <w:top w:val="nil"/>
              <w:left w:val="nil"/>
              <w:bottom w:val="nil"/>
              <w:right w:val="nil"/>
            </w:tcBorders>
            <w:shd w:val="clear" w:color="000000" w:fill="000099"/>
            <w:noWrap/>
            <w:vAlign w:val="center"/>
            <w:hideMark/>
          </w:tcPr>
          <w:p w14:paraId="6CF41C22"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2023/24</w:t>
            </w:r>
          </w:p>
        </w:tc>
      </w:tr>
      <w:tr w:rsidR="00DC4315" w:rsidRPr="00384D8C" w14:paraId="0500345D" w14:textId="77777777" w:rsidTr="00071B92">
        <w:trPr>
          <w:trHeight w:val="420"/>
        </w:trPr>
        <w:tc>
          <w:tcPr>
            <w:tcW w:w="0" w:type="auto"/>
            <w:tcBorders>
              <w:top w:val="nil"/>
              <w:left w:val="nil"/>
              <w:bottom w:val="nil"/>
              <w:right w:val="nil"/>
            </w:tcBorders>
            <w:shd w:val="clear" w:color="000000" w:fill="FFFFFF"/>
            <w:noWrap/>
            <w:vAlign w:val="bottom"/>
            <w:hideMark/>
          </w:tcPr>
          <w:p w14:paraId="4464DDC1"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6C9C1971"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000099"/>
            <w:noWrap/>
            <w:vAlign w:val="center"/>
            <w:hideMark/>
          </w:tcPr>
          <w:p w14:paraId="3B88E635"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1987</w:t>
            </w:r>
          </w:p>
        </w:tc>
        <w:tc>
          <w:tcPr>
            <w:tcW w:w="0" w:type="auto"/>
            <w:tcBorders>
              <w:top w:val="nil"/>
              <w:left w:val="nil"/>
              <w:bottom w:val="nil"/>
              <w:right w:val="nil"/>
            </w:tcBorders>
            <w:shd w:val="clear" w:color="000000" w:fill="000099"/>
            <w:noWrap/>
            <w:vAlign w:val="center"/>
            <w:hideMark/>
          </w:tcPr>
          <w:p w14:paraId="0DF4574C"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2006</w:t>
            </w:r>
          </w:p>
        </w:tc>
        <w:tc>
          <w:tcPr>
            <w:tcW w:w="0" w:type="auto"/>
            <w:tcBorders>
              <w:top w:val="nil"/>
              <w:left w:val="nil"/>
              <w:bottom w:val="nil"/>
              <w:right w:val="nil"/>
            </w:tcBorders>
            <w:shd w:val="clear" w:color="000000" w:fill="000099"/>
            <w:noWrap/>
            <w:vAlign w:val="center"/>
            <w:hideMark/>
          </w:tcPr>
          <w:p w14:paraId="71C5C27E"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2015</w:t>
            </w:r>
          </w:p>
        </w:tc>
        <w:tc>
          <w:tcPr>
            <w:tcW w:w="0" w:type="auto"/>
            <w:tcBorders>
              <w:top w:val="nil"/>
              <w:left w:val="nil"/>
              <w:bottom w:val="nil"/>
              <w:right w:val="nil"/>
            </w:tcBorders>
            <w:shd w:val="clear" w:color="000000" w:fill="000099"/>
            <w:noWrap/>
            <w:vAlign w:val="center"/>
            <w:hideMark/>
          </w:tcPr>
          <w:p w14:paraId="4AC34B57"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1987</w:t>
            </w:r>
          </w:p>
        </w:tc>
        <w:tc>
          <w:tcPr>
            <w:tcW w:w="0" w:type="auto"/>
            <w:tcBorders>
              <w:top w:val="nil"/>
              <w:left w:val="nil"/>
              <w:bottom w:val="nil"/>
              <w:right w:val="nil"/>
            </w:tcBorders>
            <w:shd w:val="clear" w:color="000000" w:fill="000099"/>
            <w:noWrap/>
            <w:vAlign w:val="center"/>
            <w:hideMark/>
          </w:tcPr>
          <w:p w14:paraId="412E3447"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2006</w:t>
            </w:r>
          </w:p>
        </w:tc>
        <w:tc>
          <w:tcPr>
            <w:tcW w:w="0" w:type="auto"/>
            <w:tcBorders>
              <w:top w:val="nil"/>
              <w:left w:val="nil"/>
              <w:bottom w:val="nil"/>
              <w:right w:val="nil"/>
            </w:tcBorders>
            <w:shd w:val="clear" w:color="000000" w:fill="000099"/>
            <w:noWrap/>
            <w:vAlign w:val="center"/>
            <w:hideMark/>
          </w:tcPr>
          <w:p w14:paraId="2498624F" w14:textId="77777777" w:rsidR="00DC4315" w:rsidRPr="00384D8C" w:rsidRDefault="00DC4315" w:rsidP="00071B92">
            <w:pPr>
              <w:spacing w:line="240" w:lineRule="auto"/>
              <w:jc w:val="center"/>
              <w:rPr>
                <w:rFonts w:eastAsia="Times New Roman" w:cs="Calibri"/>
                <w:b/>
                <w:bCs/>
                <w:color w:val="FFFFFF"/>
                <w:szCs w:val="20"/>
                <w:lang w:eastAsia="en-GB"/>
              </w:rPr>
            </w:pPr>
            <w:r w:rsidRPr="00384D8C">
              <w:rPr>
                <w:rFonts w:eastAsia="Times New Roman" w:cs="Calibri"/>
                <w:b/>
                <w:bCs/>
                <w:color w:val="FFFFFF"/>
                <w:szCs w:val="20"/>
                <w:lang w:eastAsia="en-GB"/>
              </w:rPr>
              <w:t>2015</w:t>
            </w:r>
          </w:p>
        </w:tc>
      </w:tr>
      <w:tr w:rsidR="00DC4315" w:rsidRPr="00C83152" w14:paraId="25E2FD7E" w14:textId="77777777" w:rsidTr="00071B92">
        <w:trPr>
          <w:trHeight w:val="290"/>
        </w:trPr>
        <w:tc>
          <w:tcPr>
            <w:tcW w:w="0" w:type="auto"/>
            <w:tcBorders>
              <w:top w:val="single" w:sz="4" w:space="0" w:color="auto"/>
              <w:left w:val="nil"/>
              <w:bottom w:val="single" w:sz="4" w:space="0" w:color="auto"/>
              <w:right w:val="nil"/>
            </w:tcBorders>
            <w:shd w:val="clear" w:color="000000" w:fill="FFFFFF"/>
            <w:noWrap/>
            <w:vAlign w:val="bottom"/>
            <w:hideMark/>
          </w:tcPr>
          <w:p w14:paraId="73E58815"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Employer Contributions:</w:t>
            </w:r>
          </w:p>
        </w:tc>
        <w:tc>
          <w:tcPr>
            <w:tcW w:w="0" w:type="auto"/>
            <w:tcBorders>
              <w:top w:val="single" w:sz="4" w:space="0" w:color="auto"/>
              <w:left w:val="nil"/>
              <w:bottom w:val="single" w:sz="4" w:space="0" w:color="auto"/>
              <w:right w:val="nil"/>
            </w:tcBorders>
            <w:shd w:val="clear" w:color="000000" w:fill="FFFFFF"/>
            <w:noWrap/>
            <w:vAlign w:val="bottom"/>
            <w:hideMark/>
          </w:tcPr>
          <w:p w14:paraId="47A28597"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0EBC45A"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FFFFFF"/>
            <w:noWrap/>
            <w:vAlign w:val="bottom"/>
            <w:hideMark/>
          </w:tcPr>
          <w:p w14:paraId="2FD88A03"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FFFFFF"/>
            <w:noWrap/>
            <w:vAlign w:val="bottom"/>
            <w:hideMark/>
          </w:tcPr>
          <w:p w14:paraId="21335C59"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4A6A9235"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7577C6DB"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31.00%</w:t>
            </w:r>
          </w:p>
        </w:tc>
        <w:tc>
          <w:tcPr>
            <w:tcW w:w="0" w:type="auto"/>
            <w:tcBorders>
              <w:top w:val="single" w:sz="4" w:space="0" w:color="auto"/>
              <w:left w:val="nil"/>
              <w:bottom w:val="single" w:sz="4" w:space="0" w:color="auto"/>
              <w:right w:val="nil"/>
            </w:tcBorders>
            <w:shd w:val="clear" w:color="000000" w:fill="CCECFF"/>
            <w:noWrap/>
            <w:vAlign w:val="bottom"/>
            <w:hideMark/>
          </w:tcPr>
          <w:p w14:paraId="0F14A3F7" w14:textId="77777777" w:rsidR="00DC4315" w:rsidRPr="00C83152" w:rsidRDefault="00DC4315" w:rsidP="00071B92">
            <w:pPr>
              <w:spacing w:line="240" w:lineRule="auto"/>
              <w:jc w:val="right"/>
              <w:rPr>
                <w:rFonts w:eastAsia="Times New Roman" w:cs="Calibri"/>
                <w:color w:val="auto"/>
                <w:szCs w:val="20"/>
                <w:lang w:eastAsia="en-GB"/>
              </w:rPr>
            </w:pPr>
            <w:r w:rsidRPr="00C83152">
              <w:rPr>
                <w:rFonts w:eastAsia="Times New Roman" w:cs="Calibri"/>
                <w:color w:val="auto"/>
                <w:szCs w:val="20"/>
                <w:lang w:eastAsia="en-GB"/>
              </w:rPr>
              <w:t>31.00%</w:t>
            </w:r>
          </w:p>
        </w:tc>
      </w:tr>
      <w:tr w:rsidR="00DC4315" w:rsidRPr="00384D8C" w14:paraId="3622ADF2" w14:textId="77777777" w:rsidTr="00071B92">
        <w:trPr>
          <w:trHeight w:val="290"/>
        </w:trPr>
        <w:tc>
          <w:tcPr>
            <w:tcW w:w="0" w:type="auto"/>
            <w:tcBorders>
              <w:top w:val="single" w:sz="4" w:space="0" w:color="auto"/>
              <w:left w:val="nil"/>
              <w:bottom w:val="nil"/>
              <w:right w:val="nil"/>
            </w:tcBorders>
            <w:shd w:val="clear" w:color="000000" w:fill="FFFFFF"/>
            <w:noWrap/>
            <w:vAlign w:val="bottom"/>
            <w:hideMark/>
          </w:tcPr>
          <w:p w14:paraId="10239E8C"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Employee Contributions:</w:t>
            </w:r>
          </w:p>
        </w:tc>
        <w:tc>
          <w:tcPr>
            <w:tcW w:w="0" w:type="auto"/>
            <w:tcBorders>
              <w:top w:val="single" w:sz="4" w:space="0" w:color="auto"/>
              <w:left w:val="nil"/>
              <w:bottom w:val="nil"/>
              <w:right w:val="nil"/>
            </w:tcBorders>
            <w:shd w:val="clear" w:color="000000" w:fill="FFFFFF"/>
            <w:noWrap/>
            <w:vAlign w:val="bottom"/>
            <w:hideMark/>
          </w:tcPr>
          <w:p w14:paraId="4186172F"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1</w:t>
            </w:r>
          </w:p>
        </w:tc>
        <w:tc>
          <w:tcPr>
            <w:tcW w:w="0" w:type="auto"/>
            <w:tcBorders>
              <w:top w:val="single" w:sz="4" w:space="0" w:color="auto"/>
              <w:left w:val="nil"/>
              <w:bottom w:val="nil"/>
              <w:right w:val="nil"/>
            </w:tcBorders>
            <w:shd w:val="clear" w:color="000000" w:fill="FFFFFF"/>
            <w:noWrap/>
            <w:vAlign w:val="bottom"/>
            <w:hideMark/>
          </w:tcPr>
          <w:p w14:paraId="50343400"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14.25%</w:t>
            </w:r>
          </w:p>
        </w:tc>
        <w:tc>
          <w:tcPr>
            <w:tcW w:w="0" w:type="auto"/>
            <w:tcBorders>
              <w:top w:val="single" w:sz="4" w:space="0" w:color="auto"/>
              <w:left w:val="nil"/>
              <w:bottom w:val="nil"/>
              <w:right w:val="nil"/>
            </w:tcBorders>
            <w:shd w:val="clear" w:color="000000" w:fill="FFFFFF"/>
            <w:noWrap/>
            <w:vAlign w:val="bottom"/>
            <w:hideMark/>
          </w:tcPr>
          <w:p w14:paraId="7DBBBA3D"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11.00%</w:t>
            </w:r>
          </w:p>
        </w:tc>
        <w:tc>
          <w:tcPr>
            <w:tcW w:w="0" w:type="auto"/>
            <w:tcBorders>
              <w:top w:val="single" w:sz="4" w:space="0" w:color="auto"/>
              <w:left w:val="nil"/>
              <w:bottom w:val="nil"/>
              <w:right w:val="nil"/>
            </w:tcBorders>
            <w:shd w:val="clear" w:color="000000" w:fill="FFFFFF"/>
            <w:noWrap/>
            <w:vAlign w:val="bottom"/>
            <w:hideMark/>
          </w:tcPr>
          <w:p w14:paraId="25E4B8FD"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12.44%</w:t>
            </w:r>
          </w:p>
        </w:tc>
        <w:tc>
          <w:tcPr>
            <w:tcW w:w="0" w:type="auto"/>
            <w:tcBorders>
              <w:top w:val="single" w:sz="4" w:space="0" w:color="auto"/>
              <w:left w:val="nil"/>
              <w:bottom w:val="nil"/>
              <w:right w:val="nil"/>
            </w:tcBorders>
            <w:shd w:val="clear" w:color="000000" w:fill="CCECFF"/>
            <w:noWrap/>
            <w:vAlign w:val="center"/>
            <w:hideMark/>
          </w:tcPr>
          <w:p w14:paraId="52997B14"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14.25%</w:t>
            </w:r>
          </w:p>
        </w:tc>
        <w:tc>
          <w:tcPr>
            <w:tcW w:w="0" w:type="auto"/>
            <w:tcBorders>
              <w:top w:val="single" w:sz="4" w:space="0" w:color="auto"/>
              <w:left w:val="nil"/>
              <w:bottom w:val="nil"/>
              <w:right w:val="nil"/>
            </w:tcBorders>
            <w:shd w:val="clear" w:color="000000" w:fill="CCECFF"/>
            <w:noWrap/>
            <w:vAlign w:val="center"/>
            <w:hideMark/>
          </w:tcPr>
          <w:p w14:paraId="65139ECE"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11.00%</w:t>
            </w:r>
          </w:p>
        </w:tc>
        <w:tc>
          <w:tcPr>
            <w:tcW w:w="0" w:type="auto"/>
            <w:tcBorders>
              <w:top w:val="single" w:sz="4" w:space="0" w:color="auto"/>
              <w:left w:val="nil"/>
              <w:bottom w:val="nil"/>
              <w:right w:val="nil"/>
            </w:tcBorders>
            <w:shd w:val="clear" w:color="000000" w:fill="CCECFF"/>
            <w:noWrap/>
            <w:vAlign w:val="center"/>
            <w:hideMark/>
          </w:tcPr>
          <w:p w14:paraId="3CC03E4C"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12.44%</w:t>
            </w:r>
          </w:p>
        </w:tc>
      </w:tr>
      <w:tr w:rsidR="00DC4315" w:rsidRPr="00384D8C" w14:paraId="637A9299" w14:textId="77777777" w:rsidTr="00071B92">
        <w:trPr>
          <w:trHeight w:val="290"/>
        </w:trPr>
        <w:tc>
          <w:tcPr>
            <w:tcW w:w="0" w:type="auto"/>
            <w:tcBorders>
              <w:top w:val="nil"/>
              <w:left w:val="nil"/>
              <w:bottom w:val="nil"/>
              <w:right w:val="nil"/>
            </w:tcBorders>
            <w:shd w:val="clear" w:color="000000" w:fill="FFFFFF"/>
            <w:noWrap/>
            <w:vAlign w:val="bottom"/>
            <w:hideMark/>
          </w:tcPr>
          <w:p w14:paraId="6B77E990"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nil"/>
              <w:right w:val="nil"/>
            </w:tcBorders>
            <w:shd w:val="clear" w:color="000000" w:fill="FFFFFF"/>
            <w:noWrap/>
            <w:vAlign w:val="bottom"/>
            <w:hideMark/>
          </w:tcPr>
          <w:p w14:paraId="7248328B"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2</w:t>
            </w:r>
          </w:p>
        </w:tc>
        <w:tc>
          <w:tcPr>
            <w:tcW w:w="0" w:type="auto"/>
            <w:tcBorders>
              <w:top w:val="nil"/>
              <w:left w:val="nil"/>
              <w:bottom w:val="nil"/>
              <w:right w:val="nil"/>
            </w:tcBorders>
            <w:shd w:val="clear" w:color="000000" w:fill="FFFFFF"/>
            <w:noWrap/>
            <w:vAlign w:val="bottom"/>
            <w:hideMark/>
          </w:tcPr>
          <w:p w14:paraId="56C7FACD"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14.25%</w:t>
            </w:r>
          </w:p>
        </w:tc>
        <w:tc>
          <w:tcPr>
            <w:tcW w:w="0" w:type="auto"/>
            <w:tcBorders>
              <w:top w:val="nil"/>
              <w:left w:val="nil"/>
              <w:bottom w:val="nil"/>
              <w:right w:val="nil"/>
            </w:tcBorders>
            <w:shd w:val="clear" w:color="000000" w:fill="FFFFFF"/>
            <w:noWrap/>
            <w:vAlign w:val="bottom"/>
            <w:hideMark/>
          </w:tcPr>
          <w:p w14:paraId="50ED7180"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12.05%</w:t>
            </w:r>
          </w:p>
        </w:tc>
        <w:tc>
          <w:tcPr>
            <w:tcW w:w="0" w:type="auto"/>
            <w:tcBorders>
              <w:top w:val="nil"/>
              <w:left w:val="nil"/>
              <w:bottom w:val="nil"/>
              <w:right w:val="nil"/>
            </w:tcBorders>
            <w:shd w:val="clear" w:color="000000" w:fill="FFFFFF"/>
            <w:noWrap/>
            <w:vAlign w:val="bottom"/>
            <w:hideMark/>
          </w:tcPr>
          <w:p w14:paraId="40280BF9"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13.44%</w:t>
            </w:r>
          </w:p>
        </w:tc>
        <w:tc>
          <w:tcPr>
            <w:tcW w:w="0" w:type="auto"/>
            <w:tcBorders>
              <w:top w:val="nil"/>
              <w:left w:val="nil"/>
              <w:bottom w:val="nil"/>
              <w:right w:val="nil"/>
            </w:tcBorders>
            <w:shd w:val="clear" w:color="000000" w:fill="CCECFF"/>
            <w:noWrap/>
            <w:vAlign w:val="center"/>
            <w:hideMark/>
          </w:tcPr>
          <w:p w14:paraId="5B602C71"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14.25%</w:t>
            </w:r>
          </w:p>
        </w:tc>
        <w:tc>
          <w:tcPr>
            <w:tcW w:w="0" w:type="auto"/>
            <w:tcBorders>
              <w:top w:val="nil"/>
              <w:left w:val="nil"/>
              <w:bottom w:val="nil"/>
              <w:right w:val="nil"/>
            </w:tcBorders>
            <w:shd w:val="clear" w:color="000000" w:fill="CCECFF"/>
            <w:noWrap/>
            <w:vAlign w:val="center"/>
            <w:hideMark/>
          </w:tcPr>
          <w:p w14:paraId="1395D4DA"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12.05%</w:t>
            </w:r>
          </w:p>
        </w:tc>
        <w:tc>
          <w:tcPr>
            <w:tcW w:w="0" w:type="auto"/>
            <w:tcBorders>
              <w:top w:val="nil"/>
              <w:left w:val="nil"/>
              <w:bottom w:val="nil"/>
              <w:right w:val="nil"/>
            </w:tcBorders>
            <w:shd w:val="clear" w:color="000000" w:fill="CCECFF"/>
            <w:noWrap/>
            <w:vAlign w:val="center"/>
            <w:hideMark/>
          </w:tcPr>
          <w:p w14:paraId="761374F3"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13.44%</w:t>
            </w:r>
          </w:p>
        </w:tc>
      </w:tr>
      <w:tr w:rsidR="00DC4315" w:rsidRPr="00384D8C" w14:paraId="40ED64E6" w14:textId="77777777" w:rsidTr="00071B92">
        <w:trPr>
          <w:trHeight w:val="290"/>
        </w:trPr>
        <w:tc>
          <w:tcPr>
            <w:tcW w:w="0" w:type="auto"/>
            <w:tcBorders>
              <w:top w:val="nil"/>
              <w:left w:val="nil"/>
              <w:bottom w:val="single" w:sz="4" w:space="0" w:color="auto"/>
              <w:right w:val="nil"/>
            </w:tcBorders>
            <w:shd w:val="clear" w:color="000000" w:fill="FFFFFF"/>
            <w:noWrap/>
            <w:vAlign w:val="bottom"/>
            <w:hideMark/>
          </w:tcPr>
          <w:p w14:paraId="7056EF64"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 </w:t>
            </w:r>
          </w:p>
        </w:tc>
        <w:tc>
          <w:tcPr>
            <w:tcW w:w="0" w:type="auto"/>
            <w:tcBorders>
              <w:top w:val="nil"/>
              <w:left w:val="nil"/>
              <w:bottom w:val="single" w:sz="4" w:space="0" w:color="auto"/>
              <w:right w:val="nil"/>
            </w:tcBorders>
            <w:shd w:val="clear" w:color="000000" w:fill="FFFFFF"/>
            <w:noWrap/>
            <w:vAlign w:val="bottom"/>
            <w:hideMark/>
          </w:tcPr>
          <w:p w14:paraId="522ABA2D" w14:textId="77777777" w:rsidR="00DC4315" w:rsidRPr="00384D8C" w:rsidRDefault="00DC4315" w:rsidP="00071B92">
            <w:pPr>
              <w:spacing w:line="240" w:lineRule="auto"/>
              <w:jc w:val="left"/>
              <w:rPr>
                <w:rFonts w:eastAsia="Times New Roman" w:cs="Calibri"/>
                <w:color w:val="000000"/>
                <w:szCs w:val="20"/>
                <w:lang w:eastAsia="en-GB"/>
              </w:rPr>
            </w:pPr>
            <w:r w:rsidRPr="00384D8C">
              <w:rPr>
                <w:rFonts w:eastAsia="Times New Roman" w:cs="Calibri"/>
                <w:color w:val="000000"/>
                <w:szCs w:val="20"/>
                <w:lang w:eastAsia="en-GB"/>
              </w:rPr>
              <w:t>Tier 3</w:t>
            </w:r>
          </w:p>
        </w:tc>
        <w:tc>
          <w:tcPr>
            <w:tcW w:w="0" w:type="auto"/>
            <w:tcBorders>
              <w:top w:val="nil"/>
              <w:left w:val="nil"/>
              <w:bottom w:val="single" w:sz="4" w:space="0" w:color="auto"/>
              <w:right w:val="nil"/>
            </w:tcBorders>
            <w:shd w:val="clear" w:color="000000" w:fill="FFFFFF"/>
            <w:noWrap/>
            <w:vAlign w:val="bottom"/>
            <w:hideMark/>
          </w:tcPr>
          <w:p w14:paraId="4C352B16"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15.05%</w:t>
            </w:r>
          </w:p>
        </w:tc>
        <w:tc>
          <w:tcPr>
            <w:tcW w:w="0" w:type="auto"/>
            <w:tcBorders>
              <w:top w:val="nil"/>
              <w:left w:val="nil"/>
              <w:bottom w:val="single" w:sz="4" w:space="0" w:color="auto"/>
              <w:right w:val="nil"/>
            </w:tcBorders>
            <w:shd w:val="clear" w:color="000000" w:fill="FFFFFF"/>
            <w:noWrap/>
            <w:vAlign w:val="bottom"/>
            <w:hideMark/>
          </w:tcPr>
          <w:p w14:paraId="2EC2C38F"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12.75%</w:t>
            </w:r>
          </w:p>
        </w:tc>
        <w:tc>
          <w:tcPr>
            <w:tcW w:w="0" w:type="auto"/>
            <w:tcBorders>
              <w:top w:val="nil"/>
              <w:left w:val="nil"/>
              <w:bottom w:val="single" w:sz="4" w:space="0" w:color="auto"/>
              <w:right w:val="nil"/>
            </w:tcBorders>
            <w:shd w:val="clear" w:color="000000" w:fill="FFFFFF"/>
            <w:noWrap/>
            <w:vAlign w:val="bottom"/>
            <w:hideMark/>
          </w:tcPr>
          <w:p w14:paraId="00D51341" w14:textId="77777777" w:rsidR="00DC4315" w:rsidRPr="00384D8C" w:rsidRDefault="00DC4315" w:rsidP="00071B92">
            <w:pPr>
              <w:spacing w:line="240" w:lineRule="auto"/>
              <w:jc w:val="right"/>
              <w:rPr>
                <w:rFonts w:eastAsia="Times New Roman" w:cs="Calibri"/>
                <w:color w:val="000000"/>
                <w:szCs w:val="20"/>
                <w:lang w:eastAsia="en-GB"/>
              </w:rPr>
            </w:pPr>
            <w:r w:rsidRPr="00384D8C">
              <w:rPr>
                <w:rFonts w:eastAsia="Times New Roman" w:cs="Calibri"/>
                <w:color w:val="000000"/>
                <w:szCs w:val="20"/>
                <w:lang w:eastAsia="en-GB"/>
              </w:rPr>
              <w:t>13.78%</w:t>
            </w:r>
          </w:p>
        </w:tc>
        <w:tc>
          <w:tcPr>
            <w:tcW w:w="0" w:type="auto"/>
            <w:tcBorders>
              <w:top w:val="nil"/>
              <w:left w:val="nil"/>
              <w:bottom w:val="single" w:sz="4" w:space="0" w:color="auto"/>
              <w:right w:val="nil"/>
            </w:tcBorders>
            <w:shd w:val="clear" w:color="000000" w:fill="CCECFF"/>
            <w:noWrap/>
            <w:vAlign w:val="center"/>
            <w:hideMark/>
          </w:tcPr>
          <w:p w14:paraId="095050F9"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15.05%</w:t>
            </w:r>
          </w:p>
        </w:tc>
        <w:tc>
          <w:tcPr>
            <w:tcW w:w="0" w:type="auto"/>
            <w:tcBorders>
              <w:top w:val="nil"/>
              <w:left w:val="nil"/>
              <w:bottom w:val="single" w:sz="4" w:space="0" w:color="auto"/>
              <w:right w:val="nil"/>
            </w:tcBorders>
            <w:shd w:val="clear" w:color="000000" w:fill="CCECFF"/>
            <w:noWrap/>
            <w:vAlign w:val="center"/>
            <w:hideMark/>
          </w:tcPr>
          <w:p w14:paraId="693F2850"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12.75%</w:t>
            </w:r>
          </w:p>
        </w:tc>
        <w:tc>
          <w:tcPr>
            <w:tcW w:w="0" w:type="auto"/>
            <w:tcBorders>
              <w:top w:val="nil"/>
              <w:left w:val="nil"/>
              <w:bottom w:val="single" w:sz="4" w:space="0" w:color="auto"/>
              <w:right w:val="nil"/>
            </w:tcBorders>
            <w:shd w:val="clear" w:color="000000" w:fill="CCECFF"/>
            <w:noWrap/>
            <w:vAlign w:val="center"/>
            <w:hideMark/>
          </w:tcPr>
          <w:p w14:paraId="36FA71D2" w14:textId="77777777" w:rsidR="00DC4315" w:rsidRPr="00384D8C" w:rsidRDefault="00DC4315" w:rsidP="00071B92">
            <w:pPr>
              <w:spacing w:line="240" w:lineRule="auto"/>
              <w:jc w:val="right"/>
              <w:rPr>
                <w:rFonts w:eastAsia="Times New Roman" w:cs="Calibri"/>
                <w:color w:val="auto"/>
                <w:szCs w:val="20"/>
                <w:lang w:eastAsia="en-GB"/>
              </w:rPr>
            </w:pPr>
            <w:r w:rsidRPr="00384D8C">
              <w:rPr>
                <w:rFonts w:eastAsia="Times New Roman" w:cs="Calibri"/>
                <w:color w:val="auto"/>
                <w:szCs w:val="20"/>
                <w:lang w:eastAsia="en-GB"/>
              </w:rPr>
              <w:t>13.78%</w:t>
            </w:r>
          </w:p>
        </w:tc>
      </w:tr>
    </w:tbl>
    <w:p w14:paraId="6E449CB3" w14:textId="77777777" w:rsidR="00DC4315" w:rsidRPr="00DA4B61" w:rsidRDefault="00DC4315" w:rsidP="00DC4315">
      <w:pPr>
        <w:pStyle w:val="Normal0"/>
        <w:tabs>
          <w:tab w:val="left" w:pos="567"/>
          <w:tab w:val="left" w:pos="3686"/>
          <w:tab w:val="left" w:pos="6096"/>
        </w:tabs>
        <w:jc w:val="both"/>
        <w:rPr>
          <w:rFonts w:ascii="Verdana" w:eastAsia="Times New Roman" w:hAnsi="Verdana" w:cs="Arial"/>
          <w:bCs/>
          <w:sz w:val="16"/>
          <w:szCs w:val="20"/>
          <w:lang w:val="en-GB"/>
        </w:rPr>
      </w:pPr>
    </w:p>
    <w:p w14:paraId="593C745D" w14:textId="77777777" w:rsidR="00DC4315" w:rsidRDefault="00DC4315" w:rsidP="002C018B">
      <w:pPr>
        <w:pStyle w:val="VAHeadingLevel3"/>
        <w:numPr>
          <w:ilvl w:val="0"/>
          <w:numId w:val="7"/>
        </w:numPr>
        <w:rPr>
          <w:rFonts w:eastAsia="Arial Unicode MS"/>
        </w:rPr>
      </w:pPr>
      <w:r w:rsidRPr="00DA4B61">
        <w:rPr>
          <w:rFonts w:eastAsia="Arial Unicode MS"/>
        </w:rPr>
        <w:t>Transfer Values</w:t>
      </w:r>
    </w:p>
    <w:p w14:paraId="7F48FF01" w14:textId="77777777" w:rsidR="00DC4315" w:rsidRPr="00DA4B61" w:rsidRDefault="00DC4315" w:rsidP="00DC4315">
      <w:pPr>
        <w:pStyle w:val="VAHeadingLevel3"/>
        <w:numPr>
          <w:ilvl w:val="0"/>
          <w:numId w:val="0"/>
        </w:numPr>
        <w:ind w:left="720"/>
        <w:rPr>
          <w:rFonts w:eastAsia="Arial Unicode MS"/>
        </w:rPr>
      </w:pPr>
    </w:p>
    <w:p w14:paraId="2E6BC6CB" w14:textId="77777777" w:rsidR="00DC4315" w:rsidRDefault="00DC4315" w:rsidP="00DC4315">
      <w:r w:rsidRPr="00DA4B61">
        <w:t xml:space="preserve">These are received or paid in respect of officers changing employer and taking or bringing their accrued pension benefits with them. </w:t>
      </w:r>
    </w:p>
    <w:p w14:paraId="77B63648" w14:textId="77777777" w:rsidR="00DC4315" w:rsidRDefault="00DC4315" w:rsidP="00DC4315">
      <w:pPr>
        <w:rPr>
          <w:sz w:val="16"/>
          <w:u w:val="single"/>
        </w:rPr>
      </w:pPr>
    </w:p>
    <w:p w14:paraId="244D4E83" w14:textId="77777777" w:rsidR="00DC4315" w:rsidRDefault="00DC4315" w:rsidP="002C018B">
      <w:pPr>
        <w:pStyle w:val="VAHeadingLevel3"/>
        <w:numPr>
          <w:ilvl w:val="0"/>
          <w:numId w:val="7"/>
        </w:numPr>
      </w:pPr>
      <w:r w:rsidRPr="00DA4B61">
        <w:t>Pensions Fund Liabilities</w:t>
      </w:r>
    </w:p>
    <w:p w14:paraId="44C9AFDC" w14:textId="77777777" w:rsidR="00DC4315" w:rsidRDefault="00DC4315" w:rsidP="00DC4315">
      <w:pPr>
        <w:pStyle w:val="VAHeadingLevel3"/>
        <w:numPr>
          <w:ilvl w:val="0"/>
          <w:numId w:val="0"/>
        </w:numPr>
        <w:ind w:left="720"/>
      </w:pPr>
    </w:p>
    <w:p w14:paraId="086C7493" w14:textId="77777777" w:rsidR="00DC4315" w:rsidRPr="00773E8B" w:rsidRDefault="00DC4315" w:rsidP="00DC4315">
      <w:pPr>
        <w:pStyle w:val="VAHeadingLevel3"/>
        <w:rPr>
          <w:color w:val="000000" w:themeColor="text1"/>
        </w:rPr>
      </w:pPr>
      <w:r w:rsidRPr="00773E8B">
        <w:rPr>
          <w:color w:val="000000" w:themeColor="text1"/>
        </w:rPr>
        <w:t>The Pension Fund does not take account of liabilities to pay pensions and other benefits after the period end.  There are no IAS 19 adjustments in this statement; they are part of the Group and OCC Core Financial Statements and can be referred to in notes 37 to 38.</w:t>
      </w:r>
    </w:p>
    <w:p w14:paraId="43C0E339" w14:textId="77777777" w:rsidR="00DC4315" w:rsidRPr="005B4D7B" w:rsidRDefault="00DC4315" w:rsidP="00DC4315">
      <w:pPr>
        <w:pStyle w:val="VAHeadingLevel3"/>
      </w:pPr>
    </w:p>
    <w:p w14:paraId="59D9E7E8" w14:textId="77777777" w:rsidR="00DC4315" w:rsidRDefault="00DC4315" w:rsidP="002C018B">
      <w:pPr>
        <w:pStyle w:val="VAHeadingLevel3"/>
        <w:numPr>
          <w:ilvl w:val="0"/>
          <w:numId w:val="7"/>
        </w:numPr>
      </w:pPr>
      <w:r w:rsidRPr="00DA4B61">
        <w:t>Accounting Policies</w:t>
      </w:r>
    </w:p>
    <w:p w14:paraId="17A2A632" w14:textId="77777777" w:rsidR="00DC4315" w:rsidRPr="00DA4B61" w:rsidRDefault="00DC4315" w:rsidP="00DC4315">
      <w:pPr>
        <w:pStyle w:val="VAHeadingLevel3"/>
        <w:numPr>
          <w:ilvl w:val="0"/>
          <w:numId w:val="0"/>
        </w:numPr>
        <w:ind w:left="720"/>
      </w:pPr>
    </w:p>
    <w:p w14:paraId="55CE89C1" w14:textId="77777777" w:rsidR="00DC4315" w:rsidRPr="00DA4B61" w:rsidRDefault="00DC4315" w:rsidP="00DC4315">
      <w:r w:rsidRPr="00DA4B61">
        <w:t>Accounting Policies conform to those in the Statement of Accounts.</w:t>
      </w:r>
    </w:p>
    <w:p w14:paraId="6F8796CA" w14:textId="77777777" w:rsidR="00DC4315" w:rsidRPr="00DA4B61" w:rsidRDefault="00DC4315" w:rsidP="00DC4315">
      <w:pPr>
        <w:rPr>
          <w:sz w:val="16"/>
        </w:rPr>
      </w:pPr>
    </w:p>
    <w:p w14:paraId="3FB0AFE1" w14:textId="77777777" w:rsidR="00DC4315" w:rsidRDefault="00DC4315" w:rsidP="002C018B">
      <w:pPr>
        <w:pStyle w:val="VAHeadingLevel3"/>
        <w:numPr>
          <w:ilvl w:val="0"/>
          <w:numId w:val="7"/>
        </w:numPr>
      </w:pPr>
      <w:r w:rsidRPr="00DA4B61">
        <w:t>Home Office Pensions Top-Up Grant</w:t>
      </w:r>
    </w:p>
    <w:p w14:paraId="7858252C" w14:textId="77777777" w:rsidR="00DC4315" w:rsidRPr="00DA4B61" w:rsidRDefault="00DC4315" w:rsidP="00DC4315">
      <w:pPr>
        <w:pStyle w:val="VAHeadingLevel3"/>
        <w:numPr>
          <w:ilvl w:val="0"/>
          <w:numId w:val="0"/>
        </w:numPr>
        <w:ind w:left="720"/>
      </w:pPr>
    </w:p>
    <w:p w14:paraId="68971267" w14:textId="77777777" w:rsidR="00DC4315" w:rsidRPr="00DA4B61" w:rsidRDefault="00DC4315" w:rsidP="00DC4315">
      <w:r w:rsidRPr="00DA4B61">
        <w:t>The Home Office Grant is received by the Group and OCC to cover the Group and OCC’s deficit contribution to the Pension Fund Account.  On the other hand, if the Pension Fund Account was in surplus, resulting in a contribution being made to the Group and OCC, an equivalent amount is recouped by the Home Office.</w:t>
      </w:r>
    </w:p>
    <w:p w14:paraId="06A9D85B" w14:textId="77777777" w:rsidR="00DC4315" w:rsidRPr="00DA4B61" w:rsidRDefault="00DC4315" w:rsidP="00DC4315">
      <w:pPr>
        <w:rPr>
          <w:sz w:val="16"/>
        </w:rPr>
      </w:pPr>
    </w:p>
    <w:p w14:paraId="3CDDD3DB" w14:textId="77777777" w:rsidR="00DC4315" w:rsidRPr="00DA4B61" w:rsidRDefault="00DC4315" w:rsidP="00DC4315">
      <w:r w:rsidRPr="00DA4B61">
        <w:t>The funding arrangements for the police pension scheme in England and Wales changed on 1 April 2006.  Before then the scheme did not have a percentage of pensionable pay type of employer’s contribution; rather each OPFCC was responsible for paying pensions on a pay-as-you-go basis.</w:t>
      </w:r>
    </w:p>
    <w:p w14:paraId="25154643" w14:textId="77777777" w:rsidR="00DC4315" w:rsidRPr="00DA4B61" w:rsidRDefault="00DC4315" w:rsidP="00DC4315">
      <w:pPr>
        <w:rPr>
          <w:sz w:val="16"/>
        </w:rPr>
      </w:pPr>
    </w:p>
    <w:p w14:paraId="3C3539AE" w14:textId="77777777" w:rsidR="00DC4315" w:rsidRPr="00DA4B61" w:rsidRDefault="00DC4315" w:rsidP="00DC4315">
      <w:r w:rsidRPr="00DA4B61">
        <w:t>Under the current arrangements the scheme remains unfunded but is no longer on a pay-as-you-go basis as far as individual Police Officers are concerned.  The Group and OCC’s no longer meet the pension liability directly.  Instead, the Force pays an employer’s contribution based on a percentage of pay into the Pension Fund.  The amounts that must be paid into and paid out of the pension fund are specified by regulation.</w:t>
      </w:r>
    </w:p>
    <w:p w14:paraId="60F28AAC" w14:textId="77777777" w:rsidR="00DC4315" w:rsidRPr="00DA4B61" w:rsidRDefault="00DC4315" w:rsidP="00DC4315">
      <w:pPr>
        <w:rPr>
          <w:sz w:val="16"/>
        </w:rPr>
      </w:pPr>
    </w:p>
    <w:p w14:paraId="53BEC6BE" w14:textId="77777777" w:rsidR="00DC4315" w:rsidRPr="00DA4B61" w:rsidRDefault="00DC4315" w:rsidP="00DC4315">
      <w:r w:rsidRPr="00DA4B61">
        <w:t>At the end of the financial year the pension fund is balanced to nil by a financial transfer from or to the police fund, made by the Secretary of State.  Any payment from or to the Secretary of State in relation to the transfer is paid into or out of the police fund.</w:t>
      </w:r>
    </w:p>
    <w:p w14:paraId="58DB5431" w14:textId="77777777" w:rsidR="00DC4315" w:rsidRPr="00475C4C" w:rsidRDefault="00DC4315" w:rsidP="00DC4315">
      <w:pPr>
        <w:spacing w:line="240" w:lineRule="auto"/>
        <w:jc w:val="left"/>
        <w:rPr>
          <w:rFonts w:asciiTheme="minorHAnsi" w:eastAsia="Times New Roman" w:hAnsiTheme="minorHAnsi" w:cs="Times New Roman"/>
          <w:b/>
          <w:bCs/>
          <w:color w:val="18235B"/>
          <w:sz w:val="16"/>
          <w:szCs w:val="16"/>
          <w:u w:val="single"/>
          <w:lang w:val="pt-BR"/>
        </w:rPr>
      </w:pPr>
    </w:p>
    <w:p w14:paraId="3FA2329F" w14:textId="7E5DAE42" w:rsidR="001D2D0F" w:rsidRPr="001D2D0F" w:rsidRDefault="001D2D0F">
      <w:pPr>
        <w:spacing w:line="240" w:lineRule="auto"/>
        <w:jc w:val="left"/>
        <w:rPr>
          <w:rFonts w:asciiTheme="minorHAnsi" w:eastAsia="Times New Roman" w:hAnsiTheme="minorHAnsi" w:cs="Times New Roman"/>
          <w:b/>
          <w:bCs/>
          <w:smallCaps/>
          <w:color w:val="18235B"/>
          <w:sz w:val="36"/>
        </w:rPr>
      </w:pPr>
      <w:r w:rsidRPr="001D2D0F">
        <w:br w:type="page"/>
      </w:r>
    </w:p>
    <w:p w14:paraId="4C7CC4CB" w14:textId="77777777" w:rsidR="002522D4" w:rsidRPr="00A14CAC" w:rsidRDefault="002522D4" w:rsidP="00EB49F7">
      <w:pPr>
        <w:pStyle w:val="ChapterHeading"/>
      </w:pPr>
      <w:bookmarkStart w:id="269" w:name="_Toc191281430"/>
      <w:r w:rsidRPr="00A14CAC">
        <w:lastRenderedPageBreak/>
        <w:t>Accounting Policies</w:t>
      </w:r>
      <w:bookmarkEnd w:id="256"/>
      <w:bookmarkEnd w:id="257"/>
      <w:bookmarkEnd w:id="269"/>
      <w:r w:rsidRPr="00A14CAC">
        <w:t xml:space="preserve"> </w:t>
      </w:r>
    </w:p>
    <w:p w14:paraId="69968113" w14:textId="77777777" w:rsidR="002A63FF" w:rsidRPr="00A14CAC" w:rsidRDefault="002A63FF" w:rsidP="00155219"/>
    <w:p w14:paraId="6F1F7377" w14:textId="77777777" w:rsidR="00D901A0" w:rsidRPr="00D901A0" w:rsidRDefault="00D901A0" w:rsidP="00D901A0">
      <w:pPr>
        <w:pStyle w:val="NoteHeader"/>
        <w:rPr>
          <w:lang w:val="pt-BR"/>
        </w:rPr>
      </w:pPr>
      <w:bookmarkStart w:id="270" w:name="_Toc9272544"/>
      <w:r w:rsidRPr="00D901A0">
        <w:rPr>
          <w:lang w:val="pt-BR"/>
        </w:rPr>
        <w:t xml:space="preserve">1) Introduction </w:t>
      </w:r>
    </w:p>
    <w:p w14:paraId="249D8A27" w14:textId="77777777" w:rsidR="00D901A0" w:rsidRPr="00F03BE9" w:rsidRDefault="00D901A0" w:rsidP="00155219"/>
    <w:p w14:paraId="4AC9BFA0" w14:textId="77777777" w:rsidR="00D901A0" w:rsidRPr="00602EAF" w:rsidRDefault="00D901A0" w:rsidP="00155219">
      <w:r w:rsidRPr="00602EAF">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Any exceptions are disclosed below. </w:t>
      </w:r>
    </w:p>
    <w:p w14:paraId="38C94593" w14:textId="77777777" w:rsidR="00D901A0" w:rsidRPr="00602EAF" w:rsidRDefault="00D901A0" w:rsidP="00D901A0">
      <w:pPr>
        <w:pStyle w:val="Default"/>
        <w:rPr>
          <w:rFonts w:asciiTheme="minorHAnsi" w:hAnsiTheme="minorHAnsi" w:cstheme="minorHAnsi"/>
          <w:sz w:val="20"/>
          <w:szCs w:val="20"/>
        </w:rPr>
      </w:pPr>
    </w:p>
    <w:p w14:paraId="1C7EFA30" w14:textId="4C5F73A9" w:rsidR="00D901A0" w:rsidRPr="00602EAF" w:rsidRDefault="00D901A0" w:rsidP="00155219">
      <w:r w:rsidRPr="00602EAF">
        <w:t xml:space="preserve">In applying the accounting policies, we have had to make certain judgements about complex transactions or those involving uncertainty about future events. The critical judgements made in the Statement of Accounts are: </w:t>
      </w:r>
    </w:p>
    <w:p w14:paraId="6582B24C" w14:textId="6E8BBE82" w:rsidR="00D901A0" w:rsidRPr="00602EAF" w:rsidRDefault="00D901A0" w:rsidP="00D901A0">
      <w:pPr>
        <w:pStyle w:val="RedBullet"/>
        <w:ind w:left="714" w:hanging="357"/>
      </w:pPr>
      <w:r w:rsidRPr="00602EAF">
        <w:t>Influences on-going concern status, such as future levels of funding for central government departments</w:t>
      </w:r>
      <w:r w:rsidR="005B4D7B">
        <w:t>.</w:t>
      </w:r>
    </w:p>
    <w:p w14:paraId="2E2FA07C" w14:textId="7E83C93A" w:rsidR="00D901A0" w:rsidRPr="00602EAF" w:rsidRDefault="00D901A0" w:rsidP="00D901A0">
      <w:pPr>
        <w:pStyle w:val="RedBullet"/>
        <w:ind w:left="714" w:hanging="357"/>
      </w:pPr>
      <w:r w:rsidRPr="00602EAF">
        <w:t>Possible impairment of investments</w:t>
      </w:r>
      <w:r w:rsidR="005B4D7B">
        <w:t>.</w:t>
      </w:r>
    </w:p>
    <w:p w14:paraId="55C56F49" w14:textId="3F5C43DD" w:rsidR="00D901A0" w:rsidRPr="00602EAF" w:rsidRDefault="00D901A0" w:rsidP="00D901A0">
      <w:pPr>
        <w:pStyle w:val="RedBullet"/>
        <w:ind w:left="714" w:hanging="357"/>
      </w:pPr>
      <w:r w:rsidRPr="00602EAF">
        <w:t>Whether other entities with which the OCC has a relationship are subsidiaries, associates or jointly controlled entities</w:t>
      </w:r>
      <w:r w:rsidR="005B4D7B">
        <w:t>.</w:t>
      </w:r>
    </w:p>
    <w:p w14:paraId="7F520D73" w14:textId="28EF1F9E" w:rsidR="00D901A0" w:rsidRPr="00602EAF" w:rsidRDefault="00D901A0" w:rsidP="00D901A0">
      <w:pPr>
        <w:pStyle w:val="RedBullet"/>
        <w:ind w:left="714" w:hanging="357"/>
      </w:pPr>
      <w:r w:rsidRPr="00602EAF">
        <w:t>The potential outcome of legal claims by or against the OCC</w:t>
      </w:r>
      <w:r w:rsidR="005B4D7B">
        <w:t>.</w:t>
      </w:r>
    </w:p>
    <w:p w14:paraId="0D89141F" w14:textId="2D083162" w:rsidR="00D901A0" w:rsidRPr="00602EAF" w:rsidRDefault="00D901A0" w:rsidP="00D901A0">
      <w:pPr>
        <w:pStyle w:val="RedBullet"/>
        <w:ind w:left="714" w:hanging="357"/>
      </w:pPr>
      <w:r w:rsidRPr="00602EAF">
        <w:t>The condition of the local and national housing/industrial building market</w:t>
      </w:r>
      <w:r w:rsidR="005B4D7B">
        <w:t>.</w:t>
      </w:r>
    </w:p>
    <w:p w14:paraId="51D8AC36" w14:textId="7FDF4C6D" w:rsidR="00D901A0" w:rsidRPr="00602EAF" w:rsidRDefault="00D901A0" w:rsidP="00D901A0">
      <w:pPr>
        <w:pStyle w:val="RedBullet"/>
        <w:ind w:left="714" w:hanging="357"/>
      </w:pPr>
      <w:r w:rsidRPr="00602EAF">
        <w:t>The economic standing of significant debtors and creditors</w:t>
      </w:r>
      <w:r w:rsidR="005B4D7B">
        <w:t>.</w:t>
      </w:r>
    </w:p>
    <w:p w14:paraId="0053746E" w14:textId="77777777" w:rsidR="00D901A0" w:rsidRPr="00F03BE9" w:rsidRDefault="00D901A0" w:rsidP="00155219"/>
    <w:p w14:paraId="1CA64727" w14:textId="77777777" w:rsidR="00D901A0" w:rsidRPr="00D901A0" w:rsidRDefault="00D901A0" w:rsidP="00D901A0">
      <w:pPr>
        <w:pStyle w:val="NoteHeader"/>
        <w:rPr>
          <w:lang w:val="pt-BR"/>
        </w:rPr>
      </w:pPr>
      <w:bookmarkStart w:id="271" w:name="_Hlk190265302"/>
      <w:r w:rsidRPr="00D901A0">
        <w:rPr>
          <w:lang w:val="pt-BR"/>
        </w:rPr>
        <w:t xml:space="preserve">2) Recognition of Income and Expenditure </w:t>
      </w:r>
    </w:p>
    <w:bookmarkEnd w:id="271"/>
    <w:p w14:paraId="32045692" w14:textId="77777777" w:rsidR="00D901A0" w:rsidRPr="00F03BE9" w:rsidRDefault="00D901A0" w:rsidP="00155219"/>
    <w:p w14:paraId="6B79F820" w14:textId="18B70AB6" w:rsidR="00D901A0" w:rsidRPr="00602EAF" w:rsidRDefault="00D901A0" w:rsidP="00155219">
      <w:r w:rsidRPr="00602EAF">
        <w:t xml:space="preserve">The OCC complies with IAS 39 in only recognising creditor liabilities when services are </w:t>
      </w:r>
      <w:r w:rsidR="005B4D7B" w:rsidRPr="00602EAF">
        <w:t>rendered,</w:t>
      </w:r>
      <w:r w:rsidRPr="00602EAF">
        <w:t xml:space="preserve"> or goods receipted. Debtors are recorded at historical cost, but the balance has been written down to fair value through a bad debt provision. </w:t>
      </w:r>
    </w:p>
    <w:p w14:paraId="4130E2B4" w14:textId="77777777" w:rsidR="00D901A0" w:rsidRPr="00602EAF" w:rsidRDefault="00D901A0" w:rsidP="00155219"/>
    <w:p w14:paraId="0B75EFA2" w14:textId="77777777" w:rsidR="00D901A0" w:rsidRPr="00602EAF" w:rsidRDefault="00D901A0" w:rsidP="00155219">
      <w:r w:rsidRPr="00602EAF">
        <w:t xml:space="preserve">Both revenue and capital transactions are recorded on an accruals basis. This means that income and expenditure is accounted for in the financial year in which it becomes due regardless of whether cash has actually been received or paid in the financial year. </w:t>
      </w:r>
    </w:p>
    <w:p w14:paraId="4676BDF8" w14:textId="77777777" w:rsidR="00D901A0" w:rsidRPr="00602EAF" w:rsidRDefault="00D901A0" w:rsidP="00155219"/>
    <w:p w14:paraId="54629BB3" w14:textId="77777777" w:rsidR="00D901A0" w:rsidRPr="00602EAF" w:rsidRDefault="00D901A0" w:rsidP="00155219">
      <w:pPr>
        <w:rPr>
          <w:lang w:val="pt-BR"/>
        </w:rPr>
      </w:pPr>
      <w:r w:rsidRPr="00602EAF">
        <w:rPr>
          <w:lang w:val="pt-BR"/>
        </w:rPr>
        <w:t xml:space="preserve">In particular: </w:t>
      </w:r>
    </w:p>
    <w:p w14:paraId="0F08A4AD" w14:textId="0241AE6E" w:rsidR="00D901A0" w:rsidRPr="00602EAF" w:rsidRDefault="00D901A0" w:rsidP="00602EAF">
      <w:pPr>
        <w:pStyle w:val="RedBullet"/>
        <w:ind w:left="714" w:hanging="357"/>
      </w:pPr>
      <w:r w:rsidRPr="00602EAF">
        <w:t xml:space="preserve">Fees, charges and rents due from the customers are accounted for as income at the date the organisation provides the relevant goods or services. </w:t>
      </w:r>
    </w:p>
    <w:p w14:paraId="415627F3" w14:textId="148647DC" w:rsidR="00D901A0" w:rsidRPr="00602EAF" w:rsidRDefault="00D901A0" w:rsidP="00602EAF">
      <w:pPr>
        <w:pStyle w:val="RedBullet"/>
        <w:ind w:left="714" w:hanging="357"/>
      </w:pPr>
      <w:r w:rsidRPr="00602EAF">
        <w:t xml:space="preserve">The cost of supplies and services are accrued in that accounting period during which they were consumed or received, except for works which are charged as expenditure when they are completed, before which they are carried as works in progress on the balance sheet. </w:t>
      </w:r>
    </w:p>
    <w:p w14:paraId="4D7E780F" w14:textId="52FBF373" w:rsidR="00D901A0" w:rsidRPr="00602EAF" w:rsidRDefault="00D901A0" w:rsidP="00602EAF">
      <w:pPr>
        <w:pStyle w:val="RedBullet"/>
        <w:ind w:left="714" w:hanging="357"/>
      </w:pPr>
      <w:r w:rsidRPr="00602EAF">
        <w:t xml:space="preserve">Interest payable and receivable on borrowings is accounted for in the year to which it relates; on a basis that it reflects the overall effect of the loan or investment. </w:t>
      </w:r>
    </w:p>
    <w:p w14:paraId="28A20DF5" w14:textId="15C4B242" w:rsidR="00486CE7" w:rsidRPr="00486CE7" w:rsidRDefault="00D901A0" w:rsidP="00486CE7">
      <w:pPr>
        <w:pStyle w:val="RedBullet"/>
        <w:ind w:left="714" w:hanging="357"/>
        <w:rPr>
          <w:rFonts w:cstheme="minorHAnsi"/>
          <w:sz w:val="22"/>
          <w:szCs w:val="22"/>
        </w:rPr>
      </w:pPr>
      <w:r w:rsidRPr="00B554F9">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3F401125" w14:textId="77777777" w:rsidR="00486CE7" w:rsidRDefault="00486CE7" w:rsidP="00486CE7">
      <w:pPr>
        <w:pStyle w:val="RedBullet"/>
        <w:numPr>
          <w:ilvl w:val="0"/>
          <w:numId w:val="0"/>
        </w:numPr>
        <w:ind w:left="714"/>
        <w:rPr>
          <w:rFonts w:cstheme="minorHAnsi"/>
          <w:sz w:val="22"/>
          <w:szCs w:val="22"/>
        </w:rPr>
      </w:pPr>
    </w:p>
    <w:p w14:paraId="3E9C1B29" w14:textId="219A97FF" w:rsidR="00486CE7" w:rsidRPr="00E778EE" w:rsidRDefault="00486CE7" w:rsidP="00486CE7">
      <w:pPr>
        <w:pStyle w:val="NoteHeader"/>
        <w:rPr>
          <w:lang w:val="pt-BR"/>
        </w:rPr>
      </w:pPr>
      <w:r w:rsidRPr="00E778EE">
        <w:rPr>
          <w:lang w:val="pt-BR"/>
        </w:rPr>
        <w:t xml:space="preserve">3) Financial Instruments </w:t>
      </w:r>
    </w:p>
    <w:p w14:paraId="738900D6" w14:textId="77777777" w:rsidR="00486CE7" w:rsidRPr="00E778EE" w:rsidRDefault="00486CE7" w:rsidP="00C81837">
      <w:pPr>
        <w:rPr>
          <w:color w:val="auto"/>
          <w:szCs w:val="20"/>
        </w:rPr>
      </w:pPr>
    </w:p>
    <w:p w14:paraId="11F18BA2" w14:textId="77777777" w:rsidR="005D454C" w:rsidRDefault="00486CE7" w:rsidP="00C81837">
      <w:pPr>
        <w:rPr>
          <w:color w:val="auto"/>
          <w:szCs w:val="20"/>
        </w:rPr>
      </w:pPr>
      <w:r w:rsidRPr="00E778EE">
        <w:rPr>
          <w:color w:val="auto"/>
          <w:szCs w:val="20"/>
        </w:rPr>
        <w:t>Financial instruments are recognised on the Balance Sheet when the Authority becomes party to the contractual provisions of a financial instrument.  They are initially measured at fair value.</w:t>
      </w:r>
    </w:p>
    <w:p w14:paraId="60E636D1" w14:textId="77777777" w:rsidR="00C81837" w:rsidRDefault="00C81837" w:rsidP="00C81837">
      <w:pPr>
        <w:pStyle w:val="VAHeadingLevel2"/>
      </w:pPr>
      <w:r>
        <w:br w:type="page"/>
      </w:r>
    </w:p>
    <w:p w14:paraId="16BE9A6C" w14:textId="1EF2BA6A" w:rsidR="00486CE7" w:rsidRPr="00E778EE" w:rsidRDefault="00486CE7" w:rsidP="00C81837">
      <w:pPr>
        <w:pStyle w:val="VAHeadingLevel2"/>
      </w:pPr>
      <w:r w:rsidRPr="00E778EE">
        <w:lastRenderedPageBreak/>
        <w:t>Financial Assets</w:t>
      </w:r>
    </w:p>
    <w:p w14:paraId="3AEF34BC" w14:textId="2CAECFC8" w:rsidR="00486CE7" w:rsidRPr="00E778EE" w:rsidRDefault="00486CE7" w:rsidP="00C81837">
      <w:r w:rsidRPr="00E778EE">
        <w:t>Financial assets held at amortised cost.  These represent loans and similar arrangements where repayments of interest and principal take place on set dates and at specified amounts in advance.  The amount presented in the Balance Sheet represents the outstanding principal received plus accrued interest.  Interest credited to the CIES is the amount receivable as per the loan agreement.</w:t>
      </w:r>
      <w:r w:rsidR="00DD5881" w:rsidRPr="00E778EE">
        <w:t xml:space="preserve"> </w:t>
      </w:r>
      <w:bookmarkStart w:id="272" w:name="_Hlk190266129"/>
      <w:r w:rsidR="00DD5881" w:rsidRPr="00E778EE">
        <w:t xml:space="preserve">The organisation splits financial assets into the following </w:t>
      </w:r>
      <w:r w:rsidR="005F41F0" w:rsidRPr="00E778EE">
        <w:t>categories:</w:t>
      </w:r>
      <w:r w:rsidR="00DD5881" w:rsidRPr="00E778EE">
        <w:t xml:space="preserve"> Debtors and prepayments, Cash, investments and joint venture cash balance. These are then further split between long term and current financial assets.</w:t>
      </w:r>
    </w:p>
    <w:bookmarkEnd w:id="272"/>
    <w:p w14:paraId="05C6D8C2" w14:textId="77777777" w:rsidR="00486CE7" w:rsidRPr="00E778EE" w:rsidRDefault="00486CE7" w:rsidP="00C81837">
      <w:pPr>
        <w:rPr>
          <w:rFonts w:asciiTheme="minorHAnsi" w:hAnsiTheme="minorHAnsi" w:cstheme="minorHAnsi"/>
          <w:color w:val="auto"/>
          <w:szCs w:val="20"/>
        </w:rPr>
      </w:pPr>
    </w:p>
    <w:p w14:paraId="38763064" w14:textId="77777777" w:rsidR="00486CE7" w:rsidRPr="00E778EE" w:rsidRDefault="00486CE7" w:rsidP="00C81837">
      <w:pPr>
        <w:rPr>
          <w:rFonts w:asciiTheme="minorHAnsi" w:hAnsiTheme="minorHAnsi" w:cstheme="minorHAnsi"/>
          <w:color w:val="auto"/>
          <w:szCs w:val="20"/>
        </w:rPr>
      </w:pPr>
      <w:r w:rsidRPr="00E778EE">
        <w:rPr>
          <w:rFonts w:asciiTheme="minorHAnsi" w:hAnsiTheme="minorHAnsi" w:cstheme="minorHAnsi"/>
          <w:color w:val="auto"/>
          <w:szCs w:val="20"/>
        </w:rPr>
        <w:t>Changes in the value of assets carried at fair value are debited/credited to the Comprehensive Income and Expenditure Statement (CIES) as they arise.</w:t>
      </w:r>
    </w:p>
    <w:p w14:paraId="292B42B9" w14:textId="77777777" w:rsidR="00486CE7" w:rsidRPr="00E778EE" w:rsidRDefault="00486CE7" w:rsidP="00C81837">
      <w:pPr>
        <w:rPr>
          <w:rFonts w:asciiTheme="minorHAnsi" w:hAnsiTheme="minorHAnsi" w:cstheme="minorHAnsi"/>
          <w:color w:val="auto"/>
          <w:szCs w:val="20"/>
        </w:rPr>
      </w:pPr>
    </w:p>
    <w:p w14:paraId="7BAB773D" w14:textId="77777777" w:rsidR="00486CE7" w:rsidRPr="00E778EE" w:rsidRDefault="00486CE7" w:rsidP="00C81837">
      <w:pPr>
        <w:pStyle w:val="VAHeadingLevel2"/>
      </w:pPr>
      <w:r w:rsidRPr="00E778EE">
        <w:t xml:space="preserve">Financial Liabilities </w:t>
      </w:r>
    </w:p>
    <w:p w14:paraId="697A121B" w14:textId="7A86913A" w:rsidR="00486CE7" w:rsidRPr="00486CE7" w:rsidRDefault="00486CE7" w:rsidP="00C81837">
      <w:pPr>
        <w:rPr>
          <w:sz w:val="22"/>
          <w:szCs w:val="22"/>
        </w:rPr>
      </w:pPr>
      <w:r w:rsidRPr="00E778EE">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bookmarkStart w:id="273" w:name="_Hlk190266162"/>
      <w:r w:rsidR="00DD5881" w:rsidRPr="00E778EE">
        <w:t xml:space="preserve">The organisation splits financial liabilities into the following </w:t>
      </w:r>
      <w:r w:rsidR="005F41F0" w:rsidRPr="00E778EE">
        <w:t>categories:</w:t>
      </w:r>
      <w:r w:rsidR="00DD5881" w:rsidRPr="00E778EE">
        <w:t xml:space="preserve"> borrowing at amortised cost, borrowing at fair value through profit and loss and fire value through profit and loss. These are then further split into long term and current financial liabilities.</w:t>
      </w:r>
    </w:p>
    <w:bookmarkEnd w:id="273"/>
    <w:p w14:paraId="0574999E" w14:textId="77777777" w:rsidR="00D901A0" w:rsidRPr="00AC0645" w:rsidRDefault="00D901A0" w:rsidP="008973EF"/>
    <w:p w14:paraId="6535F7E5" w14:textId="30DD7843" w:rsidR="00D901A0" w:rsidRPr="00602EAF" w:rsidRDefault="002B121F" w:rsidP="00602EAF">
      <w:pPr>
        <w:pStyle w:val="NoteHeader"/>
        <w:rPr>
          <w:lang w:val="pt-BR"/>
        </w:rPr>
      </w:pPr>
      <w:r>
        <w:rPr>
          <w:lang w:val="pt-BR"/>
        </w:rPr>
        <w:t>4</w:t>
      </w:r>
      <w:r w:rsidR="00D901A0" w:rsidRPr="00602EAF">
        <w:rPr>
          <w:lang w:val="pt-BR"/>
        </w:rPr>
        <w:t xml:space="preserve">) Government Grants and Contributions </w:t>
      </w:r>
    </w:p>
    <w:p w14:paraId="6274008E" w14:textId="77777777" w:rsidR="00D901A0" w:rsidRPr="00AC0645" w:rsidRDefault="00D901A0" w:rsidP="00155219"/>
    <w:p w14:paraId="174624CD" w14:textId="77777777" w:rsidR="00D901A0" w:rsidRPr="00602EAF" w:rsidRDefault="00D901A0" w:rsidP="00155219">
      <w:r w:rsidRPr="00602EAF">
        <w:t xml:space="preserve">Revenue grants and contributions are credited to the Comprehensive Income and Expenditure Statement in the same period as the expenditure to which they relate. For the OPFCC, grants to support expenditure in general (eg. Revenue Support Grant) are credited to the foot of the CIES after Net Operating Expenditure, within the Group accounts, income is transferred to the CC through an intra-company adjustment within Taxation and Non-Specific Grant income line. </w:t>
      </w:r>
    </w:p>
    <w:p w14:paraId="78FE7E72" w14:textId="77777777" w:rsidR="00D901A0" w:rsidRPr="00AC0645" w:rsidRDefault="00D901A0" w:rsidP="00155219"/>
    <w:p w14:paraId="5645E189" w14:textId="4CD18FCE" w:rsidR="00D901A0" w:rsidRPr="00602EAF" w:rsidRDefault="002B121F" w:rsidP="00602EAF">
      <w:pPr>
        <w:pStyle w:val="NoteHeader"/>
        <w:rPr>
          <w:lang w:val="pt-BR"/>
        </w:rPr>
      </w:pPr>
      <w:r>
        <w:rPr>
          <w:lang w:val="pt-BR"/>
        </w:rPr>
        <w:t>5</w:t>
      </w:r>
      <w:r w:rsidR="00D901A0" w:rsidRPr="00602EAF">
        <w:rPr>
          <w:lang w:val="pt-BR"/>
        </w:rPr>
        <w:t xml:space="preserve">) Intangible Assets </w:t>
      </w:r>
    </w:p>
    <w:p w14:paraId="51EA2401" w14:textId="77777777" w:rsidR="00D901A0" w:rsidRPr="00AC0645" w:rsidRDefault="00D901A0" w:rsidP="00155219"/>
    <w:p w14:paraId="1E740F09" w14:textId="77777777" w:rsidR="00D901A0" w:rsidRPr="00602EAF" w:rsidRDefault="00D901A0" w:rsidP="00155219">
      <w:r w:rsidRPr="00602EAF">
        <w:t xml:space="preserve">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 </w:t>
      </w:r>
    </w:p>
    <w:p w14:paraId="6571897C" w14:textId="77777777" w:rsidR="00D901A0" w:rsidRPr="00602EAF" w:rsidRDefault="00D901A0" w:rsidP="00155219"/>
    <w:p w14:paraId="4FB4433F" w14:textId="77777777" w:rsidR="00D901A0" w:rsidRPr="00602EAF" w:rsidRDefault="00D901A0" w:rsidP="00155219">
      <w:r w:rsidRPr="00602EAF">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5184A2A0" w14:textId="77777777" w:rsidR="00D901A0" w:rsidRPr="00602EAF" w:rsidRDefault="00D901A0" w:rsidP="00155219"/>
    <w:p w14:paraId="685FACB0" w14:textId="77777777" w:rsidR="00D901A0" w:rsidRPr="00602EAF" w:rsidRDefault="00D901A0" w:rsidP="00155219">
      <w:r w:rsidRPr="00602EAF">
        <w:t xml:space="preserve">Additions to assets will be added to the carrying value of the asset and amortised over the remaining Useful Economic Life, where it meets the recognition criteria. </w:t>
      </w:r>
    </w:p>
    <w:p w14:paraId="3970D09A" w14:textId="77777777" w:rsidR="00D901A0" w:rsidRPr="00602EAF" w:rsidRDefault="00D901A0" w:rsidP="00155219"/>
    <w:p w14:paraId="5E7845FA" w14:textId="095D728B" w:rsidR="00D901A0" w:rsidRPr="00602EAF" w:rsidRDefault="00D901A0" w:rsidP="00155219">
      <w:r w:rsidRPr="00602EAF">
        <w:t xml:space="preserve">In accordance with IAS38, assets which are Police specific or that do not have a comparable active market for valuation purposes, will be measured at cost less accumulated amortisation, with the useful life being reviewed annually. </w:t>
      </w:r>
    </w:p>
    <w:p w14:paraId="47216914" w14:textId="77777777" w:rsidR="00D901A0" w:rsidRPr="00AC0645" w:rsidRDefault="00D901A0" w:rsidP="00155219">
      <w:pPr>
        <w:rPr>
          <w:sz w:val="22"/>
          <w:szCs w:val="22"/>
        </w:rPr>
      </w:pPr>
    </w:p>
    <w:p w14:paraId="67C8F543" w14:textId="6BD6FA2F" w:rsidR="00D901A0" w:rsidRPr="00602EAF" w:rsidRDefault="002B121F" w:rsidP="00602EAF">
      <w:pPr>
        <w:pStyle w:val="NoteHeader"/>
        <w:rPr>
          <w:lang w:val="pt-BR"/>
        </w:rPr>
      </w:pPr>
      <w:r>
        <w:rPr>
          <w:lang w:val="pt-BR"/>
        </w:rPr>
        <w:t>6</w:t>
      </w:r>
      <w:r w:rsidR="00D901A0" w:rsidRPr="00602EAF">
        <w:rPr>
          <w:lang w:val="pt-BR"/>
        </w:rPr>
        <w:t xml:space="preserve">) Tangible </w:t>
      </w:r>
      <w:r w:rsidR="006951BE">
        <w:rPr>
          <w:lang w:val="pt-BR"/>
        </w:rPr>
        <w:t>Plant, Property and Equipment</w:t>
      </w:r>
      <w:r w:rsidR="00D901A0" w:rsidRPr="00602EAF">
        <w:rPr>
          <w:lang w:val="pt-BR"/>
        </w:rPr>
        <w:t xml:space="preserve"> Recognition </w:t>
      </w:r>
    </w:p>
    <w:p w14:paraId="2375F2BE" w14:textId="77777777" w:rsidR="00D901A0" w:rsidRPr="00AC0645" w:rsidRDefault="00D901A0" w:rsidP="00155219"/>
    <w:p w14:paraId="4588E76F" w14:textId="04C09863" w:rsidR="00D158EF" w:rsidRDefault="00D158EF" w:rsidP="00155219">
      <w:r w:rsidRPr="00D158EF">
        <w:t>All expenditure</w:t>
      </w:r>
      <w:r w:rsidR="00644591">
        <w:t xml:space="preserve"> (subject to a de minimis of £10k)</w:t>
      </w:r>
      <w:r w:rsidRPr="00D158EF">
        <w:t xml:space="preserve"> on the acquisition, creation or enhancement of fixed assets is capitalised in accordance with IAS 16 (</w:t>
      </w:r>
      <w:r w:rsidR="006951BE">
        <w:t>Plant, Property and Equipment</w:t>
      </w:r>
      <w:r w:rsidRPr="00D158EF">
        <w:t>). Subsequent capital expenditure is capitalised where it provides an enhancement of the economic benefits of the asset in excess of those previously assessed.</w:t>
      </w:r>
    </w:p>
    <w:p w14:paraId="1D3CEBBE" w14:textId="77777777" w:rsidR="00D158EF" w:rsidRPr="00D158EF" w:rsidRDefault="00D158EF" w:rsidP="00155219"/>
    <w:p w14:paraId="30235BA0" w14:textId="1E0544A7" w:rsidR="00D158EF" w:rsidRPr="00D158EF" w:rsidRDefault="00D158EF" w:rsidP="00155219">
      <w:r w:rsidRPr="00D158EF">
        <w:t xml:space="preserve">Where assets are bought into </w:t>
      </w:r>
      <w:r w:rsidR="00A327FE">
        <w:t>Plant, Property and Equipment</w:t>
      </w:r>
      <w:r w:rsidRPr="00D158EF">
        <w:t xml:space="preserve"> from Assets Under Construction, these will be valued using the appropriate methodology, including componentisation as applicable.</w:t>
      </w:r>
    </w:p>
    <w:p w14:paraId="36D220DD" w14:textId="77777777" w:rsidR="00D158EF" w:rsidRDefault="00D158EF" w:rsidP="00155219"/>
    <w:p w14:paraId="3C03113F" w14:textId="193F9209" w:rsidR="00D901A0" w:rsidRDefault="00D158EF" w:rsidP="00155219">
      <w:r w:rsidRPr="00D158EF">
        <w:t>The de minimis level policy is to capitalise all capital expenditure, £10,000 and over, on an individual asset basis (or</w:t>
      </w:r>
      <w:r>
        <w:t xml:space="preserve"> </w:t>
      </w:r>
      <w:r w:rsidRPr="00D158EF">
        <w:t>a grouping of assets).</w:t>
      </w:r>
    </w:p>
    <w:p w14:paraId="746EFBC7" w14:textId="77777777" w:rsidR="005F41F0" w:rsidRDefault="005F41F0" w:rsidP="00155219"/>
    <w:p w14:paraId="119A30B2" w14:textId="6B2673C3" w:rsidR="005F41F0" w:rsidRPr="00E778EE" w:rsidRDefault="002B121F" w:rsidP="005F41F0">
      <w:pPr>
        <w:pStyle w:val="NoteHeader"/>
        <w:rPr>
          <w:lang w:val="pt-BR"/>
        </w:rPr>
      </w:pPr>
      <w:r w:rsidRPr="00E778EE">
        <w:rPr>
          <w:lang w:val="pt-BR"/>
        </w:rPr>
        <w:t>7</w:t>
      </w:r>
      <w:r w:rsidR="005F41F0" w:rsidRPr="00E778EE">
        <w:rPr>
          <w:lang w:val="pt-BR"/>
        </w:rPr>
        <w:t xml:space="preserve">) Asset valuation </w:t>
      </w:r>
    </w:p>
    <w:p w14:paraId="300F45D5" w14:textId="77777777" w:rsidR="00D158EF" w:rsidRPr="00E778EE" w:rsidRDefault="00D158EF" w:rsidP="00155219"/>
    <w:p w14:paraId="0B37BE6E" w14:textId="77777777" w:rsidR="005F41F0" w:rsidRPr="00E778EE" w:rsidRDefault="005F41F0" w:rsidP="005F41F0">
      <w:r w:rsidRPr="00E778EE">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74913848" w14:textId="77777777" w:rsidR="005F41F0" w:rsidRPr="00E778EE" w:rsidRDefault="005F41F0" w:rsidP="005F41F0"/>
    <w:p w14:paraId="02291673" w14:textId="77777777" w:rsidR="005F41F0" w:rsidRPr="00E778EE" w:rsidRDefault="005F41F0" w:rsidP="005F41F0">
      <w:r w:rsidRPr="00E778EE">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7D4EE9A7" w14:textId="77777777" w:rsidR="005F41F0" w:rsidRPr="00E778EE" w:rsidRDefault="005F41F0" w:rsidP="005F41F0"/>
    <w:p w14:paraId="5766AE7E" w14:textId="77777777" w:rsidR="005F41F0" w:rsidRPr="00E778EE" w:rsidRDefault="005F41F0" w:rsidP="002C018B">
      <w:pPr>
        <w:pStyle w:val="Firebullet"/>
        <w:numPr>
          <w:ilvl w:val="0"/>
          <w:numId w:val="9"/>
        </w:numPr>
        <w:rPr>
          <w:rFonts w:eastAsiaTheme="minorHAnsi" w:cstheme="minorBidi"/>
          <w:color w:val="000000" w:themeColor="text1"/>
          <w:sz w:val="20"/>
          <w:lang w:val="en-GB"/>
        </w:rPr>
      </w:pPr>
      <w:r w:rsidRPr="00E778EE">
        <w:rPr>
          <w:rFonts w:eastAsiaTheme="minorHAnsi" w:cstheme="minorBidi"/>
          <w:color w:val="000000" w:themeColor="text1"/>
          <w:sz w:val="20"/>
          <w:lang w:val="en-GB"/>
        </w:rPr>
        <w:t xml:space="preserve">Operational Buildings – Depreciated Replacement cost. </w:t>
      </w:r>
    </w:p>
    <w:p w14:paraId="19410E3D" w14:textId="7CF7321E" w:rsidR="005F41F0" w:rsidRPr="00E778EE" w:rsidRDefault="005F41F0" w:rsidP="002C018B">
      <w:pPr>
        <w:pStyle w:val="Firebullet"/>
        <w:numPr>
          <w:ilvl w:val="0"/>
          <w:numId w:val="9"/>
        </w:numPr>
        <w:rPr>
          <w:rFonts w:eastAsiaTheme="minorHAnsi" w:cstheme="minorBidi"/>
          <w:color w:val="000000" w:themeColor="text1"/>
          <w:sz w:val="20"/>
          <w:lang w:val="en-GB"/>
        </w:rPr>
      </w:pPr>
      <w:r w:rsidRPr="00E778EE">
        <w:rPr>
          <w:rFonts w:eastAsiaTheme="minorHAnsi" w:cstheme="minorBidi"/>
          <w:color w:val="000000" w:themeColor="text1"/>
          <w:sz w:val="20"/>
          <w:lang w:val="en-GB"/>
        </w:rPr>
        <w:t xml:space="preserve">Land and non-specialized buildings – Current value for existing use. </w:t>
      </w:r>
    </w:p>
    <w:p w14:paraId="6FCBF44D" w14:textId="77777777" w:rsidR="005F41F0" w:rsidRPr="00E778EE" w:rsidRDefault="005F41F0" w:rsidP="002C018B">
      <w:pPr>
        <w:pStyle w:val="Firebullet"/>
        <w:numPr>
          <w:ilvl w:val="0"/>
          <w:numId w:val="9"/>
        </w:numPr>
        <w:rPr>
          <w:rFonts w:eastAsiaTheme="minorHAnsi" w:cstheme="minorBidi"/>
          <w:color w:val="000000" w:themeColor="text1"/>
          <w:sz w:val="20"/>
          <w:lang w:val="en-GB"/>
        </w:rPr>
      </w:pPr>
      <w:r w:rsidRPr="00E778EE">
        <w:rPr>
          <w:rFonts w:eastAsiaTheme="minorHAnsi" w:cstheme="minorBidi"/>
          <w:color w:val="000000" w:themeColor="text1"/>
          <w:sz w:val="20"/>
          <w:lang w:val="en-GB"/>
        </w:rPr>
        <w:t xml:space="preserve">Vehicles, plant and equipment – historic cost less accumulated depreciation (as a proxy for current replacement cost). </w:t>
      </w:r>
    </w:p>
    <w:p w14:paraId="7E682C60" w14:textId="77777777" w:rsidR="005F41F0" w:rsidRPr="00E778EE" w:rsidRDefault="005F41F0" w:rsidP="005F41F0"/>
    <w:p w14:paraId="7D7B4932" w14:textId="77777777" w:rsidR="005F41F0" w:rsidRPr="00635F47" w:rsidRDefault="005F41F0" w:rsidP="005F41F0">
      <w:r w:rsidRPr="00E778EE">
        <w:t>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Comprehensive Income and Expenditure Statement.</w:t>
      </w:r>
      <w:r w:rsidRPr="00635F47">
        <w:t xml:space="preserve"> </w:t>
      </w:r>
    </w:p>
    <w:p w14:paraId="7823A9D8" w14:textId="77777777" w:rsidR="005F41F0" w:rsidRPr="00E778EE" w:rsidRDefault="005F41F0" w:rsidP="00155219"/>
    <w:p w14:paraId="175B1311" w14:textId="619AF9A6" w:rsidR="005F41F0" w:rsidRPr="00E778EE" w:rsidRDefault="002B121F" w:rsidP="005F41F0">
      <w:pPr>
        <w:pStyle w:val="NoteHeader"/>
        <w:rPr>
          <w:lang w:val="pt-BR"/>
        </w:rPr>
      </w:pPr>
      <w:r w:rsidRPr="00E778EE">
        <w:rPr>
          <w:lang w:val="pt-BR"/>
        </w:rPr>
        <w:t>8</w:t>
      </w:r>
      <w:r w:rsidR="005F41F0" w:rsidRPr="00E778EE">
        <w:rPr>
          <w:lang w:val="pt-BR"/>
        </w:rPr>
        <w:t>) Depreciation and Impairments</w:t>
      </w:r>
    </w:p>
    <w:p w14:paraId="70211B2A" w14:textId="77777777" w:rsidR="005F41F0" w:rsidRPr="00E778EE" w:rsidRDefault="005F41F0" w:rsidP="005F41F0">
      <w:pPr>
        <w:pStyle w:val="NoteHeader"/>
        <w:rPr>
          <w:rFonts w:ascii="Calibri" w:eastAsiaTheme="minorHAnsi" w:hAnsi="Calibri" w:cstheme="minorBidi"/>
          <w:b w:val="0"/>
          <w:bCs w:val="0"/>
          <w:color w:val="000000" w:themeColor="text1"/>
          <w:sz w:val="20"/>
          <w:u w:val="none"/>
        </w:rPr>
      </w:pPr>
    </w:p>
    <w:p w14:paraId="683C774B" w14:textId="77777777" w:rsidR="005F41F0" w:rsidRPr="00E778EE" w:rsidRDefault="005F41F0" w:rsidP="005F41F0">
      <w:bookmarkStart w:id="274" w:name="_Hlk190266905"/>
      <w:r w:rsidRPr="00E778EE">
        <w:t xml:space="preserve">Depreciation is charged to write off the costs or valuation of property, plant and equipment and intangible non-current assets, less any residual value, over their Useful Economic Lives, on a straight line basis.  The Useful Economic Life of an Asset is the period over which the Authority expects to obtain economic benefits or service potential from the Asset. This is specific to the Authority and may be shorter than the physical life of the Asset itself. The Useful Economic Life and Residual Values are reviewed each year end, with the effect of any changes recognised on a prospective basis. </w:t>
      </w:r>
    </w:p>
    <w:p w14:paraId="72B9729A" w14:textId="77777777" w:rsidR="005F41F0" w:rsidRPr="00E778EE" w:rsidRDefault="005F41F0" w:rsidP="005F41F0"/>
    <w:p w14:paraId="4F6E6F89" w14:textId="77777777" w:rsidR="005F41F0" w:rsidRPr="00E778EE" w:rsidRDefault="005F41F0" w:rsidP="005F41F0">
      <w:r w:rsidRPr="00E778EE">
        <w:t xml:space="preserve">The approximate average useful lives (depreciation periods) are categorised below: </w:t>
      </w:r>
    </w:p>
    <w:p w14:paraId="5AB9C2B2" w14:textId="77777777" w:rsidR="005F41F0" w:rsidRPr="00E778EE" w:rsidRDefault="005F41F0" w:rsidP="005F41F0"/>
    <w:p w14:paraId="236EFE08" w14:textId="77777777" w:rsidR="005F41F0" w:rsidRPr="00E778EE" w:rsidRDefault="005F41F0" w:rsidP="00C81837">
      <w:pPr>
        <w:pStyle w:val="RedBullet"/>
        <w:rPr>
          <w:rFonts w:eastAsiaTheme="minorHAnsi"/>
        </w:rPr>
      </w:pPr>
      <w:r w:rsidRPr="00E778EE">
        <w:rPr>
          <w:rFonts w:eastAsiaTheme="minorHAnsi"/>
        </w:rPr>
        <w:t xml:space="preserve">Buildings 30 – 60 years </w:t>
      </w:r>
    </w:p>
    <w:p w14:paraId="74144ACD" w14:textId="4BF06B9C" w:rsidR="005F41F0" w:rsidRPr="00E778EE" w:rsidRDefault="002B121F" w:rsidP="00C81837">
      <w:pPr>
        <w:pStyle w:val="RedBullet"/>
        <w:rPr>
          <w:rFonts w:eastAsiaTheme="minorHAnsi"/>
        </w:rPr>
      </w:pPr>
      <w:r w:rsidRPr="00E778EE">
        <w:rPr>
          <w:rFonts w:eastAsiaTheme="minorHAnsi"/>
        </w:rPr>
        <w:t>Vehicles 3-5 years</w:t>
      </w:r>
    </w:p>
    <w:p w14:paraId="498688C4" w14:textId="512B0A47" w:rsidR="005F41F0" w:rsidRPr="00E778EE" w:rsidRDefault="002B121F" w:rsidP="00C81837">
      <w:pPr>
        <w:pStyle w:val="RedBullet"/>
        <w:rPr>
          <w:rFonts w:eastAsiaTheme="minorHAnsi"/>
        </w:rPr>
      </w:pPr>
      <w:r w:rsidRPr="00E778EE">
        <w:rPr>
          <w:rFonts w:eastAsiaTheme="minorHAnsi"/>
        </w:rPr>
        <w:t>Operational equipment 2-5 years</w:t>
      </w:r>
    </w:p>
    <w:p w14:paraId="4939AF6E" w14:textId="620BEA11" w:rsidR="005F41F0" w:rsidRPr="00E778EE" w:rsidRDefault="002B121F" w:rsidP="00C81837">
      <w:pPr>
        <w:pStyle w:val="RedBullet"/>
        <w:rPr>
          <w:rFonts w:eastAsiaTheme="minorHAnsi"/>
        </w:rPr>
      </w:pPr>
      <w:r w:rsidRPr="00E778EE">
        <w:rPr>
          <w:rFonts w:eastAsiaTheme="minorHAnsi"/>
        </w:rPr>
        <w:t>IT equipment 2-5years</w:t>
      </w:r>
    </w:p>
    <w:p w14:paraId="036B1FC0" w14:textId="77777777" w:rsidR="005F41F0" w:rsidRPr="00E778EE" w:rsidRDefault="005F41F0" w:rsidP="005F41F0"/>
    <w:p w14:paraId="3FADBC87" w14:textId="77777777" w:rsidR="005F41F0" w:rsidRPr="00E778EE" w:rsidRDefault="005F41F0" w:rsidP="005F41F0">
      <w:r w:rsidRPr="00E778EE">
        <w:t xml:space="preserve">Assets acquired under Finance Leases are Depreciated over the term of the lease (or the life of the asset if this is lower than the term of the lease) on a straight line basis. </w:t>
      </w:r>
    </w:p>
    <w:p w14:paraId="07264E3B" w14:textId="77777777" w:rsidR="005F41F0" w:rsidRPr="00E778EE" w:rsidRDefault="005F41F0" w:rsidP="005F41F0"/>
    <w:p w14:paraId="6393CFF9" w14:textId="77777777" w:rsidR="005F41F0" w:rsidRPr="00E778EE" w:rsidRDefault="005F41F0" w:rsidP="005F41F0">
      <w:r w:rsidRPr="00E778EE">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389E798B" w14:textId="77777777" w:rsidR="005F41F0" w:rsidRPr="00E778EE" w:rsidRDefault="005F41F0" w:rsidP="005F41F0"/>
    <w:p w14:paraId="32A9AD87" w14:textId="77777777" w:rsidR="005F41F0" w:rsidRPr="00E778EE" w:rsidRDefault="005F41F0" w:rsidP="005F41F0">
      <w:r w:rsidRPr="00E778EE">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3272DA54" w14:textId="77777777" w:rsidR="005F41F0" w:rsidRPr="00E778EE" w:rsidRDefault="005F41F0" w:rsidP="005F41F0"/>
    <w:p w14:paraId="0E68DEEA" w14:textId="683B46B6" w:rsidR="005F41F0" w:rsidRPr="00602EAF" w:rsidRDefault="005F41F0" w:rsidP="00604814">
      <w:pPr>
        <w:rPr>
          <w:lang w:val="pt-BR"/>
        </w:rPr>
      </w:pPr>
      <w:r w:rsidRPr="00E778EE">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bookmarkEnd w:id="274"/>
    </w:p>
    <w:p w14:paraId="5DD33C7F" w14:textId="77777777" w:rsidR="005F41F0" w:rsidRPr="00F03BE9" w:rsidRDefault="005F41F0" w:rsidP="00155219">
      <w:pPr>
        <w:rPr>
          <w:rFonts w:asciiTheme="minorHAnsi" w:hAnsiTheme="minorHAnsi" w:cstheme="minorHAnsi"/>
          <w:sz w:val="22"/>
          <w:szCs w:val="22"/>
        </w:rPr>
      </w:pPr>
    </w:p>
    <w:p w14:paraId="5CB968D0" w14:textId="67A5B06D" w:rsidR="00D901A0" w:rsidRPr="00602EAF" w:rsidRDefault="002B121F" w:rsidP="00602EAF">
      <w:pPr>
        <w:pStyle w:val="NoteHeader"/>
        <w:rPr>
          <w:lang w:val="pt-BR"/>
        </w:rPr>
      </w:pPr>
      <w:r>
        <w:rPr>
          <w:lang w:val="pt-BR"/>
        </w:rPr>
        <w:t>9</w:t>
      </w:r>
      <w:r w:rsidR="00D901A0" w:rsidRPr="00602EAF">
        <w:rPr>
          <w:lang w:val="pt-BR"/>
        </w:rPr>
        <w:t xml:space="preserve">) Redemption of Debt </w:t>
      </w:r>
    </w:p>
    <w:p w14:paraId="4FF6E5FA" w14:textId="77777777" w:rsidR="00D901A0" w:rsidRPr="00F03BE9" w:rsidRDefault="00D901A0" w:rsidP="00155219"/>
    <w:p w14:paraId="4DE18FAC" w14:textId="452C8FD8" w:rsidR="00D901A0" w:rsidRDefault="00D901A0" w:rsidP="00155219">
      <w:r w:rsidRPr="00602EAF">
        <w:t xml:space="preserve">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 </w:t>
      </w:r>
    </w:p>
    <w:p w14:paraId="599737AB" w14:textId="77777777" w:rsidR="00D158EF" w:rsidRPr="00602EAF" w:rsidRDefault="00D158EF" w:rsidP="00155219">
      <w:pPr>
        <w:rPr>
          <w:szCs w:val="20"/>
        </w:rPr>
      </w:pPr>
    </w:p>
    <w:p w14:paraId="615189E1" w14:textId="77777777" w:rsidR="00D901A0" w:rsidRPr="00602EAF" w:rsidRDefault="00D901A0" w:rsidP="00155219">
      <w:r w:rsidRPr="00602EAF">
        <w:t xml:space="preserve">Valuation is based upon amortised cost, with fair value based upon the cash flow over the remaining term of the debt. </w:t>
      </w:r>
    </w:p>
    <w:p w14:paraId="1023791F" w14:textId="77777777" w:rsidR="00D901A0" w:rsidRPr="00F03BE9" w:rsidRDefault="00D901A0" w:rsidP="00155219"/>
    <w:p w14:paraId="71275EA1" w14:textId="0868CC50" w:rsidR="00D901A0" w:rsidRPr="00602EAF" w:rsidRDefault="002B121F" w:rsidP="00602EAF">
      <w:pPr>
        <w:pStyle w:val="NoteHeader"/>
        <w:rPr>
          <w:lang w:val="pt-BR"/>
        </w:rPr>
      </w:pPr>
      <w:r>
        <w:rPr>
          <w:lang w:val="pt-BR"/>
        </w:rPr>
        <w:t>10</w:t>
      </w:r>
      <w:r w:rsidR="00D901A0" w:rsidRPr="00602EAF">
        <w:rPr>
          <w:lang w:val="pt-BR"/>
        </w:rPr>
        <w:t xml:space="preserve">) Reserves </w:t>
      </w:r>
    </w:p>
    <w:p w14:paraId="0E6647E5" w14:textId="77777777" w:rsidR="00D901A0" w:rsidRPr="00F03BE9" w:rsidRDefault="00D901A0" w:rsidP="00155219"/>
    <w:p w14:paraId="04E0C3FB" w14:textId="1C528BF4" w:rsidR="00D901A0" w:rsidRPr="00B554F9" w:rsidRDefault="00D901A0" w:rsidP="00155219">
      <w:r w:rsidRPr="00B554F9">
        <w:t xml:space="preserve">Reserves are maintained to finance expenditure on projects that will be carried out in future years and to protect the OPFCC against unexpected events. Certain reserves/accounts are kept </w:t>
      </w:r>
      <w:r w:rsidR="003C6B62">
        <w:t xml:space="preserve">in order </w:t>
      </w:r>
      <w:r w:rsidRPr="00B554F9">
        <w:t>to manage the accounting process for tangible fixed assets (Revaluation Reserve, Capital Adjustment Account) and retirement benefits (Pensions Reserve IAS 19). These do not represent usable resources for the O</w:t>
      </w:r>
      <w:r w:rsidR="00D158EF">
        <w:t>C</w:t>
      </w:r>
      <w:r w:rsidRPr="00B554F9">
        <w:t xml:space="preserve">C. A Reserves Strategy is in place and is reviewed at least twice a year. </w:t>
      </w:r>
    </w:p>
    <w:p w14:paraId="305A64D9" w14:textId="77777777" w:rsidR="009B0396" w:rsidRPr="00602EAF" w:rsidRDefault="009B0396" w:rsidP="00155219">
      <w:pPr>
        <w:rPr>
          <w:szCs w:val="20"/>
        </w:rPr>
      </w:pPr>
    </w:p>
    <w:p w14:paraId="53C5C457" w14:textId="4388F49A" w:rsidR="00D901A0" w:rsidRPr="00602EAF" w:rsidRDefault="002B121F" w:rsidP="00602EAF">
      <w:pPr>
        <w:pStyle w:val="NoteHeader"/>
        <w:rPr>
          <w:lang w:val="pt-BR"/>
        </w:rPr>
      </w:pPr>
      <w:r>
        <w:rPr>
          <w:lang w:val="pt-BR"/>
        </w:rPr>
        <w:t>11</w:t>
      </w:r>
      <w:r w:rsidR="00D901A0" w:rsidRPr="00602EAF">
        <w:rPr>
          <w:lang w:val="pt-BR"/>
        </w:rPr>
        <w:t xml:space="preserve">) Transactions relating to Retirement Benefits </w:t>
      </w:r>
    </w:p>
    <w:p w14:paraId="650A21B5" w14:textId="77777777" w:rsidR="00D901A0" w:rsidRPr="00F03BE9" w:rsidRDefault="00D901A0" w:rsidP="00155219"/>
    <w:p w14:paraId="59CCCA67" w14:textId="77657BF2" w:rsidR="00D901A0" w:rsidRPr="00155219" w:rsidRDefault="00D901A0" w:rsidP="00155219">
      <w:r w:rsidRPr="00602EAF">
        <w:t xml:space="preserve">As part of the terms and conditions of employment of its officers and other employees, the OPFCC and OCC offer retirement benefits. These benefits will not actually be payable until employees retire, but the OPFCC discloses the value of the payments that would need to be paid at the time that employees earn their future entitlement. </w:t>
      </w:r>
    </w:p>
    <w:p w14:paraId="4F642CAD" w14:textId="77777777" w:rsidR="008268B9" w:rsidRPr="00F03BE9" w:rsidRDefault="008268B9" w:rsidP="00155219"/>
    <w:p w14:paraId="71212FB9" w14:textId="420C6D70" w:rsidR="00D901A0" w:rsidRDefault="00D901A0" w:rsidP="00193CDE">
      <w:pPr>
        <w:rPr>
          <w:color w:val="990032"/>
          <w:sz w:val="22"/>
          <w:szCs w:val="22"/>
        </w:rPr>
      </w:pPr>
      <w:r w:rsidRPr="00602EAF">
        <w:rPr>
          <w:lang w:val="pt-BR"/>
        </w:rPr>
        <w:t xml:space="preserve">The group participates in two pension schemes: </w:t>
      </w:r>
    </w:p>
    <w:p w14:paraId="2130C78B" w14:textId="77777777" w:rsidR="00D901A0" w:rsidRDefault="00D901A0" w:rsidP="00155219"/>
    <w:p w14:paraId="6763D25F" w14:textId="77777777" w:rsidR="00D901A0" w:rsidRPr="00602EAF" w:rsidRDefault="00D901A0" w:rsidP="00193CDE">
      <w:pPr>
        <w:pStyle w:val="VAHeadingLevel3"/>
        <w:rPr>
          <w:lang w:val="pt-BR"/>
        </w:rPr>
      </w:pPr>
      <w:r w:rsidRPr="00602EAF">
        <w:rPr>
          <w:lang w:val="pt-BR"/>
        </w:rPr>
        <w:t xml:space="preserve">The Police Pension Scheme for Police Officers </w:t>
      </w:r>
    </w:p>
    <w:p w14:paraId="7B8A6D29" w14:textId="77777777" w:rsidR="00D901A0" w:rsidRPr="00F03BE9" w:rsidRDefault="00D901A0" w:rsidP="00155219"/>
    <w:p w14:paraId="088AB842" w14:textId="0F41C2A3" w:rsidR="00D901A0" w:rsidRPr="00602EAF" w:rsidRDefault="00D901A0" w:rsidP="00155219">
      <w:r w:rsidRPr="00602EAF">
        <w:t>The Police Pension Scheme (PPS) is an unfunded defined benefit scheme administered by XPS on behalf of OPFCC and is governed by</w:t>
      </w:r>
      <w:r w:rsidR="009B0396">
        <w:t>:</w:t>
      </w:r>
    </w:p>
    <w:p w14:paraId="4CCB60EA" w14:textId="77777777" w:rsidR="00D901A0" w:rsidRPr="00B554F9" w:rsidRDefault="00D901A0" w:rsidP="00B554F9">
      <w:pPr>
        <w:pStyle w:val="RedBullet"/>
        <w:ind w:left="714" w:hanging="357"/>
      </w:pPr>
      <w:r w:rsidRPr="00B554F9">
        <w:t>The Police Pension Regulations 1987 (as amended) and related regulations that are made under the Police Pensions Act 1976</w:t>
      </w:r>
    </w:p>
    <w:p w14:paraId="3151DFE7" w14:textId="77777777" w:rsidR="00D901A0" w:rsidRPr="00B554F9" w:rsidRDefault="00D901A0" w:rsidP="00B554F9">
      <w:pPr>
        <w:pStyle w:val="RedBullet"/>
        <w:ind w:left="714" w:hanging="357"/>
      </w:pPr>
      <w:r w:rsidRPr="00B554F9">
        <w:lastRenderedPageBreak/>
        <w:t>The new Police Pensions Scheme (NPPS) is governed by the Police Pensions Act 1976 (as amended by the Police Pension Regulations 2006)</w:t>
      </w:r>
    </w:p>
    <w:p w14:paraId="2D07742A" w14:textId="77777777" w:rsidR="00D901A0" w:rsidRPr="00B554F9" w:rsidRDefault="00D901A0" w:rsidP="00B554F9">
      <w:pPr>
        <w:pStyle w:val="RedBullet"/>
        <w:ind w:left="714" w:hanging="357"/>
      </w:pPr>
      <w:r w:rsidRPr="00B554F9">
        <w:t xml:space="preserve">The latest Pension Scheme (2015) is governed by the Police Pensions Act 1976 (as amended by the Police Pension Regulations 2015). </w:t>
      </w:r>
    </w:p>
    <w:p w14:paraId="12004188" w14:textId="77777777" w:rsidR="00D901A0" w:rsidRPr="00B554F9" w:rsidRDefault="00D901A0" w:rsidP="00155219"/>
    <w:p w14:paraId="2EDEC2D1" w14:textId="77777777" w:rsidR="00D901A0" w:rsidRPr="00B554F9" w:rsidRDefault="00D901A0" w:rsidP="00155219">
      <w:r w:rsidRPr="00B554F9">
        <w:t>The 1987 and 2006 schemes have now been closed to new entrants and payments from or to those pension schemes are only being made under the national pension remedy review.</w:t>
      </w:r>
    </w:p>
    <w:p w14:paraId="32E49F8C" w14:textId="77777777" w:rsidR="00D901A0" w:rsidRPr="00B554F9" w:rsidRDefault="00D901A0" w:rsidP="00155219"/>
    <w:p w14:paraId="07C98C9D" w14:textId="77777777" w:rsidR="00D901A0" w:rsidRPr="00B554F9" w:rsidRDefault="00D901A0" w:rsidP="00155219">
      <w:r w:rsidRPr="00B554F9">
        <w:t xml:space="preserve">All three pensions are unfunded which means there are no investment assets built up to meet pension’s liabilities, and cash has to be generated to meet actual pension payments as they eventually fall due. </w:t>
      </w:r>
    </w:p>
    <w:p w14:paraId="5A2412D7" w14:textId="77777777" w:rsidR="00D901A0" w:rsidRPr="00B554F9" w:rsidRDefault="00D901A0" w:rsidP="00155219"/>
    <w:p w14:paraId="34F3979A" w14:textId="77777777" w:rsidR="00D901A0" w:rsidRPr="00B554F9" w:rsidRDefault="00D901A0" w:rsidP="00155219">
      <w:r w:rsidRPr="00B554F9">
        <w:t xml:space="preserve">The funding arrangements for police officer pensions changed on 1 April 2006, when an employer’s contribution rate was set by the Home Office, which is charged to the Comprehensive Income and Expenditure Statement.  </w:t>
      </w:r>
    </w:p>
    <w:p w14:paraId="000BAC17" w14:textId="77777777" w:rsidR="00D901A0" w:rsidRPr="00B554F9" w:rsidRDefault="00D901A0" w:rsidP="00155219">
      <w:pPr>
        <w:rPr>
          <w:rFonts w:asciiTheme="minorHAnsi" w:hAnsiTheme="minorHAnsi" w:cstheme="minorHAnsi"/>
          <w:szCs w:val="20"/>
        </w:rPr>
      </w:pPr>
      <w:r w:rsidRPr="00B554F9">
        <w:rPr>
          <w:rFonts w:asciiTheme="minorHAnsi" w:hAnsiTheme="minorHAnsi" w:cstheme="minorHAnsi"/>
          <w:szCs w:val="20"/>
        </w:rPr>
        <w:t>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w:t>
      </w:r>
      <w:r w:rsidRPr="00F03BE9">
        <w:rPr>
          <w:rFonts w:asciiTheme="minorHAnsi" w:hAnsiTheme="minorHAnsi" w:cstheme="minorHAnsi"/>
          <w:sz w:val="22"/>
          <w:szCs w:val="22"/>
        </w:rPr>
        <w:t xml:space="preserve"> </w:t>
      </w:r>
      <w:r w:rsidRPr="00B554F9">
        <w:rPr>
          <w:rFonts w:asciiTheme="minorHAnsi" w:hAnsiTheme="minorHAnsi" w:cstheme="minorHAnsi"/>
          <w:szCs w:val="20"/>
        </w:rPr>
        <w:t xml:space="preserve">required to be transferred from the pension fund to the OPFCC, which then must repay the amount to central government. </w:t>
      </w:r>
    </w:p>
    <w:p w14:paraId="5AD5AA39" w14:textId="77777777" w:rsidR="00D901A0" w:rsidRPr="00F03BE9" w:rsidRDefault="00D901A0" w:rsidP="00155219">
      <w:pPr>
        <w:rPr>
          <w:rFonts w:asciiTheme="minorHAnsi" w:hAnsiTheme="minorHAnsi" w:cstheme="minorHAnsi"/>
          <w:sz w:val="22"/>
          <w:szCs w:val="22"/>
        </w:rPr>
      </w:pPr>
    </w:p>
    <w:p w14:paraId="51F02B91" w14:textId="77777777" w:rsidR="00D901A0" w:rsidRPr="00B554F9" w:rsidRDefault="00D901A0" w:rsidP="005D27AD">
      <w:pPr>
        <w:pStyle w:val="VAHeadingLevel3"/>
        <w:rPr>
          <w:lang w:val="pt-BR"/>
        </w:rPr>
      </w:pPr>
      <w:r w:rsidRPr="00B554F9">
        <w:rPr>
          <w:lang w:val="pt-BR"/>
        </w:rPr>
        <w:t xml:space="preserve">The Local Government Pension Scheme for civilian employees </w:t>
      </w:r>
    </w:p>
    <w:p w14:paraId="05C43F82" w14:textId="77777777" w:rsidR="00D901A0" w:rsidRPr="00F03BE9" w:rsidRDefault="00D901A0" w:rsidP="00155219"/>
    <w:p w14:paraId="54C50BEF" w14:textId="03E9DA7C" w:rsidR="00D901A0" w:rsidRPr="00B554F9" w:rsidRDefault="00D901A0" w:rsidP="00155219">
      <w:r w:rsidRPr="00B554F9">
        <w:t xml:space="preserve">The Local Government Pension Scheme for civilian employees, administered locally by </w:t>
      </w:r>
      <w:r w:rsidR="0021656B">
        <w:t>West Northamptonshire</w:t>
      </w:r>
      <w:r w:rsidRPr="00B554F9">
        <w:t xml:space="preserve"> Council, is a funded defined benefit final salary scheme, meaning that the OPFCC and employees pay contributions into a fund, calculated at a level intended to balance the pension’s liabilities with investment assets. </w:t>
      </w:r>
    </w:p>
    <w:p w14:paraId="2667A206" w14:textId="77777777" w:rsidR="00D901A0" w:rsidRPr="00B554F9" w:rsidRDefault="00D901A0" w:rsidP="00155219"/>
    <w:p w14:paraId="70BF7D9E" w14:textId="77777777" w:rsidR="00D901A0" w:rsidRPr="00B554F9" w:rsidRDefault="00D901A0" w:rsidP="00155219">
      <w:r w:rsidRPr="00B554F9">
        <w:t xml:space="preserve">Actuarial valuations of the fund are undertaken every three years to determine the contributions rates needed to meet its liabilities. </w:t>
      </w:r>
    </w:p>
    <w:p w14:paraId="7D431480" w14:textId="77777777" w:rsidR="00D901A0" w:rsidRPr="00B554F9" w:rsidRDefault="00D901A0" w:rsidP="00155219"/>
    <w:p w14:paraId="11766751" w14:textId="77777777" w:rsidR="00D901A0" w:rsidRPr="00B554F9" w:rsidRDefault="00D901A0" w:rsidP="00155219">
      <w:r w:rsidRPr="00B554F9">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66648CC" w14:textId="77777777" w:rsidR="00D901A0" w:rsidRPr="00B554F9" w:rsidRDefault="00D901A0" w:rsidP="00155219"/>
    <w:p w14:paraId="1D0380B2" w14:textId="77777777" w:rsidR="00D901A0" w:rsidRPr="00B554F9" w:rsidRDefault="00D901A0" w:rsidP="00155219">
      <w:r w:rsidRPr="00B554F9">
        <w:t xml:space="preserve">The Balance Sheet discloses the OPFCC’s net liability in relation to retirement benefits. The figures are based on the actuary’s latest estimate. </w:t>
      </w:r>
    </w:p>
    <w:p w14:paraId="2A6CE430" w14:textId="77777777" w:rsidR="00D901A0" w:rsidRPr="00B554F9" w:rsidRDefault="00D901A0" w:rsidP="005D27AD">
      <w:pPr>
        <w:tabs>
          <w:tab w:val="left" w:pos="4820"/>
        </w:tabs>
      </w:pPr>
    </w:p>
    <w:p w14:paraId="3881733C" w14:textId="71CF26D8" w:rsidR="00D901A0" w:rsidRDefault="00D901A0" w:rsidP="00155219">
      <w:pPr>
        <w:rPr>
          <w:sz w:val="22"/>
          <w:szCs w:val="22"/>
        </w:rPr>
      </w:pPr>
      <w:r w:rsidRPr="00B554F9">
        <w:t xml:space="preserve">Notes 37 and 38 to the Core Financial Statements provide further information about the pension schemes. </w:t>
      </w:r>
    </w:p>
    <w:p w14:paraId="5A4D4E61" w14:textId="77777777" w:rsidR="008268B9" w:rsidRDefault="008268B9" w:rsidP="00155219"/>
    <w:p w14:paraId="7DC5B51B" w14:textId="77777777" w:rsidR="008973EF" w:rsidRDefault="008973EF" w:rsidP="00155219"/>
    <w:p w14:paraId="17FC6115" w14:textId="77777777" w:rsidR="008973EF" w:rsidRDefault="008973EF" w:rsidP="005D27AD">
      <w:pPr>
        <w:tabs>
          <w:tab w:val="left" w:pos="4820"/>
        </w:tabs>
      </w:pPr>
    </w:p>
    <w:p w14:paraId="0B3975AE" w14:textId="77777777" w:rsidR="00636A47" w:rsidRDefault="00636A47" w:rsidP="005D27AD">
      <w:pPr>
        <w:tabs>
          <w:tab w:val="left" w:pos="4820"/>
        </w:tabs>
      </w:pPr>
    </w:p>
    <w:p w14:paraId="20237E17" w14:textId="77777777" w:rsidR="00054718" w:rsidRDefault="00054718" w:rsidP="00602EAF">
      <w:pPr>
        <w:pStyle w:val="NoteHeader"/>
        <w:rPr>
          <w:lang w:val="pt-BR"/>
        </w:rPr>
      </w:pPr>
    </w:p>
    <w:p w14:paraId="6DD33603" w14:textId="1231EB7B" w:rsidR="00D901A0" w:rsidRPr="00602EAF" w:rsidRDefault="002B121F" w:rsidP="00602EAF">
      <w:pPr>
        <w:pStyle w:val="NoteHeader"/>
        <w:rPr>
          <w:lang w:val="pt-BR"/>
        </w:rPr>
      </w:pPr>
      <w:r>
        <w:rPr>
          <w:lang w:val="pt-BR"/>
        </w:rPr>
        <w:t>12</w:t>
      </w:r>
      <w:r w:rsidR="00D901A0" w:rsidRPr="00602EAF">
        <w:rPr>
          <w:lang w:val="pt-BR"/>
        </w:rPr>
        <w:t xml:space="preserve">) Leasing </w:t>
      </w:r>
    </w:p>
    <w:p w14:paraId="5ACC0347" w14:textId="77777777" w:rsidR="00D901A0" w:rsidRPr="00F03BE9" w:rsidRDefault="00D901A0" w:rsidP="00155219"/>
    <w:p w14:paraId="5FA6B41A" w14:textId="77777777" w:rsidR="00D901A0" w:rsidRPr="00D1610F" w:rsidRDefault="00D901A0" w:rsidP="00155219">
      <w:r w:rsidRPr="00B554F9">
        <w:t xml:space="preserve">These accounts have been prepared in accordance with IAS 17. Rentals paid under operating leases have been accrued and accounted for in the period to which they relate. Further information on Operating Leases is available </w:t>
      </w:r>
      <w:r w:rsidRPr="00D1610F">
        <w:t xml:space="preserve">in Note 22. </w:t>
      </w:r>
    </w:p>
    <w:p w14:paraId="19582636" w14:textId="77777777" w:rsidR="00D901A0" w:rsidRPr="00D1610F" w:rsidRDefault="00D901A0" w:rsidP="00155219"/>
    <w:p w14:paraId="65BE9425" w14:textId="2AC0D9D9" w:rsidR="00D901A0" w:rsidRPr="00D1610F" w:rsidRDefault="00D901A0" w:rsidP="00155219">
      <w:r w:rsidRPr="00D1610F">
        <w:t xml:space="preserve">The organisation assesses its position on operating leases and lessor arrangements on an annual basis. It recognises lessor arrangements as the minimum payments on the asset and the residual value of that asset. Operating leases are not recognised as </w:t>
      </w:r>
      <w:r w:rsidR="009B0396" w:rsidRPr="00D1610F">
        <w:t>assets,</w:t>
      </w:r>
      <w:r w:rsidRPr="00D1610F">
        <w:t xml:space="preserve"> but the associated repayments are recognised as expense costs within the Comprehensive Income &amp; Expenditure Statement. </w:t>
      </w:r>
    </w:p>
    <w:p w14:paraId="5B4647ED" w14:textId="77777777" w:rsidR="00D901A0" w:rsidRPr="00D1610F" w:rsidRDefault="00D901A0" w:rsidP="00155219">
      <w:pPr>
        <w:rPr>
          <w:sz w:val="22"/>
          <w:szCs w:val="22"/>
        </w:rPr>
      </w:pPr>
    </w:p>
    <w:p w14:paraId="32422BEF" w14:textId="2A3B0AA5" w:rsidR="00D901A0" w:rsidRPr="00D1610F" w:rsidRDefault="00D901A0" w:rsidP="00602EAF">
      <w:pPr>
        <w:pStyle w:val="NoteHeader"/>
        <w:rPr>
          <w:lang w:val="pt-BR"/>
        </w:rPr>
      </w:pPr>
      <w:r w:rsidRPr="00D1610F">
        <w:rPr>
          <w:lang w:val="pt-BR"/>
        </w:rPr>
        <w:t>1</w:t>
      </w:r>
      <w:r w:rsidR="002B121F">
        <w:rPr>
          <w:lang w:val="pt-BR"/>
        </w:rPr>
        <w:t>3</w:t>
      </w:r>
      <w:r w:rsidRPr="00D1610F">
        <w:rPr>
          <w:lang w:val="pt-BR"/>
        </w:rPr>
        <w:t xml:space="preserve">) Joint Arrangements </w:t>
      </w:r>
    </w:p>
    <w:p w14:paraId="2F9C4BB0" w14:textId="77777777" w:rsidR="00D901A0" w:rsidRPr="00D1610F" w:rsidRDefault="00D901A0" w:rsidP="00155219"/>
    <w:p w14:paraId="1A106CF1" w14:textId="650B9B43" w:rsidR="00D901A0" w:rsidRPr="00D1610F" w:rsidRDefault="00D901A0" w:rsidP="00155219">
      <w:pPr>
        <w:rPr>
          <w:szCs w:val="20"/>
        </w:rPr>
      </w:pPr>
      <w:r w:rsidRPr="00D1610F">
        <w:rPr>
          <w:szCs w:val="20"/>
        </w:rPr>
        <w:t>The OCC has interests in a number of Joint Arrangements.  All of these collaborations are governed by formal Section 22</w:t>
      </w:r>
      <w:r w:rsidR="00155219">
        <w:rPr>
          <w:szCs w:val="20"/>
        </w:rPr>
        <w:t>A</w:t>
      </w:r>
      <w:r w:rsidRPr="00D1610F">
        <w:rPr>
          <w:szCs w:val="20"/>
        </w:rPr>
        <w:t xml:space="preserve"> Agreements and the OPFCC shares are fully incorporated in the Comprehensive Income &amp; Expenditure Statement, Balance Sheet, Movement in Reserves Statement and the Cash Flow Statement, as required by the Code. Note 40 </w:t>
      </w:r>
      <w:r w:rsidR="00D158EF" w:rsidRPr="00D1610F">
        <w:rPr>
          <w:szCs w:val="20"/>
        </w:rPr>
        <w:t xml:space="preserve">in the OPFCC accounts </w:t>
      </w:r>
      <w:r w:rsidRPr="00D1610F">
        <w:rPr>
          <w:szCs w:val="20"/>
        </w:rPr>
        <w:t>provides further details.</w:t>
      </w:r>
    </w:p>
    <w:p w14:paraId="03301067" w14:textId="77777777" w:rsidR="00D901A0" w:rsidRPr="00D1610F" w:rsidRDefault="00D901A0" w:rsidP="00155219"/>
    <w:p w14:paraId="65F1F165" w14:textId="3C94770A" w:rsidR="00D901A0" w:rsidRPr="00D1610F" w:rsidRDefault="00D901A0" w:rsidP="00B554F9">
      <w:pPr>
        <w:pStyle w:val="NoteHeader"/>
        <w:rPr>
          <w:lang w:val="pt-BR"/>
        </w:rPr>
      </w:pPr>
      <w:r w:rsidRPr="00D1610F">
        <w:rPr>
          <w:lang w:val="pt-BR"/>
        </w:rPr>
        <w:t>1</w:t>
      </w:r>
      <w:r w:rsidR="002B121F">
        <w:rPr>
          <w:lang w:val="pt-BR"/>
        </w:rPr>
        <w:t>4</w:t>
      </w:r>
      <w:r w:rsidRPr="00D1610F">
        <w:rPr>
          <w:lang w:val="pt-BR"/>
        </w:rPr>
        <w:t xml:space="preserve">) Value Added Tax </w:t>
      </w:r>
      <w:r w:rsidR="003C6B62">
        <w:rPr>
          <w:lang w:val="pt-BR"/>
        </w:rPr>
        <w:t>(VAT)</w:t>
      </w:r>
    </w:p>
    <w:p w14:paraId="0DC68F75" w14:textId="77777777" w:rsidR="00D901A0" w:rsidRPr="00D1610F" w:rsidRDefault="00D901A0" w:rsidP="00155219"/>
    <w:p w14:paraId="157A24DE" w14:textId="5A1AAC39" w:rsidR="00D901A0" w:rsidRPr="00D1610F" w:rsidRDefault="00D901A0" w:rsidP="00155219">
      <w:pPr>
        <w:rPr>
          <w:szCs w:val="20"/>
        </w:rPr>
      </w:pPr>
      <w:r w:rsidRPr="00D1610F">
        <w:rPr>
          <w:szCs w:val="20"/>
        </w:rPr>
        <w:t xml:space="preserve">VAT is included in the Accounts of the OCC, whether of a capital or revenue nature, only to the extent that it is not recoverable. </w:t>
      </w:r>
    </w:p>
    <w:p w14:paraId="09E51651" w14:textId="77777777" w:rsidR="00D901A0" w:rsidRPr="00D1610F" w:rsidRDefault="00D901A0" w:rsidP="00155219"/>
    <w:p w14:paraId="3495E7B6" w14:textId="07ACA3FA" w:rsidR="00D901A0" w:rsidRPr="00D1610F" w:rsidRDefault="00D901A0" w:rsidP="00B554F9">
      <w:pPr>
        <w:pStyle w:val="NoteHeader"/>
        <w:rPr>
          <w:lang w:val="pt-BR"/>
        </w:rPr>
      </w:pPr>
      <w:r w:rsidRPr="00D1610F">
        <w:rPr>
          <w:lang w:val="pt-BR"/>
        </w:rPr>
        <w:t>1</w:t>
      </w:r>
      <w:r w:rsidR="002B121F">
        <w:rPr>
          <w:lang w:val="pt-BR"/>
        </w:rPr>
        <w:t>5</w:t>
      </w:r>
      <w:r w:rsidRPr="00D1610F">
        <w:rPr>
          <w:lang w:val="pt-BR"/>
        </w:rPr>
        <w:t xml:space="preserve">) Contingent Assets and Contingent Liabilities </w:t>
      </w:r>
    </w:p>
    <w:p w14:paraId="75E6F320" w14:textId="77777777" w:rsidR="00D901A0" w:rsidRPr="00D1610F" w:rsidRDefault="00D901A0" w:rsidP="00155219"/>
    <w:p w14:paraId="380A13CD" w14:textId="7B59FA37" w:rsidR="00D901A0" w:rsidRPr="00B554F9" w:rsidRDefault="00D901A0" w:rsidP="00155219">
      <w:pPr>
        <w:rPr>
          <w:szCs w:val="20"/>
        </w:rPr>
      </w:pPr>
      <w:r w:rsidRPr="00D1610F">
        <w:rPr>
          <w:szCs w:val="20"/>
        </w:rPr>
        <w:t>These are not recognised in the accounting statements but disclosed in the Notes to the Accounts</w:t>
      </w:r>
      <w:r w:rsidR="00D158EF" w:rsidRPr="00D1610F">
        <w:rPr>
          <w:szCs w:val="20"/>
        </w:rPr>
        <w:t xml:space="preserve"> where they have been identified</w:t>
      </w:r>
      <w:r w:rsidR="0021656B">
        <w:rPr>
          <w:szCs w:val="20"/>
        </w:rPr>
        <w:t>.</w:t>
      </w:r>
    </w:p>
    <w:p w14:paraId="75A67F01" w14:textId="77777777" w:rsidR="00D901A0" w:rsidRDefault="00D901A0" w:rsidP="00155219"/>
    <w:p w14:paraId="0F6339E9" w14:textId="047C48CA" w:rsidR="00D901A0" w:rsidRPr="00B554F9" w:rsidRDefault="00D901A0" w:rsidP="00B554F9">
      <w:pPr>
        <w:pStyle w:val="NoteHeader"/>
        <w:rPr>
          <w:lang w:val="pt-BR"/>
        </w:rPr>
      </w:pPr>
      <w:r w:rsidRPr="00B554F9">
        <w:rPr>
          <w:lang w:val="pt-BR"/>
        </w:rPr>
        <w:t>1</w:t>
      </w:r>
      <w:r w:rsidR="002B121F">
        <w:rPr>
          <w:lang w:val="pt-BR"/>
        </w:rPr>
        <w:t>6</w:t>
      </w:r>
      <w:r w:rsidRPr="00B554F9">
        <w:rPr>
          <w:lang w:val="pt-BR"/>
        </w:rPr>
        <w:t xml:space="preserve">) Exceptional Items and Prior Period Adjustments </w:t>
      </w:r>
    </w:p>
    <w:p w14:paraId="6CB14C86" w14:textId="77777777" w:rsidR="00D901A0" w:rsidRPr="00B554F9" w:rsidRDefault="00D901A0" w:rsidP="00155219">
      <w:pPr>
        <w:rPr>
          <w:lang w:val="pt-BR"/>
        </w:rPr>
      </w:pPr>
    </w:p>
    <w:p w14:paraId="68D1A950" w14:textId="77777777" w:rsidR="00D901A0" w:rsidRPr="00B554F9" w:rsidRDefault="00D901A0" w:rsidP="00155219">
      <w:pPr>
        <w:rPr>
          <w:rFonts w:asciiTheme="minorHAnsi" w:hAnsiTheme="minorHAnsi"/>
          <w:szCs w:val="20"/>
        </w:rPr>
      </w:pPr>
      <w:r w:rsidRPr="00B554F9">
        <w:rPr>
          <w:rFonts w:asciiTheme="minorHAnsi" w:hAnsiTheme="minorHAnsi"/>
          <w:szCs w:val="20"/>
        </w:rPr>
        <w:t xml:space="preserve">Exceptional items are included in the cost of the service to which they relate or on the face of the Comprehensive Income and Expenditure Statement if that degree of prominence is necessary in order to give a fair presentation of the Accounts. </w:t>
      </w:r>
    </w:p>
    <w:p w14:paraId="4E594CFC" w14:textId="77777777" w:rsidR="00D901A0" w:rsidRPr="00B554F9" w:rsidRDefault="00D901A0" w:rsidP="00155219">
      <w:pPr>
        <w:rPr>
          <w:rFonts w:asciiTheme="minorHAnsi" w:hAnsiTheme="minorHAnsi"/>
          <w:szCs w:val="20"/>
        </w:rPr>
      </w:pPr>
    </w:p>
    <w:p w14:paraId="52EB411A" w14:textId="278990DE" w:rsidR="00D901A0" w:rsidRPr="00B554F9" w:rsidRDefault="00D901A0" w:rsidP="00155219">
      <w:pPr>
        <w:rPr>
          <w:rFonts w:asciiTheme="minorHAnsi" w:hAnsiTheme="minorHAnsi" w:cstheme="minorHAnsi"/>
          <w:szCs w:val="20"/>
        </w:rPr>
      </w:pPr>
      <w:r w:rsidRPr="00B554F9">
        <w:rPr>
          <w:rFonts w:asciiTheme="minorHAnsi" w:hAnsiTheme="minorHAnsi" w:cstheme="minorHAnsi"/>
          <w:szCs w:val="20"/>
        </w:rPr>
        <w:t xml:space="preserve">Extraordinary items are disclosed and described on the Comprehensive Income and Expenditure Statement after dealing with all items within the ordinary activities of the OCC. </w:t>
      </w:r>
    </w:p>
    <w:p w14:paraId="03069D52" w14:textId="77777777" w:rsidR="009B0396" w:rsidRDefault="009B0396" w:rsidP="00155219">
      <w:pPr>
        <w:rPr>
          <w:rFonts w:asciiTheme="minorHAnsi" w:hAnsiTheme="minorHAnsi" w:cstheme="minorHAnsi"/>
          <w:szCs w:val="20"/>
        </w:rPr>
      </w:pPr>
    </w:p>
    <w:p w14:paraId="38144D58" w14:textId="177E53EF" w:rsidR="00D901A0" w:rsidRDefault="00D901A0" w:rsidP="00155219">
      <w:r w:rsidRPr="00B554F9">
        <w:rPr>
          <w:rFonts w:asciiTheme="minorHAnsi" w:hAnsiTheme="minorHAnsi" w:cstheme="minorHAnsi"/>
          <w:szCs w:val="20"/>
        </w:rPr>
        <w:t xml:space="preserve">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 </w:t>
      </w:r>
    </w:p>
    <w:p w14:paraId="38365F0F" w14:textId="77777777" w:rsidR="00486CE7" w:rsidRPr="00F03BE9" w:rsidRDefault="00486CE7" w:rsidP="00155219"/>
    <w:p w14:paraId="7DE7F76A" w14:textId="577EFECD" w:rsidR="00D901A0" w:rsidRPr="00B554F9" w:rsidRDefault="00D901A0" w:rsidP="00B554F9">
      <w:pPr>
        <w:pStyle w:val="NoteHeader"/>
        <w:rPr>
          <w:lang w:val="pt-BR"/>
        </w:rPr>
      </w:pPr>
      <w:r w:rsidRPr="00B554F9">
        <w:rPr>
          <w:lang w:val="pt-BR"/>
        </w:rPr>
        <w:t>1</w:t>
      </w:r>
      <w:r w:rsidR="002B121F">
        <w:rPr>
          <w:lang w:val="pt-BR"/>
        </w:rPr>
        <w:t>7</w:t>
      </w:r>
      <w:r w:rsidRPr="00B554F9">
        <w:rPr>
          <w:lang w:val="pt-BR"/>
        </w:rPr>
        <w:t xml:space="preserve">) Events After the Balance Sheet Date </w:t>
      </w:r>
    </w:p>
    <w:p w14:paraId="470BA487" w14:textId="77777777" w:rsidR="00D901A0" w:rsidRPr="00F03BE9" w:rsidRDefault="00D901A0" w:rsidP="00155219"/>
    <w:p w14:paraId="50C97944" w14:textId="6466C706" w:rsidR="00D901A0" w:rsidRPr="00F03BE9" w:rsidRDefault="00D901A0" w:rsidP="00155219">
      <w:r w:rsidRPr="00B554F9">
        <w:rPr>
          <w:szCs w:val="20"/>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06D58D56" w14:textId="77777777" w:rsidR="00D901A0" w:rsidRPr="00F03BE9" w:rsidRDefault="00D901A0" w:rsidP="00155219"/>
    <w:p w14:paraId="499BE167" w14:textId="6B4F5EA4" w:rsidR="00D901A0" w:rsidRPr="00B554F9" w:rsidRDefault="00D158EF" w:rsidP="00B554F9">
      <w:pPr>
        <w:pStyle w:val="NoteHeader"/>
        <w:rPr>
          <w:lang w:val="pt-BR"/>
        </w:rPr>
      </w:pPr>
      <w:r>
        <w:rPr>
          <w:lang w:val="pt-BR"/>
        </w:rPr>
        <w:t>1</w:t>
      </w:r>
      <w:r w:rsidR="002B121F">
        <w:rPr>
          <w:lang w:val="pt-BR"/>
        </w:rPr>
        <w:t>8</w:t>
      </w:r>
      <w:r w:rsidR="00D901A0" w:rsidRPr="00B554F9">
        <w:rPr>
          <w:lang w:val="pt-BR"/>
        </w:rPr>
        <w:t xml:space="preserve">) Estimation Techniques Used </w:t>
      </w:r>
    </w:p>
    <w:p w14:paraId="7C22F8FE" w14:textId="77777777" w:rsidR="00D901A0" w:rsidRPr="00B554F9" w:rsidRDefault="00D901A0" w:rsidP="00155219">
      <w:pPr>
        <w:rPr>
          <w:lang w:val="pt-BR"/>
        </w:rPr>
      </w:pPr>
    </w:p>
    <w:p w14:paraId="64B71A8A" w14:textId="77777777" w:rsidR="00D901A0" w:rsidRPr="00B554F9" w:rsidRDefault="00D901A0" w:rsidP="00155219">
      <w:pPr>
        <w:rPr>
          <w:rFonts w:asciiTheme="minorHAnsi" w:hAnsiTheme="minorHAnsi" w:cstheme="minorHAnsi"/>
          <w:szCs w:val="20"/>
        </w:rPr>
      </w:pPr>
      <w:r w:rsidRPr="00B554F9">
        <w:rPr>
          <w:rFonts w:asciiTheme="minorHAnsi" w:hAnsiTheme="minorHAnsi"/>
          <w:szCs w:val="20"/>
        </w:rPr>
        <w:t xml:space="preserve">The Code distinguishes between accounting concepts and estimation techniques that have been used, when required. The techniques below describe the steps taken to arrive at key monetary values in the Statement of Accounts: </w:t>
      </w:r>
    </w:p>
    <w:p w14:paraId="5F81FA1F" w14:textId="4F6BFF9A" w:rsidR="00D901A0" w:rsidRPr="00B554F9" w:rsidRDefault="00D901A0" w:rsidP="009B0396">
      <w:pPr>
        <w:pStyle w:val="RedBullet"/>
      </w:pPr>
      <w:r w:rsidRPr="00B554F9">
        <w:t xml:space="preserve">Payroll Creditors i.e. overtime – average overtime rates </w:t>
      </w:r>
    </w:p>
    <w:p w14:paraId="186556DF" w14:textId="119504ED" w:rsidR="00D901A0" w:rsidRPr="00B554F9" w:rsidRDefault="00D901A0" w:rsidP="009B0396">
      <w:pPr>
        <w:pStyle w:val="RedBullet"/>
      </w:pPr>
      <w:r w:rsidRPr="00B554F9">
        <w:t xml:space="preserve">IAS 19 Valuation – actuarial valuations of future pension liabilities are provided by independent actuaries </w:t>
      </w:r>
    </w:p>
    <w:p w14:paraId="02C27A2A" w14:textId="72EA2AE1" w:rsidR="00D901A0" w:rsidRPr="00B554F9" w:rsidRDefault="00D901A0" w:rsidP="009B0396">
      <w:pPr>
        <w:pStyle w:val="RedBullet"/>
      </w:pPr>
      <w:r w:rsidRPr="00B554F9">
        <w:t xml:space="preserve">Bad Debts are valued at the receivable value. Therefore, the cost of collection of debt assessed as recoverable are deducted from the outstanding value. </w:t>
      </w:r>
    </w:p>
    <w:p w14:paraId="79D545DE" w14:textId="5B5E623A" w:rsidR="00D901A0" w:rsidRPr="00B554F9" w:rsidRDefault="00D901A0" w:rsidP="009B0396">
      <w:pPr>
        <w:pStyle w:val="RedBullet"/>
        <w:rPr>
          <w:color w:val="000000"/>
        </w:rPr>
      </w:pPr>
      <w:r w:rsidRPr="00B554F9">
        <w:t>Property assets are valued at Market Value (MV) and Depreciated Replacement Cost (DRC</w:t>
      </w:r>
      <w:r w:rsidR="00A41F75" w:rsidRPr="00B554F9">
        <w:t>) but</w:t>
      </w:r>
      <w:r w:rsidRPr="00B554F9">
        <w:t xml:space="preserve"> held in Fixed Assets at the depreciated cost assessed as MV/DRC less the cumulative depreciation over the Useful Economic Life of that asset. </w:t>
      </w:r>
    </w:p>
    <w:p w14:paraId="05E640BA" w14:textId="77777777" w:rsidR="00D901A0" w:rsidRPr="00F03BE9" w:rsidRDefault="00D901A0" w:rsidP="00155219"/>
    <w:p w14:paraId="6D4DD956" w14:textId="058E1419" w:rsidR="00D901A0" w:rsidRPr="00B554F9" w:rsidRDefault="00D158EF" w:rsidP="00B554F9">
      <w:pPr>
        <w:pStyle w:val="NoteHeader"/>
        <w:rPr>
          <w:lang w:val="pt-BR"/>
        </w:rPr>
      </w:pPr>
      <w:r>
        <w:rPr>
          <w:lang w:val="pt-BR"/>
        </w:rPr>
        <w:t>1</w:t>
      </w:r>
      <w:r w:rsidR="002B121F">
        <w:rPr>
          <w:lang w:val="pt-BR"/>
        </w:rPr>
        <w:t>9</w:t>
      </w:r>
      <w:r w:rsidR="00D901A0" w:rsidRPr="00B554F9">
        <w:rPr>
          <w:lang w:val="pt-BR"/>
        </w:rPr>
        <w:t xml:space="preserve">) Comparison with Previous Years </w:t>
      </w:r>
    </w:p>
    <w:p w14:paraId="5E97BA2B" w14:textId="77777777" w:rsidR="00D901A0" w:rsidRPr="00F03BE9" w:rsidRDefault="00D901A0" w:rsidP="00155219"/>
    <w:p w14:paraId="7DCDDC42" w14:textId="77777777" w:rsidR="00D901A0" w:rsidRDefault="00D901A0" w:rsidP="00155219">
      <w:pPr>
        <w:rPr>
          <w:color w:val="000000"/>
        </w:rPr>
      </w:pPr>
      <w:r w:rsidRPr="00F03BE9">
        <w:rPr>
          <w:color w:val="000000"/>
        </w:rPr>
        <w:t xml:space="preserve">Comparative figures for the previous financial year are shown in the Accounts. The same items are treated alike from one year to the next, except where notes explain otherwise. </w:t>
      </w:r>
    </w:p>
    <w:p w14:paraId="5D87CB9B" w14:textId="77777777" w:rsidR="00D901A0" w:rsidRPr="00F03BE9" w:rsidRDefault="00D901A0" w:rsidP="00155219">
      <w:pPr>
        <w:rPr>
          <w:color w:val="000000"/>
        </w:rPr>
      </w:pPr>
    </w:p>
    <w:p w14:paraId="3D9AEE6C" w14:textId="6573D97F" w:rsidR="00D901A0" w:rsidRPr="00B554F9" w:rsidRDefault="002B121F" w:rsidP="00B554F9">
      <w:pPr>
        <w:pStyle w:val="NoteHeader"/>
        <w:rPr>
          <w:lang w:val="pt-BR"/>
        </w:rPr>
      </w:pPr>
      <w:r>
        <w:rPr>
          <w:lang w:val="pt-BR"/>
        </w:rPr>
        <w:t>20</w:t>
      </w:r>
      <w:r w:rsidR="00D901A0" w:rsidRPr="00B554F9">
        <w:rPr>
          <w:lang w:val="pt-BR"/>
        </w:rPr>
        <w:t xml:space="preserve">) Cash and Cash Equivalents </w:t>
      </w:r>
    </w:p>
    <w:p w14:paraId="7BB97B66" w14:textId="77777777" w:rsidR="00D901A0" w:rsidRPr="00B554F9" w:rsidRDefault="00D901A0" w:rsidP="00155219">
      <w:pPr>
        <w:rPr>
          <w:lang w:val="pt-BR"/>
        </w:rPr>
      </w:pPr>
    </w:p>
    <w:p w14:paraId="15BFF3EA" w14:textId="77777777" w:rsidR="00D901A0" w:rsidRPr="00B554F9" w:rsidRDefault="00D901A0" w:rsidP="00155219">
      <w:pPr>
        <w:rPr>
          <w:rFonts w:cstheme="minorHAnsi"/>
          <w:color w:val="000000"/>
          <w:szCs w:val="20"/>
        </w:rPr>
      </w:pPr>
      <w:r w:rsidRPr="00B554F9">
        <w:rPr>
          <w:rFonts w:cstheme="minorHAnsi"/>
          <w:color w:val="000000"/>
          <w:szCs w:val="20"/>
        </w:rPr>
        <w:t xml:space="preserve">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OPFCC’s cash management. </w:t>
      </w:r>
    </w:p>
    <w:p w14:paraId="7FFD1538" w14:textId="77777777" w:rsidR="00D901A0" w:rsidRPr="00F03BE9" w:rsidRDefault="00D901A0" w:rsidP="00155219">
      <w:pPr>
        <w:rPr>
          <w:rFonts w:cstheme="minorHAnsi"/>
          <w:color w:val="000000"/>
        </w:rPr>
      </w:pPr>
    </w:p>
    <w:p w14:paraId="2B2414E8" w14:textId="4F92E510" w:rsidR="00D901A0" w:rsidRPr="00B554F9" w:rsidRDefault="002B121F" w:rsidP="00B554F9">
      <w:pPr>
        <w:pStyle w:val="NoteHeader"/>
        <w:rPr>
          <w:lang w:val="pt-BR"/>
        </w:rPr>
      </w:pPr>
      <w:r>
        <w:rPr>
          <w:lang w:val="pt-BR"/>
        </w:rPr>
        <w:t>21</w:t>
      </w:r>
      <w:r w:rsidR="00D901A0" w:rsidRPr="00B554F9">
        <w:rPr>
          <w:lang w:val="pt-BR"/>
        </w:rPr>
        <w:t xml:space="preserve">) Employee Benefits </w:t>
      </w:r>
    </w:p>
    <w:p w14:paraId="2242E306" w14:textId="77777777" w:rsidR="00D901A0" w:rsidRPr="00B554F9" w:rsidRDefault="00D901A0" w:rsidP="00155219">
      <w:pPr>
        <w:rPr>
          <w:lang w:val="pt-BR"/>
        </w:rPr>
      </w:pPr>
    </w:p>
    <w:p w14:paraId="7B0C0F61" w14:textId="27842AF5" w:rsidR="00D901A0" w:rsidRDefault="00D901A0" w:rsidP="00155219">
      <w:pPr>
        <w:rPr>
          <w:rFonts w:cstheme="minorHAnsi"/>
          <w:color w:val="000000"/>
        </w:rPr>
      </w:pPr>
      <w:r w:rsidRPr="00F03BE9">
        <w:rPr>
          <w:rFonts w:cstheme="minorHAnsi"/>
          <w:color w:val="000000"/>
        </w:rPr>
        <w:t xml:space="preserve">Short-term employee benefits are those due to be settled within 12 months of the year-end. They include such benefits as wages and salaries, annual leave and flexible working hours, leave for current employees, and are recognised as an expense for services in the year in which employees render service to the OCC. An accrual is made for the cost of holiday entitlements (or any form of leave, </w:t>
      </w:r>
      <w:r w:rsidR="00A41F75" w:rsidRPr="00F03BE9">
        <w:rPr>
          <w:rFonts w:cstheme="minorHAnsi"/>
          <w:color w:val="000000"/>
        </w:rPr>
        <w:t>e.g.,</w:t>
      </w:r>
      <w:r w:rsidRPr="00F03BE9">
        <w:rPr>
          <w:rFonts w:cstheme="minorHAnsi"/>
          <w:color w:val="000000"/>
        </w:rPr>
        <w:t xml:space="preserve"> time off in lieu, flexi-time or annual leave) earned by employees but not taken before the year-end that employees can carry forward into the next financial year. </w:t>
      </w:r>
    </w:p>
    <w:p w14:paraId="52749F54" w14:textId="77777777" w:rsidR="00D901A0" w:rsidRPr="00F03BE9" w:rsidRDefault="00D901A0" w:rsidP="00155219">
      <w:pPr>
        <w:rPr>
          <w:rFonts w:cstheme="minorHAnsi"/>
          <w:color w:val="000000"/>
        </w:rPr>
      </w:pPr>
    </w:p>
    <w:p w14:paraId="5F113D65" w14:textId="7DF46B5E" w:rsidR="00D901A0" w:rsidRPr="00B554F9" w:rsidRDefault="00D901A0" w:rsidP="00B554F9">
      <w:pPr>
        <w:pStyle w:val="NoteHeader"/>
        <w:rPr>
          <w:lang w:val="pt-BR"/>
        </w:rPr>
      </w:pPr>
      <w:r w:rsidRPr="00B554F9">
        <w:rPr>
          <w:lang w:val="pt-BR"/>
        </w:rPr>
        <w:t>2</w:t>
      </w:r>
      <w:r w:rsidR="002B121F">
        <w:rPr>
          <w:lang w:val="pt-BR"/>
        </w:rPr>
        <w:t>2</w:t>
      </w:r>
      <w:r w:rsidRPr="00B554F9">
        <w:rPr>
          <w:lang w:val="pt-BR"/>
        </w:rPr>
        <w:t xml:space="preserve">) Actuarial Gains and Losses </w:t>
      </w:r>
    </w:p>
    <w:p w14:paraId="336D2A67" w14:textId="77777777" w:rsidR="00D901A0" w:rsidRPr="00B554F9" w:rsidRDefault="00D901A0" w:rsidP="00155219">
      <w:pPr>
        <w:rPr>
          <w:lang w:val="pt-BR"/>
        </w:rPr>
      </w:pPr>
    </w:p>
    <w:p w14:paraId="341356DD" w14:textId="28EE321B" w:rsidR="008268B9" w:rsidRDefault="00D901A0" w:rsidP="00155219">
      <w:pPr>
        <w:rPr>
          <w:rFonts w:cstheme="minorHAnsi"/>
          <w:color w:val="000000"/>
        </w:rPr>
      </w:pPr>
      <w:r w:rsidRPr="00F03BE9">
        <w:rPr>
          <w:rFonts w:cstheme="minorHAnsi"/>
          <w:color w:val="000000"/>
        </w:rPr>
        <w:t xml:space="preserve">Changes in the net pensions liability that arise because events have not coincided with assumptions made at the last actuarial valuation or because the actuaries have updated their assumptions are debited to Other Comprehensive Income and Expenditure in the Comprehensive Income and Expenditure Statement. </w:t>
      </w:r>
    </w:p>
    <w:p w14:paraId="209A82CD" w14:textId="77777777" w:rsidR="008268B9" w:rsidRPr="00F03BE9" w:rsidRDefault="008268B9" w:rsidP="00155219">
      <w:pPr>
        <w:rPr>
          <w:rFonts w:cstheme="minorHAnsi"/>
          <w:color w:val="000000"/>
        </w:rPr>
      </w:pPr>
    </w:p>
    <w:p w14:paraId="42199496" w14:textId="27E3D88C" w:rsidR="00D901A0" w:rsidRPr="00B554F9" w:rsidRDefault="00D901A0" w:rsidP="00B554F9">
      <w:pPr>
        <w:pStyle w:val="NoteHeader"/>
        <w:rPr>
          <w:lang w:val="pt-BR"/>
        </w:rPr>
      </w:pPr>
      <w:r w:rsidRPr="00B554F9">
        <w:rPr>
          <w:lang w:val="pt-BR"/>
        </w:rPr>
        <w:t>2</w:t>
      </w:r>
      <w:r w:rsidR="002B121F">
        <w:rPr>
          <w:lang w:val="pt-BR"/>
        </w:rPr>
        <w:t>3</w:t>
      </w:r>
      <w:r w:rsidRPr="00B554F9">
        <w:rPr>
          <w:lang w:val="pt-BR"/>
        </w:rPr>
        <w:t xml:space="preserve">) Termination Benefits </w:t>
      </w:r>
    </w:p>
    <w:p w14:paraId="6A661987" w14:textId="77777777" w:rsidR="00D901A0" w:rsidRPr="00F03BE9" w:rsidRDefault="00D901A0" w:rsidP="00155219"/>
    <w:p w14:paraId="69EE447B" w14:textId="77777777" w:rsidR="00D901A0" w:rsidRPr="00B554F9" w:rsidRDefault="00D901A0" w:rsidP="00155219">
      <w:pPr>
        <w:rPr>
          <w:rFonts w:asciiTheme="minorHAnsi" w:hAnsiTheme="minorHAnsi"/>
          <w:szCs w:val="20"/>
        </w:rPr>
      </w:pPr>
      <w:r w:rsidRPr="00B554F9">
        <w:rPr>
          <w:rFonts w:asciiTheme="minorHAnsi" w:hAnsiTheme="minorHAnsi"/>
          <w:szCs w:val="20"/>
        </w:rPr>
        <w:t xml:space="preserve">Termination benefits are amounts payable as a result of a decision by the organisation to terminate an officer or staff employment before the normal retirement date or an officer’s decision to accept voluntary redundancy and are charged on an accruals basis to the appropriate service or, where applicable, to the Non Distributed Costs line in the Comprehensive Income and Expenditure Statement when the OPFCC is demonstrably committed to the termination of the employment of an officer or group of officers or making an offer to encourage voluntary redundancy. </w:t>
      </w:r>
    </w:p>
    <w:p w14:paraId="74C606DC" w14:textId="77777777" w:rsidR="00D901A0" w:rsidRPr="00B554F9" w:rsidRDefault="00D901A0" w:rsidP="00155219">
      <w:pPr>
        <w:rPr>
          <w:rFonts w:asciiTheme="minorHAnsi" w:hAnsiTheme="minorHAnsi"/>
          <w:szCs w:val="20"/>
        </w:rPr>
      </w:pPr>
    </w:p>
    <w:p w14:paraId="6C022081" w14:textId="77777777" w:rsidR="00D901A0" w:rsidRDefault="00D901A0" w:rsidP="00155219">
      <w:pPr>
        <w:rPr>
          <w:rFonts w:asciiTheme="minorHAnsi" w:hAnsiTheme="minorHAnsi"/>
          <w:szCs w:val="20"/>
        </w:rPr>
      </w:pPr>
      <w:r w:rsidRPr="00B554F9">
        <w:rPr>
          <w:rFonts w:asciiTheme="minorHAnsi" w:hAnsiTheme="minorHAnsi"/>
          <w:szCs w:val="20"/>
        </w:rPr>
        <w:lastRenderedPageBreak/>
        <w:t xml:space="preserve">Where termination benefits involve the enhancement of pensions, statutory provisions require the General Fund Balance to be charged with the amount payable by the OPFCC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 </w:t>
      </w:r>
    </w:p>
    <w:p w14:paraId="2F86BB02" w14:textId="77777777" w:rsidR="008973EF" w:rsidRPr="00B554F9" w:rsidRDefault="008973EF" w:rsidP="00155219">
      <w:pPr>
        <w:rPr>
          <w:rFonts w:asciiTheme="minorHAnsi" w:hAnsiTheme="minorHAnsi"/>
          <w:szCs w:val="20"/>
        </w:rPr>
      </w:pPr>
    </w:p>
    <w:p w14:paraId="19BC2117" w14:textId="27471A40" w:rsidR="00D901A0" w:rsidRPr="00B554F9" w:rsidRDefault="00D901A0" w:rsidP="00B554F9">
      <w:pPr>
        <w:pStyle w:val="NoteHeader"/>
        <w:rPr>
          <w:lang w:val="pt-BR"/>
        </w:rPr>
      </w:pPr>
      <w:r w:rsidRPr="00B554F9">
        <w:rPr>
          <w:lang w:val="pt-BR"/>
        </w:rPr>
        <w:t>2</w:t>
      </w:r>
      <w:r w:rsidR="002B121F">
        <w:rPr>
          <w:lang w:val="pt-BR"/>
        </w:rPr>
        <w:t>4</w:t>
      </w:r>
      <w:r w:rsidRPr="00B554F9">
        <w:rPr>
          <w:lang w:val="pt-BR"/>
        </w:rPr>
        <w:t xml:space="preserve">) Opening </w:t>
      </w:r>
      <w:r w:rsidR="003C6B62">
        <w:rPr>
          <w:lang w:val="pt-BR"/>
        </w:rPr>
        <w:t>B</w:t>
      </w:r>
      <w:r w:rsidRPr="00B554F9">
        <w:rPr>
          <w:lang w:val="pt-BR"/>
        </w:rPr>
        <w:t xml:space="preserve">alances </w:t>
      </w:r>
    </w:p>
    <w:p w14:paraId="614E27DA" w14:textId="77777777" w:rsidR="00D901A0" w:rsidRPr="00F03BE9" w:rsidRDefault="00D901A0" w:rsidP="00155219"/>
    <w:p w14:paraId="0E5BAE64" w14:textId="77777777" w:rsidR="00D901A0" w:rsidRPr="00B554F9" w:rsidRDefault="00D901A0" w:rsidP="00155219">
      <w:pPr>
        <w:rPr>
          <w:szCs w:val="20"/>
        </w:rPr>
      </w:pPr>
      <w:r w:rsidRPr="00B554F9">
        <w:rPr>
          <w:szCs w:val="20"/>
        </w:rPr>
        <w:t xml:space="preserve">Where the conclusion of an audit on prior year balances has not yet been concluded, opening balances will be based upon the last published Financial Statements and any change to this will be included within the re-statement note. </w:t>
      </w:r>
    </w:p>
    <w:p w14:paraId="6E3DDDC9" w14:textId="77777777" w:rsidR="00D901A0" w:rsidRPr="00F03BE9" w:rsidRDefault="00D901A0" w:rsidP="00155219"/>
    <w:p w14:paraId="56724F58" w14:textId="00D208BD" w:rsidR="00D901A0" w:rsidRPr="00B554F9" w:rsidRDefault="00D901A0" w:rsidP="00B554F9">
      <w:pPr>
        <w:pStyle w:val="NoteHeader"/>
        <w:rPr>
          <w:lang w:val="pt-BR"/>
        </w:rPr>
      </w:pPr>
      <w:r w:rsidRPr="00B554F9">
        <w:rPr>
          <w:lang w:val="pt-BR"/>
        </w:rPr>
        <w:t>2</w:t>
      </w:r>
      <w:r w:rsidR="002B121F">
        <w:rPr>
          <w:lang w:val="pt-BR"/>
        </w:rPr>
        <w:t>5</w:t>
      </w:r>
      <w:r w:rsidRPr="00B554F9">
        <w:rPr>
          <w:lang w:val="pt-BR"/>
        </w:rPr>
        <w:t xml:space="preserve">) Going Concern </w:t>
      </w:r>
    </w:p>
    <w:p w14:paraId="7A5ACF63" w14:textId="77777777" w:rsidR="00D901A0" w:rsidRPr="00F03BE9" w:rsidRDefault="00D901A0" w:rsidP="00155219"/>
    <w:p w14:paraId="08D302CD" w14:textId="308BD272" w:rsidR="00D901A0" w:rsidRDefault="00D901A0" w:rsidP="00155219">
      <w:pPr>
        <w:rPr>
          <w:szCs w:val="20"/>
        </w:rPr>
      </w:pPr>
      <w:r w:rsidRPr="00B554F9">
        <w:rPr>
          <w:szCs w:val="20"/>
        </w:rPr>
        <w:t>These accounts have been prepared on a going concern basis.</w:t>
      </w:r>
    </w:p>
    <w:p w14:paraId="7F15198E" w14:textId="77777777" w:rsidR="009B0396" w:rsidRPr="00B554F9" w:rsidRDefault="009B0396" w:rsidP="00155219">
      <w:pPr>
        <w:rPr>
          <w:szCs w:val="20"/>
        </w:rPr>
      </w:pPr>
    </w:p>
    <w:p w14:paraId="221F3370" w14:textId="0693A2DE" w:rsidR="00D901A0" w:rsidRPr="00B554F9" w:rsidRDefault="00D901A0" w:rsidP="00155219">
      <w:pPr>
        <w:rPr>
          <w:szCs w:val="20"/>
        </w:rPr>
      </w:pPr>
      <w:r w:rsidRPr="00B554F9">
        <w:rPr>
          <w:szCs w:val="20"/>
        </w:rPr>
        <w:t>The concept of a going concern assumes that the functions of the organisation will continue in operational existence for the foreseeable future. The provisions in the Code (Code of Practice on Local Authority Accounting in the United Kingdom 202</w:t>
      </w:r>
      <w:r w:rsidR="00BF5D0D">
        <w:rPr>
          <w:szCs w:val="20"/>
        </w:rPr>
        <w:t>3</w:t>
      </w:r>
      <w:r w:rsidRPr="00B554F9">
        <w:rPr>
          <w:szCs w:val="20"/>
        </w:rPr>
        <w:t>/2</w:t>
      </w:r>
      <w:r w:rsidR="00BF5D0D">
        <w:rPr>
          <w:szCs w:val="20"/>
        </w:rPr>
        <w:t>4</w:t>
      </w:r>
      <w:r w:rsidRPr="00B554F9">
        <w:rPr>
          <w:szCs w:val="20"/>
        </w:rPr>
        <w:t xml:space="preserve">) in respect of going concern reporting requirements reflect the economic and statutory environment in which public section organisations operate. </w:t>
      </w:r>
    </w:p>
    <w:p w14:paraId="220515AC" w14:textId="77777777" w:rsidR="00D901A0" w:rsidRPr="00B554F9" w:rsidRDefault="00D901A0" w:rsidP="00155219">
      <w:pPr>
        <w:rPr>
          <w:szCs w:val="20"/>
        </w:rPr>
      </w:pPr>
    </w:p>
    <w:p w14:paraId="381D33FD" w14:textId="67825AFD" w:rsidR="00D901A0" w:rsidRDefault="00D901A0" w:rsidP="00155219">
      <w:pPr>
        <w:rPr>
          <w:szCs w:val="20"/>
        </w:rPr>
      </w:pPr>
      <w:r w:rsidRPr="00B554F9">
        <w:rPr>
          <w:szCs w:val="20"/>
        </w:rPr>
        <w:t xml:space="preserve">These provisions confirm that, as an OPFCC or OCC cannot be created or dissolved without statutory prescription, they must prepare their financial statements on a going concern basis of accounting. </w:t>
      </w:r>
    </w:p>
    <w:p w14:paraId="0EE9863D" w14:textId="77777777" w:rsidR="009B0396" w:rsidRPr="00B554F9" w:rsidRDefault="009B0396" w:rsidP="00155219">
      <w:pPr>
        <w:rPr>
          <w:szCs w:val="20"/>
        </w:rPr>
      </w:pPr>
    </w:p>
    <w:p w14:paraId="536035D8" w14:textId="77777777" w:rsidR="00D901A0" w:rsidRPr="00B554F9" w:rsidRDefault="00D901A0" w:rsidP="00155219">
      <w:pPr>
        <w:rPr>
          <w:szCs w:val="20"/>
        </w:rPr>
      </w:pPr>
      <w:r w:rsidRPr="00B554F9">
        <w:rPr>
          <w:szCs w:val="20"/>
        </w:rPr>
        <w:t>Policing services carry out functions essential to the local community and are themselves revenue-raising bodies (with limits on their revenue-raising powers arising only at the discretion of central government). If an OPFCC or OCC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entity and group will continue to operate for the foreseeable future.</w:t>
      </w:r>
    </w:p>
    <w:p w14:paraId="77515898" w14:textId="77777777" w:rsidR="00B554F9" w:rsidRDefault="00B554F9" w:rsidP="00155219"/>
    <w:p w14:paraId="243BE254" w14:textId="77777777" w:rsidR="002F049C" w:rsidRDefault="002F049C">
      <w:pPr>
        <w:spacing w:line="240" w:lineRule="auto"/>
        <w:jc w:val="left"/>
        <w:rPr>
          <w:rFonts w:asciiTheme="minorHAnsi" w:eastAsia="Times New Roman" w:hAnsiTheme="minorHAnsi" w:cs="Times New Roman"/>
          <w:b/>
          <w:bCs/>
          <w:smallCaps/>
          <w:color w:val="25316C"/>
          <w:sz w:val="36"/>
        </w:rPr>
      </w:pPr>
      <w:r>
        <w:br w:type="page"/>
      </w:r>
    </w:p>
    <w:p w14:paraId="54BCA0CB" w14:textId="2D229F09" w:rsidR="00401EAF" w:rsidRPr="00CA1887" w:rsidRDefault="00401EAF" w:rsidP="00401EAF">
      <w:pPr>
        <w:pStyle w:val="ChapterHeading"/>
      </w:pPr>
      <w:bookmarkStart w:id="275" w:name="_Toc191281431"/>
      <w:r w:rsidRPr="00CA1887">
        <w:lastRenderedPageBreak/>
        <w:t>Annual Governance Statement (OCC)</w:t>
      </w:r>
      <w:bookmarkEnd w:id="275"/>
    </w:p>
    <w:p w14:paraId="637179E4" w14:textId="77777777" w:rsidR="00401EAF" w:rsidRPr="00CA1887" w:rsidRDefault="00401EAF" w:rsidP="00401EAF"/>
    <w:p w14:paraId="14509343" w14:textId="77777777" w:rsidR="00AD4C8C" w:rsidRPr="00B21CBA" w:rsidRDefault="00AD4C8C" w:rsidP="00AD4C8C">
      <w:pPr>
        <w:pStyle w:val="VAHeadingLevel2"/>
      </w:pPr>
      <w:r w:rsidRPr="00B21CBA">
        <w:t>Background and Framework</w:t>
      </w:r>
    </w:p>
    <w:p w14:paraId="722E3A04" w14:textId="77777777" w:rsidR="00AD4C8C" w:rsidRPr="00B21CBA" w:rsidRDefault="00AD4C8C" w:rsidP="00AD4C8C">
      <w:bookmarkStart w:id="276" w:name="_Hlk162270200"/>
      <w:r w:rsidRPr="00B21CBA">
        <w:t>In the financial year 202</w:t>
      </w:r>
      <w:r>
        <w:t>3</w:t>
      </w:r>
      <w:r w:rsidRPr="00B21CBA">
        <w:t>/2</w:t>
      </w:r>
      <w:r>
        <w:t>4</w:t>
      </w:r>
      <w:r w:rsidRPr="00B21CBA">
        <w:t xml:space="preserve">, the focus for the two corporations sole has been to </w:t>
      </w:r>
      <w:r>
        <w:t>maintain</w:t>
      </w:r>
      <w:r w:rsidRPr="00B21CBA">
        <w:t xml:space="preserve"> the governance arrangements and strategies in place and to drive forward performance improvements</w:t>
      </w:r>
      <w:r>
        <w:t>.</w:t>
      </w:r>
      <w:r w:rsidRPr="00B21CBA">
        <w:t xml:space="preserve"> </w:t>
      </w:r>
      <w:r>
        <w:t xml:space="preserve"> A</w:t>
      </w:r>
      <w:r w:rsidRPr="00B21CBA">
        <w:t>s the PFCC also undertakes governance of Northamptonshire Commissioner Fire and Rescue Authority (NCFRA)</w:t>
      </w:r>
      <w:r>
        <w:t xml:space="preserve">, there </w:t>
      </w:r>
      <w:r w:rsidRPr="00B21CBA">
        <w:t>continue</w:t>
      </w:r>
      <w:r>
        <w:t>s</w:t>
      </w:r>
      <w:r w:rsidRPr="00B21CBA">
        <w:t xml:space="preserve"> to </w:t>
      </w:r>
      <w:r>
        <w:t xml:space="preserve">be momentum to </w:t>
      </w:r>
      <w:r w:rsidRPr="00B21CBA">
        <w:t>develop strategic management and close working arrangements with Fire</w:t>
      </w:r>
      <w:r>
        <w:t>.</w:t>
      </w:r>
      <w:r w:rsidRPr="00B21CBA">
        <w:t xml:space="preserve">  Throughout the year, NCFRA have remained a separate corporation sole to the PFCC and CC and with separate legislative responsibilities.</w:t>
      </w:r>
    </w:p>
    <w:p w14:paraId="7274B2FF" w14:textId="77777777" w:rsidR="00AD4C8C" w:rsidRPr="00B21CBA" w:rsidRDefault="00AD4C8C" w:rsidP="00AD4C8C"/>
    <w:p w14:paraId="0203D11C" w14:textId="77777777" w:rsidR="00AD4C8C" w:rsidRPr="00B21CBA" w:rsidRDefault="00AD4C8C" w:rsidP="00AD4C8C">
      <w:pPr>
        <w:rPr>
          <w:i/>
        </w:rPr>
      </w:pPr>
      <w:r w:rsidRPr="00B21CBA">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B21CBA">
        <w:rPr>
          <w:i/>
        </w:rPr>
        <w:t>“Delivering good governance – Guidance notes for policing bodies in England and Wales,</w:t>
      </w:r>
      <w:r w:rsidRPr="00B21CBA">
        <w:rPr>
          <w:b/>
          <w:i/>
        </w:rPr>
        <w:t xml:space="preserve"> </w:t>
      </w:r>
      <w:r w:rsidRPr="00B21CBA">
        <w:rPr>
          <w:i/>
        </w:rPr>
        <w:t>2016”.</w:t>
      </w:r>
    </w:p>
    <w:p w14:paraId="6779C502" w14:textId="77777777" w:rsidR="00AD4C8C" w:rsidRPr="00B21CBA" w:rsidRDefault="00AD4C8C" w:rsidP="00AD4C8C"/>
    <w:p w14:paraId="4587D384" w14:textId="77777777" w:rsidR="00AD4C8C" w:rsidRPr="00B21CBA" w:rsidRDefault="00AD4C8C" w:rsidP="00AD4C8C">
      <w:r w:rsidRPr="00B21CBA">
        <w:t>In 2007, CIPFA developed with the Society of Local Authority Chief Executives (Solace) a framework – “</w:t>
      </w:r>
      <w:r w:rsidRPr="00B21CBA">
        <w:rPr>
          <w:i/>
        </w:rPr>
        <w:t xml:space="preserve">Delivering good governance in local government”.  </w:t>
      </w:r>
      <w:r w:rsidRPr="00B21CBA">
        <w:t>This was subsequently reviewed in 2015 and an updated edition was published in April 2016.</w:t>
      </w:r>
    </w:p>
    <w:p w14:paraId="06CA4E1E" w14:textId="77777777" w:rsidR="00AD4C8C" w:rsidRPr="00B21CBA" w:rsidRDefault="00AD4C8C" w:rsidP="00AD4C8C"/>
    <w:p w14:paraId="1A237C3D" w14:textId="77777777" w:rsidR="00AD4C8C" w:rsidRPr="00B21CBA" w:rsidRDefault="00AD4C8C" w:rsidP="00AD4C8C">
      <w:r w:rsidRPr="00B21CBA">
        <w:t>This framework recognises that no two organisations are the same and as such allows an organisation to test its governance structures against a set of principles which are:</w:t>
      </w:r>
    </w:p>
    <w:p w14:paraId="5E61F17F" w14:textId="77777777" w:rsidR="00AD4C8C" w:rsidRPr="00B21CBA" w:rsidRDefault="00AD4C8C" w:rsidP="00AD4C8C"/>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AD4C8C" w:rsidRPr="00B21CBA" w14:paraId="4D6CFB72" w14:textId="77777777" w:rsidTr="00034905">
        <w:tc>
          <w:tcPr>
            <w:tcW w:w="1990" w:type="dxa"/>
          </w:tcPr>
          <w:p w14:paraId="6E7A7DF5" w14:textId="77777777" w:rsidR="00AD4C8C" w:rsidRPr="00B21CBA" w:rsidRDefault="00AD4C8C" w:rsidP="00034905">
            <w:pPr>
              <w:pStyle w:val="RedBullet"/>
              <w:ind w:left="714" w:hanging="357"/>
              <w:rPr>
                <w:b/>
              </w:rPr>
            </w:pPr>
            <w:r w:rsidRPr="00B21CBA">
              <w:rPr>
                <w:b/>
              </w:rPr>
              <w:t xml:space="preserve">Principle A: </w:t>
            </w:r>
          </w:p>
        </w:tc>
        <w:tc>
          <w:tcPr>
            <w:tcW w:w="7229" w:type="dxa"/>
          </w:tcPr>
          <w:p w14:paraId="6C3F24A0" w14:textId="77777777" w:rsidR="00AD4C8C" w:rsidRPr="00B21CBA" w:rsidRDefault="00AD4C8C" w:rsidP="00034905">
            <w:pPr>
              <w:ind w:right="38"/>
            </w:pPr>
            <w:r w:rsidRPr="00B21CBA">
              <w:t>Behaving with integrity, demonstrating strong commitment to ethical values and respecting the rule of law</w:t>
            </w:r>
          </w:p>
        </w:tc>
      </w:tr>
      <w:tr w:rsidR="00AD4C8C" w:rsidRPr="00B21CBA" w14:paraId="7AE39A08" w14:textId="77777777" w:rsidTr="00034905">
        <w:tc>
          <w:tcPr>
            <w:tcW w:w="1990" w:type="dxa"/>
          </w:tcPr>
          <w:p w14:paraId="68F71EDA" w14:textId="77777777" w:rsidR="00AD4C8C" w:rsidRPr="00B21CBA" w:rsidRDefault="00AD4C8C" w:rsidP="00034905">
            <w:pPr>
              <w:pStyle w:val="RedBullet"/>
              <w:ind w:left="714" w:hanging="357"/>
              <w:rPr>
                <w:b/>
              </w:rPr>
            </w:pPr>
            <w:r w:rsidRPr="00B21CBA">
              <w:rPr>
                <w:b/>
              </w:rPr>
              <w:t xml:space="preserve">Principle B: </w:t>
            </w:r>
          </w:p>
        </w:tc>
        <w:tc>
          <w:tcPr>
            <w:tcW w:w="7229" w:type="dxa"/>
          </w:tcPr>
          <w:p w14:paraId="6B677440" w14:textId="77777777" w:rsidR="00AD4C8C" w:rsidRPr="00B21CBA" w:rsidRDefault="00AD4C8C" w:rsidP="00034905">
            <w:r w:rsidRPr="00B21CBA">
              <w:t>Ensuring openness and comprehensive stakeholder engagement</w:t>
            </w:r>
          </w:p>
        </w:tc>
      </w:tr>
      <w:tr w:rsidR="00AD4C8C" w:rsidRPr="00B21CBA" w14:paraId="47041431" w14:textId="77777777" w:rsidTr="00034905">
        <w:tc>
          <w:tcPr>
            <w:tcW w:w="1990" w:type="dxa"/>
          </w:tcPr>
          <w:p w14:paraId="08991C92" w14:textId="77777777" w:rsidR="00AD4C8C" w:rsidRPr="00B21CBA" w:rsidRDefault="00AD4C8C" w:rsidP="00034905">
            <w:pPr>
              <w:pStyle w:val="RedBullet"/>
              <w:ind w:left="714" w:hanging="357"/>
              <w:rPr>
                <w:b/>
              </w:rPr>
            </w:pPr>
            <w:r w:rsidRPr="00B21CBA">
              <w:rPr>
                <w:b/>
              </w:rPr>
              <w:t xml:space="preserve">Principle C: </w:t>
            </w:r>
          </w:p>
        </w:tc>
        <w:tc>
          <w:tcPr>
            <w:tcW w:w="7229" w:type="dxa"/>
          </w:tcPr>
          <w:p w14:paraId="74E9C3A9" w14:textId="77777777" w:rsidR="00AD4C8C" w:rsidRPr="00B21CBA" w:rsidRDefault="00AD4C8C" w:rsidP="00034905">
            <w:r w:rsidRPr="00B21CBA">
              <w:t>Defining outcomes in terms of sustainable, economic, social and environmental outcomes</w:t>
            </w:r>
          </w:p>
        </w:tc>
      </w:tr>
      <w:tr w:rsidR="00AD4C8C" w:rsidRPr="00B21CBA" w14:paraId="6882EBF6" w14:textId="77777777" w:rsidTr="00034905">
        <w:tc>
          <w:tcPr>
            <w:tcW w:w="1990" w:type="dxa"/>
          </w:tcPr>
          <w:p w14:paraId="028787ED" w14:textId="77777777" w:rsidR="00AD4C8C" w:rsidRPr="00B21CBA" w:rsidRDefault="00AD4C8C" w:rsidP="00034905">
            <w:pPr>
              <w:pStyle w:val="RedBullet"/>
              <w:ind w:left="714" w:hanging="357"/>
              <w:rPr>
                <w:b/>
              </w:rPr>
            </w:pPr>
            <w:r w:rsidRPr="00B21CBA">
              <w:rPr>
                <w:b/>
              </w:rPr>
              <w:t xml:space="preserve">Principle D: </w:t>
            </w:r>
          </w:p>
        </w:tc>
        <w:tc>
          <w:tcPr>
            <w:tcW w:w="7229" w:type="dxa"/>
          </w:tcPr>
          <w:p w14:paraId="247646B2" w14:textId="77777777" w:rsidR="00AD4C8C" w:rsidRPr="00B21CBA" w:rsidRDefault="00AD4C8C" w:rsidP="00034905">
            <w:r w:rsidRPr="00B21CBA">
              <w:t>Determining the interventions necessary to optimise the achievement of intended outcomes</w:t>
            </w:r>
          </w:p>
        </w:tc>
      </w:tr>
      <w:tr w:rsidR="00AD4C8C" w:rsidRPr="00B21CBA" w14:paraId="08890F71" w14:textId="77777777" w:rsidTr="00034905">
        <w:tc>
          <w:tcPr>
            <w:tcW w:w="1990" w:type="dxa"/>
          </w:tcPr>
          <w:p w14:paraId="01A33049" w14:textId="77777777" w:rsidR="00AD4C8C" w:rsidRPr="00B21CBA" w:rsidRDefault="00AD4C8C" w:rsidP="00034905">
            <w:pPr>
              <w:pStyle w:val="RedBullet"/>
              <w:ind w:left="714" w:hanging="357"/>
              <w:rPr>
                <w:b/>
              </w:rPr>
            </w:pPr>
            <w:r w:rsidRPr="00B21CBA">
              <w:rPr>
                <w:b/>
              </w:rPr>
              <w:t xml:space="preserve">Principle E: </w:t>
            </w:r>
          </w:p>
        </w:tc>
        <w:tc>
          <w:tcPr>
            <w:tcW w:w="7229" w:type="dxa"/>
          </w:tcPr>
          <w:p w14:paraId="6C8013EB" w14:textId="77777777" w:rsidR="00AD4C8C" w:rsidRPr="00B21CBA" w:rsidRDefault="00AD4C8C" w:rsidP="00034905">
            <w:r w:rsidRPr="00B21CBA">
              <w:t>Developing Capacity and Capability</w:t>
            </w:r>
          </w:p>
        </w:tc>
      </w:tr>
      <w:tr w:rsidR="00AD4C8C" w:rsidRPr="00B21CBA" w14:paraId="62518090" w14:textId="77777777" w:rsidTr="00034905">
        <w:tc>
          <w:tcPr>
            <w:tcW w:w="1990" w:type="dxa"/>
          </w:tcPr>
          <w:p w14:paraId="0D2224D1" w14:textId="77777777" w:rsidR="00AD4C8C" w:rsidRPr="00B21CBA" w:rsidRDefault="00AD4C8C" w:rsidP="00034905">
            <w:pPr>
              <w:pStyle w:val="RedBullet"/>
              <w:ind w:left="714" w:hanging="357"/>
              <w:rPr>
                <w:b/>
              </w:rPr>
            </w:pPr>
            <w:r w:rsidRPr="00B21CBA">
              <w:rPr>
                <w:b/>
              </w:rPr>
              <w:t xml:space="preserve">Principle F: </w:t>
            </w:r>
          </w:p>
        </w:tc>
        <w:tc>
          <w:tcPr>
            <w:tcW w:w="7229" w:type="dxa"/>
          </w:tcPr>
          <w:p w14:paraId="71EB1354" w14:textId="77777777" w:rsidR="00AD4C8C" w:rsidRPr="00B21CBA" w:rsidRDefault="00AD4C8C" w:rsidP="00034905">
            <w:pPr>
              <w:rPr>
                <w:b/>
              </w:rPr>
            </w:pPr>
            <w:r w:rsidRPr="00B21CBA">
              <w:t>Managing Risks and Performance</w:t>
            </w:r>
          </w:p>
        </w:tc>
      </w:tr>
      <w:tr w:rsidR="00AD4C8C" w:rsidRPr="00B21CBA" w14:paraId="163EC1CB" w14:textId="77777777" w:rsidTr="00034905">
        <w:tc>
          <w:tcPr>
            <w:tcW w:w="1990" w:type="dxa"/>
          </w:tcPr>
          <w:p w14:paraId="6BBE08AC" w14:textId="77777777" w:rsidR="00AD4C8C" w:rsidRPr="00B21CBA" w:rsidRDefault="00AD4C8C" w:rsidP="00034905">
            <w:pPr>
              <w:pStyle w:val="RedBullet"/>
              <w:ind w:left="714" w:hanging="357"/>
              <w:rPr>
                <w:b/>
              </w:rPr>
            </w:pPr>
            <w:r w:rsidRPr="00B21CBA">
              <w:rPr>
                <w:b/>
              </w:rPr>
              <w:t xml:space="preserve">Principle G: </w:t>
            </w:r>
          </w:p>
        </w:tc>
        <w:tc>
          <w:tcPr>
            <w:tcW w:w="7229" w:type="dxa"/>
          </w:tcPr>
          <w:p w14:paraId="745FB20E" w14:textId="77777777" w:rsidR="00AD4C8C" w:rsidRPr="00B21CBA" w:rsidRDefault="00AD4C8C" w:rsidP="00034905">
            <w:pPr>
              <w:rPr>
                <w:b/>
              </w:rPr>
            </w:pPr>
            <w:r w:rsidRPr="00B21CBA">
              <w:t>Implementing good practices in transparency, reporting and accountability.</w:t>
            </w:r>
          </w:p>
        </w:tc>
      </w:tr>
      <w:bookmarkEnd w:id="276"/>
    </w:tbl>
    <w:p w14:paraId="009D4238" w14:textId="77777777" w:rsidR="00AD4C8C" w:rsidRPr="00B21CBA" w:rsidRDefault="00AD4C8C" w:rsidP="00AD4C8C">
      <w:pPr>
        <w:rPr>
          <w:b/>
          <w:u w:val="single"/>
        </w:rPr>
      </w:pPr>
    </w:p>
    <w:p w14:paraId="2C021E09" w14:textId="77777777" w:rsidR="00AD4C8C" w:rsidRPr="00B21CBA" w:rsidRDefault="00AD4C8C" w:rsidP="00AD4C8C">
      <w:pPr>
        <w:rPr>
          <w:b/>
          <w:u w:val="single"/>
        </w:rPr>
      </w:pPr>
    </w:p>
    <w:p w14:paraId="684701E1" w14:textId="77777777" w:rsidR="00AD4C8C" w:rsidRPr="00B21CBA" w:rsidRDefault="00AD4C8C" w:rsidP="00AD4C8C">
      <w:pPr>
        <w:pStyle w:val="VAHeadingLevel2"/>
      </w:pPr>
      <w:r w:rsidRPr="00B21CBA">
        <w:t>What is Governance?</w:t>
      </w:r>
    </w:p>
    <w:p w14:paraId="07200C71" w14:textId="77777777" w:rsidR="00AD4C8C" w:rsidRPr="00B21CBA" w:rsidRDefault="00AD4C8C" w:rsidP="00AD4C8C">
      <w:r w:rsidRPr="00B21CBA">
        <w:t>Governance as defined in the 2016 framework is:</w:t>
      </w:r>
    </w:p>
    <w:p w14:paraId="7389F1DC" w14:textId="77777777" w:rsidR="00AD4C8C" w:rsidRPr="00B21CBA" w:rsidRDefault="00AD4C8C" w:rsidP="00AD4C8C"/>
    <w:p w14:paraId="0E108893" w14:textId="77777777" w:rsidR="00AD4C8C" w:rsidRPr="00B21CBA" w:rsidRDefault="00AD4C8C" w:rsidP="00AD4C8C">
      <w:pPr>
        <w:pStyle w:val="VAHeadingLevel3"/>
      </w:pPr>
      <w:r w:rsidRPr="00B21CBA">
        <w:t>“Governance comprises the arrangements put in place to ensure that the intended outcomes for stakeholders are defined and delivered.”</w:t>
      </w:r>
    </w:p>
    <w:p w14:paraId="2B54286D" w14:textId="77777777" w:rsidR="00AD4C8C" w:rsidRPr="00B21CBA" w:rsidRDefault="00AD4C8C" w:rsidP="00AD4C8C"/>
    <w:p w14:paraId="569F99D7" w14:textId="77777777" w:rsidR="00AD4C8C" w:rsidRPr="00B21CBA" w:rsidRDefault="00AD4C8C" w:rsidP="00AD4C8C">
      <w:r w:rsidRPr="00B21CBA">
        <w:t>Good governance is not only about rules, policies and procedures but should also incorporate a spirit of good governance as an integral part of the culture of the organisation, its values and the expected behaviours.</w:t>
      </w:r>
    </w:p>
    <w:p w14:paraId="43DDA871" w14:textId="77777777" w:rsidR="00AD4C8C" w:rsidRPr="00B21CBA" w:rsidRDefault="00AD4C8C" w:rsidP="00AD4C8C"/>
    <w:p w14:paraId="2993E100" w14:textId="77777777" w:rsidR="00AD4C8C" w:rsidRPr="00B21CBA" w:rsidRDefault="00AD4C8C" w:rsidP="00AD4C8C">
      <w:r w:rsidRPr="00B21CBA">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292B90B2" w14:textId="77777777" w:rsidR="00AD4C8C" w:rsidRPr="00B7138A" w:rsidRDefault="00AD4C8C" w:rsidP="00AD4C8C"/>
    <w:p w14:paraId="075AD263" w14:textId="77777777" w:rsidR="00AD4C8C" w:rsidRDefault="00AD4C8C" w:rsidP="00AD4C8C">
      <w:pPr>
        <w:spacing w:line="240" w:lineRule="auto"/>
        <w:jc w:val="left"/>
        <w:rPr>
          <w:rFonts w:asciiTheme="minorHAnsi" w:eastAsia="Times New Roman" w:hAnsiTheme="minorHAnsi" w:cs="Times New Roman"/>
          <w:bCs/>
          <w:color w:val="25316C"/>
          <w:sz w:val="24"/>
        </w:rPr>
      </w:pPr>
      <w:r>
        <w:br w:type="page"/>
      </w:r>
    </w:p>
    <w:p w14:paraId="4245CBA6" w14:textId="77777777" w:rsidR="00AD4C8C" w:rsidRPr="00B21CBA" w:rsidRDefault="00AD4C8C" w:rsidP="00AD4C8C">
      <w:r w:rsidRPr="00B21CBA">
        <w:lastRenderedPageBreak/>
        <w:t xml:space="preserve">This statement explains how the </w:t>
      </w:r>
      <w:r>
        <w:t>Chief Constable</w:t>
      </w:r>
      <w:r w:rsidRPr="00B21CBA">
        <w:t xml:space="preserve"> has complied with the CIPFA/SOLACE framework and also meets the requirements of the Accounts and Audit Regulations in relation to the publication of an Annual Governance Statement.</w:t>
      </w:r>
    </w:p>
    <w:p w14:paraId="0AA2752D" w14:textId="77777777" w:rsidR="00AD4C8C" w:rsidRPr="00B21CBA" w:rsidRDefault="00AD4C8C" w:rsidP="00AD4C8C"/>
    <w:p w14:paraId="1575F8F8" w14:textId="77777777" w:rsidR="00AD4C8C" w:rsidRPr="00B21CBA" w:rsidRDefault="00AD4C8C" w:rsidP="00AD4C8C">
      <w:pPr>
        <w:pStyle w:val="VAHeadingLevel2"/>
      </w:pPr>
      <w:r w:rsidRPr="00B21CBA">
        <w:t>The Annual Governance Statement</w:t>
      </w:r>
    </w:p>
    <w:p w14:paraId="69DD0FB8" w14:textId="77777777" w:rsidR="00AD4C8C" w:rsidRPr="00B7138A" w:rsidRDefault="00AD4C8C" w:rsidP="00AD4C8C">
      <w:bookmarkStart w:id="277" w:name="_Hlk162270290"/>
      <w:r w:rsidRPr="00B7138A">
        <w:t>It is a requirement on each public body to prepare an annual governance statement.  This is intended to provide an assessment of how effectively it has complied with its own governance arrangements and the principles set out in the framework.</w:t>
      </w:r>
    </w:p>
    <w:p w14:paraId="60B0E693" w14:textId="77777777" w:rsidR="00AD4C8C" w:rsidRPr="00B7138A" w:rsidRDefault="00AD4C8C" w:rsidP="00AD4C8C"/>
    <w:p w14:paraId="7D8A8258" w14:textId="77777777" w:rsidR="00AD4C8C" w:rsidRPr="00B7138A" w:rsidRDefault="00AD4C8C" w:rsidP="00AD4C8C">
      <w:r>
        <w:t>This governance statement provides a high-level overview.  It comments on the effectiveness of governance arrangements over 2023/24 and makes proposals to improve processes, or mitigate issues or risks identified.</w:t>
      </w:r>
    </w:p>
    <w:p w14:paraId="45B76E38" w14:textId="77777777" w:rsidR="00AD4C8C" w:rsidRPr="00B7138A" w:rsidRDefault="00AD4C8C" w:rsidP="00AD4C8C"/>
    <w:bookmarkEnd w:id="277"/>
    <w:p w14:paraId="290C24C0" w14:textId="77777777" w:rsidR="00AD4C8C" w:rsidRPr="00E52EF1" w:rsidRDefault="00AD4C8C" w:rsidP="00AD4C8C">
      <w:pPr>
        <w:pStyle w:val="VAHeadingLevel2"/>
      </w:pPr>
      <w:r w:rsidRPr="00E52EF1">
        <w:t>The Purpose of the Governance Framework</w:t>
      </w:r>
    </w:p>
    <w:p w14:paraId="51EA9B63" w14:textId="77777777" w:rsidR="00AD4C8C" w:rsidRPr="00E52EF1" w:rsidRDefault="00AD4C8C" w:rsidP="00AD4C8C">
      <w:r w:rsidRPr="00E52EF1">
        <w:t xml:space="preserve">The Corporate Governance Framework comprises the systems and processes, and culture and values, by which the </w:t>
      </w:r>
      <w:r>
        <w:t>entity</w:t>
      </w:r>
      <w:r w:rsidRPr="00E52EF1">
        <w:t xml:space="preserve"> is directed and controlled and its activities through which it accounts to, engages with, and leads the community.  It enables the </w:t>
      </w:r>
      <w:r>
        <w:t>entity</w:t>
      </w:r>
      <w:r w:rsidRPr="00E52EF1">
        <w:t xml:space="preserve"> to monitor that the achievement of its strategic objectives has led to the delivery of appropriate, value-for-money services.</w:t>
      </w:r>
    </w:p>
    <w:p w14:paraId="3058034D" w14:textId="77777777" w:rsidR="00AD4C8C" w:rsidRPr="00E52EF1" w:rsidRDefault="00AD4C8C" w:rsidP="00AD4C8C"/>
    <w:p w14:paraId="3B836EC0" w14:textId="77777777" w:rsidR="00AD4C8C" w:rsidRPr="00E52EF1" w:rsidRDefault="00AD4C8C" w:rsidP="00AD4C8C">
      <w:r w:rsidRPr="00E52EF1">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w:t>
      </w:r>
      <w:r>
        <w:t>entity</w:t>
      </w:r>
      <w:r w:rsidRPr="00E52EF1">
        <w:t>’s policies, aims and objectives, to evaluate the likelihood of those risks being realised and the impact should they be realised, and to manage them efficiently, effectively and economically.</w:t>
      </w:r>
    </w:p>
    <w:p w14:paraId="3C3C840E" w14:textId="77777777" w:rsidR="00AD4C8C" w:rsidRPr="00E52EF1" w:rsidRDefault="00AD4C8C" w:rsidP="00AD4C8C"/>
    <w:p w14:paraId="78A2F1C9" w14:textId="77777777" w:rsidR="00AD4C8C" w:rsidRPr="00E52EF1" w:rsidRDefault="00AD4C8C" w:rsidP="00AD4C8C">
      <w:r w:rsidRPr="00E52EF1">
        <w:t xml:space="preserve">The PFCC and CC Joint Corporate Governance Framework was reviewed </w:t>
      </w:r>
      <w:r>
        <w:t>last year and published in May 2023</w:t>
      </w:r>
      <w:r w:rsidRPr="00E52EF1">
        <w:t>.</w:t>
      </w:r>
    </w:p>
    <w:p w14:paraId="1E22B105" w14:textId="77777777" w:rsidR="00AD4C8C" w:rsidRPr="00351C0D" w:rsidRDefault="00AD4C8C" w:rsidP="00AD4C8C">
      <w:pPr>
        <w:rPr>
          <w:b/>
          <w:highlight w:val="yellow"/>
          <w:u w:val="single"/>
        </w:rPr>
      </w:pPr>
    </w:p>
    <w:p w14:paraId="33EDD02E" w14:textId="77777777" w:rsidR="00AD4C8C" w:rsidRPr="00E52EF1" w:rsidRDefault="00AD4C8C" w:rsidP="00AD4C8C">
      <w:pPr>
        <w:pStyle w:val="VAHeadingLevel2"/>
      </w:pPr>
      <w:r w:rsidRPr="00E52EF1">
        <w:t>The Governance Framework</w:t>
      </w:r>
    </w:p>
    <w:p w14:paraId="45583380" w14:textId="77777777" w:rsidR="00AD4C8C" w:rsidRPr="00E52EF1" w:rsidRDefault="00AD4C8C" w:rsidP="00AD4C8C">
      <w:r w:rsidRPr="00E52EF1">
        <w:t>Both the PFCC and CC continued to seek confirmation that appropriate management and reporting arrangements were in place to enable them to satisfy themselves that the approach to corporate governance was both adequate and effective in practice.  These arrangements included:</w:t>
      </w:r>
    </w:p>
    <w:p w14:paraId="63BC9794" w14:textId="77777777" w:rsidR="00AD4C8C" w:rsidRPr="00E52EF1" w:rsidRDefault="00AD4C8C" w:rsidP="00AD4C8C"/>
    <w:p w14:paraId="5510000D" w14:textId="4122AD6D" w:rsidR="00AD4C8C" w:rsidRPr="00E52EF1" w:rsidRDefault="00AD4C8C" w:rsidP="00AD4C8C">
      <w:pPr>
        <w:pStyle w:val="RedBullet"/>
        <w:ind w:left="357"/>
      </w:pPr>
      <w:r w:rsidRPr="00E52EF1">
        <w:t>An Accountability Board forward plan seeking timely updates and assurances at appropriate times during the year.  Minutes are publicly available on the PFCC’s website</w:t>
      </w:r>
      <w:r w:rsidR="005B4D7B">
        <w:t>.</w:t>
      </w:r>
    </w:p>
    <w:p w14:paraId="61DED327" w14:textId="6A64091C" w:rsidR="00AD4C8C" w:rsidRPr="00E52EF1" w:rsidRDefault="00AD4C8C" w:rsidP="00AD4C8C">
      <w:pPr>
        <w:pStyle w:val="RedBullet"/>
        <w:ind w:left="357"/>
      </w:pPr>
      <w:r w:rsidRPr="00E52EF1">
        <w:t>The PFCC meets regularly with the Chief Constable and meetings are held between the Chief Constable and key officers from the Office of the Police, Fire and Crime Commissioner (OPFCC)</w:t>
      </w:r>
      <w:r w:rsidR="005B4D7B">
        <w:t>.</w:t>
      </w:r>
    </w:p>
    <w:p w14:paraId="3C57769B" w14:textId="1ABE6133" w:rsidR="00AD4C8C" w:rsidRPr="00E52EF1" w:rsidRDefault="00AD4C8C" w:rsidP="00AD4C8C">
      <w:pPr>
        <w:pStyle w:val="RedBullet"/>
        <w:ind w:left="357"/>
      </w:pPr>
      <w:r w:rsidRPr="00E52EF1">
        <w:t>A Risk Management Strategy, with regular OPFCC reviews by the Directors and PFCC</w:t>
      </w:r>
      <w:r w:rsidR="005B4D7B">
        <w:t>.</w:t>
      </w:r>
    </w:p>
    <w:p w14:paraId="026DE052" w14:textId="14A395D5" w:rsidR="00AD4C8C" w:rsidRPr="00E52EF1" w:rsidRDefault="00AD4C8C" w:rsidP="00AD4C8C">
      <w:pPr>
        <w:pStyle w:val="RedBullet"/>
        <w:ind w:left="357"/>
      </w:pPr>
      <w:r w:rsidRPr="00E52EF1">
        <w:t>An Annual Governance Statement produced by both the OPFCC and the CC</w:t>
      </w:r>
      <w:r w:rsidR="005B4D7B">
        <w:t>.</w:t>
      </w:r>
    </w:p>
    <w:p w14:paraId="4C434C41" w14:textId="40480B29" w:rsidR="00AD4C8C" w:rsidRPr="00E52EF1" w:rsidRDefault="00AD4C8C" w:rsidP="00AD4C8C">
      <w:pPr>
        <w:pStyle w:val="RedBullet"/>
        <w:ind w:left="357"/>
      </w:pPr>
      <w:r w:rsidRPr="00E52EF1">
        <w:t xml:space="preserve">A CIPFA Value for Money Assessment against the framework completed by the two </w:t>
      </w:r>
      <w:r w:rsidR="0043308A">
        <w:t>s</w:t>
      </w:r>
      <w:r w:rsidRPr="00E52EF1">
        <w:t>151 officers</w:t>
      </w:r>
      <w:r w:rsidR="005B4D7B">
        <w:t>.</w:t>
      </w:r>
    </w:p>
    <w:p w14:paraId="4CD148BC" w14:textId="3D0BD475" w:rsidR="00AD4C8C" w:rsidRPr="00E52EF1" w:rsidRDefault="00AD4C8C" w:rsidP="00AD4C8C">
      <w:pPr>
        <w:pStyle w:val="RedBullet"/>
        <w:ind w:left="357"/>
      </w:pPr>
      <w:r w:rsidRPr="00E52EF1">
        <w:t>A Regional Annual Governance Statement for East Midlands Special Operations Unit (EMSOU) activities</w:t>
      </w:r>
      <w:r w:rsidR="005B4D7B">
        <w:t>.</w:t>
      </w:r>
    </w:p>
    <w:p w14:paraId="13E02D17" w14:textId="09E25EDB" w:rsidR="00AD4C8C" w:rsidRPr="00E52EF1" w:rsidRDefault="00AD4C8C" w:rsidP="00AD4C8C">
      <w:pPr>
        <w:pStyle w:val="RedBullet"/>
        <w:ind w:left="357"/>
      </w:pPr>
      <w:r w:rsidRPr="00E52EF1">
        <w:t>An effective Joint Independent Audit Committee (JIAC)</w:t>
      </w:r>
      <w:r w:rsidR="005B4D7B">
        <w:t>.</w:t>
      </w:r>
    </w:p>
    <w:p w14:paraId="1A2E8833" w14:textId="4C5D9C93" w:rsidR="00AD4C8C" w:rsidRPr="00E52EF1" w:rsidRDefault="00AD4C8C" w:rsidP="00AD4C8C">
      <w:pPr>
        <w:pStyle w:val="RedBullet"/>
        <w:ind w:left="357"/>
      </w:pPr>
      <w:r w:rsidRPr="00E52EF1">
        <w:t>Ensuring that there is an effective Internal Audit function</w:t>
      </w:r>
      <w:r w:rsidR="005B4D7B">
        <w:t>.</w:t>
      </w:r>
    </w:p>
    <w:p w14:paraId="062BD2E4" w14:textId="3E4C82E7" w:rsidR="00AD4C8C" w:rsidRPr="00E52EF1" w:rsidRDefault="00AD4C8C" w:rsidP="00AD4C8C">
      <w:pPr>
        <w:pStyle w:val="RedBullet"/>
        <w:ind w:left="357"/>
      </w:pPr>
      <w:r w:rsidRPr="00E52EF1">
        <w:t>Attendance by the OPFCC Directors, JIAC Chair and/or members at key meetings and briefings</w:t>
      </w:r>
      <w:r w:rsidR="005B4D7B">
        <w:t>.</w:t>
      </w:r>
    </w:p>
    <w:p w14:paraId="5A461772" w14:textId="77777777" w:rsidR="00AD4C8C" w:rsidRPr="00351C0D" w:rsidRDefault="00AD4C8C" w:rsidP="00AD4C8C">
      <w:pPr>
        <w:rPr>
          <w:highlight w:val="yellow"/>
        </w:rPr>
      </w:pPr>
    </w:p>
    <w:p w14:paraId="4DFE471B" w14:textId="77777777" w:rsidR="00AD4C8C" w:rsidRDefault="00AD4C8C" w:rsidP="00AD4C8C">
      <w:r w:rsidRPr="00E52EF1">
        <w:t>In addition to the arrangements above, the system includes:</w:t>
      </w:r>
    </w:p>
    <w:p w14:paraId="2EFAB6B8" w14:textId="77777777" w:rsidR="00AD4C8C" w:rsidRPr="00E52EF1" w:rsidRDefault="00AD4C8C" w:rsidP="00AD4C8C"/>
    <w:p w14:paraId="63407780" w14:textId="1846A70C" w:rsidR="00AD4C8C" w:rsidRPr="00E23406" w:rsidRDefault="00AD4C8C" w:rsidP="00AD4C8C">
      <w:pPr>
        <w:pStyle w:val="RedBullet"/>
        <w:ind w:left="284" w:hanging="284"/>
      </w:pPr>
      <w:r w:rsidRPr="00E52EF1">
        <w:t>Updates to Police, Fire and Crime Panel meetings on the OPFCC Delivery Plan</w:t>
      </w:r>
      <w:r w:rsidR="005B4D7B">
        <w:t>.</w:t>
      </w:r>
    </w:p>
    <w:p w14:paraId="3B354E5B" w14:textId="698323A4" w:rsidR="00AD4C8C" w:rsidRPr="00E52EF1" w:rsidRDefault="00AD4C8C" w:rsidP="00AD4C8C">
      <w:pPr>
        <w:pStyle w:val="RedBullet"/>
        <w:ind w:left="284" w:hanging="284"/>
      </w:pPr>
      <w:r w:rsidRPr="00E52EF1">
        <w:t>A Performance Management Framework, focused on achieving the objectives set out in the Plan</w:t>
      </w:r>
      <w:r w:rsidR="005B4D7B">
        <w:t>.</w:t>
      </w:r>
    </w:p>
    <w:p w14:paraId="070BBF45" w14:textId="4DB37765" w:rsidR="00AD4C8C" w:rsidRPr="00E52EF1" w:rsidRDefault="00AD4C8C" w:rsidP="00AD4C8C">
      <w:pPr>
        <w:pStyle w:val="RedBullet"/>
        <w:ind w:left="284" w:hanging="284"/>
      </w:pPr>
      <w:r w:rsidRPr="00E52EF1">
        <w:t xml:space="preserve">Regular financial reporting for both the OPFCC and the </w:t>
      </w:r>
      <w:r w:rsidR="005B4D7B">
        <w:t>O</w:t>
      </w:r>
      <w:r w:rsidRPr="00E52EF1">
        <w:t>CC</w:t>
      </w:r>
      <w:r w:rsidR="005B4D7B">
        <w:t>.</w:t>
      </w:r>
    </w:p>
    <w:p w14:paraId="68B5751C" w14:textId="77777777" w:rsidR="00AD4C8C" w:rsidRPr="00E52EF1" w:rsidRDefault="00AD4C8C" w:rsidP="00AD4C8C">
      <w:pPr>
        <w:pStyle w:val="RedBullet"/>
        <w:ind w:left="284" w:hanging="284"/>
      </w:pPr>
      <w:r w:rsidRPr="00E52EF1">
        <w:lastRenderedPageBreak/>
        <w:t>Engagement in Value for Money benchmarking such as is conducted by HMICFRS</w:t>
      </w:r>
      <w:r>
        <w:t>.</w:t>
      </w:r>
    </w:p>
    <w:p w14:paraId="145A921C" w14:textId="77777777" w:rsidR="00AD4C8C" w:rsidRPr="00E52EF1" w:rsidRDefault="00AD4C8C" w:rsidP="00AD4C8C">
      <w:pPr>
        <w:pStyle w:val="RedBullet"/>
        <w:ind w:left="284" w:hanging="284"/>
      </w:pPr>
      <w:r w:rsidRPr="00E52EF1">
        <w:t xml:space="preserve">A Joint Assistant Chief Officer leads the Enabling Services programme and provides strategic leadership of support services across Fire and Policing.  </w:t>
      </w:r>
    </w:p>
    <w:p w14:paraId="71A3F4F7" w14:textId="77777777" w:rsidR="00AD4C8C" w:rsidRDefault="00AD4C8C" w:rsidP="00AD4C8C">
      <w:pPr>
        <w:pStyle w:val="RedBullet"/>
        <w:ind w:left="284" w:hanging="284"/>
      </w:pPr>
      <w:r>
        <w:t xml:space="preserve">A </w:t>
      </w:r>
      <w:r w:rsidRPr="006D2441">
        <w:t>collaboration</w:t>
      </w:r>
      <w:r>
        <w:t xml:space="preserve"> agreement is in place in line with the Home Office Financial Management Code of Practice. The agreement is due for review in 2024/25.</w:t>
      </w:r>
    </w:p>
    <w:p w14:paraId="39F99BCC" w14:textId="77777777" w:rsidR="00AD4C8C" w:rsidRDefault="00AD4C8C" w:rsidP="00AD4C8C">
      <w:pPr>
        <w:pStyle w:val="RedBullet"/>
        <w:ind w:left="284" w:hanging="284"/>
      </w:pPr>
      <w:r w:rsidRPr="00E52EF1">
        <w:t xml:space="preserve">A well embedded Force meeting governance structure including Force Executive Meeting, Strategic Planning Board, </w:t>
      </w:r>
      <w:r>
        <w:t xml:space="preserve">Force Assurance </w:t>
      </w:r>
      <w:r w:rsidRPr="00E52EF1">
        <w:t>Boards and quarterly capital reviews, attended by key officers</w:t>
      </w:r>
      <w:r>
        <w:t>/staff</w:t>
      </w:r>
      <w:r w:rsidRPr="00E52EF1">
        <w:t xml:space="preserve">.  </w:t>
      </w:r>
    </w:p>
    <w:p w14:paraId="37DAA286" w14:textId="77777777" w:rsidR="00AD4C8C" w:rsidRDefault="00AD4C8C" w:rsidP="00AD4C8C">
      <w:pPr>
        <w:pStyle w:val="RedBullet"/>
        <w:numPr>
          <w:ilvl w:val="0"/>
          <w:numId w:val="0"/>
        </w:numPr>
        <w:ind w:left="714" w:hanging="357"/>
      </w:pPr>
    </w:p>
    <w:p w14:paraId="5999B81C" w14:textId="77777777" w:rsidR="00AD4C8C" w:rsidRDefault="00AD4C8C" w:rsidP="00AD4C8C">
      <w:pPr>
        <w:pStyle w:val="RedBullet"/>
        <w:numPr>
          <w:ilvl w:val="0"/>
          <w:numId w:val="0"/>
        </w:numPr>
      </w:pPr>
      <w:r>
        <w:t>In the full year to 31 March 2024, the PFCC and CC have sought to ensure that appropriate management and reporting arrangements are in place to enable them to be satisfied that the approach to corporate governance was both adequate and effective in practice.</w:t>
      </w:r>
    </w:p>
    <w:p w14:paraId="7938E44F" w14:textId="77777777" w:rsidR="00AD4C8C" w:rsidRDefault="00AD4C8C" w:rsidP="00AD4C8C">
      <w:pPr>
        <w:pStyle w:val="RedBullet"/>
        <w:numPr>
          <w:ilvl w:val="0"/>
          <w:numId w:val="0"/>
        </w:numPr>
        <w:ind w:left="284" w:hanging="284"/>
      </w:pPr>
    </w:p>
    <w:p w14:paraId="169B983F" w14:textId="77777777" w:rsidR="00AD4C8C" w:rsidRDefault="00AD4C8C" w:rsidP="00AD4C8C">
      <w:pPr>
        <w:pStyle w:val="RedBullet"/>
        <w:numPr>
          <w:ilvl w:val="0"/>
          <w:numId w:val="0"/>
        </w:numPr>
      </w:pPr>
      <w:r w:rsidRPr="00E52EF1">
        <w:t>The system of internal control is based on a system of financial, contractual, management and administrative controls and is reviewed by both internal and external audit</w:t>
      </w:r>
      <w:r>
        <w:t>.</w:t>
      </w:r>
    </w:p>
    <w:p w14:paraId="6A2C71F1" w14:textId="77777777" w:rsidR="00AD4C8C" w:rsidRPr="00B21CBA" w:rsidRDefault="00AD4C8C" w:rsidP="00AD4C8C"/>
    <w:p w14:paraId="461C0836" w14:textId="77777777" w:rsidR="00AD4C8C" w:rsidRPr="00B21CBA" w:rsidRDefault="00AD4C8C" w:rsidP="00AD4C8C">
      <w:pPr>
        <w:pStyle w:val="NoteHeader"/>
      </w:pPr>
      <w:r w:rsidRPr="00B21CBA">
        <w:t>Compliance with the Seven Principles set out in the CIPFA/SOLACE Framework</w:t>
      </w:r>
    </w:p>
    <w:p w14:paraId="3C73DB68" w14:textId="77777777" w:rsidR="00AD4C8C" w:rsidRPr="00B21CBA" w:rsidRDefault="00AD4C8C" w:rsidP="00AD4C8C">
      <w:pPr>
        <w:rPr>
          <w:b/>
          <w:u w:val="single"/>
        </w:rPr>
      </w:pPr>
    </w:p>
    <w:p w14:paraId="43B4EBD0" w14:textId="77777777" w:rsidR="00AD4C8C" w:rsidRPr="00B21CBA" w:rsidRDefault="00AD4C8C" w:rsidP="00AD4C8C">
      <w:pPr>
        <w:pStyle w:val="VAHeadingLevel2"/>
      </w:pPr>
      <w:r w:rsidRPr="00B21CBA">
        <w:rPr>
          <w:b/>
        </w:rPr>
        <w:t xml:space="preserve">Principle A: </w:t>
      </w:r>
      <w:r w:rsidRPr="00B21CBA">
        <w:t>Behaving with Integrity, Demonstrating Strong Commitment to Ethical Values and Respecting the Rule of Law</w:t>
      </w:r>
    </w:p>
    <w:p w14:paraId="0EC76BE6" w14:textId="77777777" w:rsidR="00AD4C8C" w:rsidRPr="00E52EF1" w:rsidRDefault="00AD4C8C" w:rsidP="00AD4C8C">
      <w:r w:rsidRPr="00E52EF1">
        <w:t xml:space="preserve">The Corporate Governance Framework provides guidance on expected behaviours to ensure integrity, transparency and excellent standards of ethical behaviour.  This includes an agreement to adhere to the College of Policing (CoP) Code of Ethics as the basis for how the </w:t>
      </w:r>
      <w:r>
        <w:t>organisation</w:t>
      </w:r>
      <w:r w:rsidRPr="00E52EF1">
        <w:t xml:space="preserve"> and staff behave.  The Force internal and external ethics committee is in place and values have been included as an overarching element of the Police, Fire and Crime Plan.</w:t>
      </w:r>
    </w:p>
    <w:p w14:paraId="13830829" w14:textId="77777777" w:rsidR="00AD4C8C" w:rsidRPr="00E52EF1" w:rsidRDefault="00AD4C8C" w:rsidP="00AD4C8C"/>
    <w:p w14:paraId="24DCC9D0" w14:textId="77777777" w:rsidR="00AD4C8C" w:rsidRPr="00E52EF1" w:rsidRDefault="00AD4C8C" w:rsidP="00AD4C8C">
      <w:r w:rsidRPr="00E52EF1">
        <w:t>The Force Professional Standards Department (PSD) investigates all instances of Fraud, Corruption and Whistleblowing and the Chief Financial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4536FDE3" w14:textId="77777777" w:rsidR="00AD4C8C" w:rsidRPr="00E52EF1" w:rsidRDefault="00AD4C8C" w:rsidP="00AD4C8C"/>
    <w:p w14:paraId="69B6D8AF" w14:textId="52DB2B6D" w:rsidR="00AD4C8C" w:rsidRPr="00E52EF1" w:rsidRDefault="00AD4C8C" w:rsidP="00AD4C8C">
      <w:r w:rsidRPr="00E52EF1">
        <w:t>For 202</w:t>
      </w:r>
      <w:r>
        <w:t>3</w:t>
      </w:r>
      <w:r w:rsidRPr="00E52EF1">
        <w:t>/2</w:t>
      </w:r>
      <w:r>
        <w:t>4</w:t>
      </w:r>
      <w:r w:rsidRPr="00E52EF1">
        <w:t>, related party disclosures have been undertaken for all key staff in the OPFCC, CC and JIAC members. Additionally, the CC and all members of OCC staff complete a declaration of business Interests.</w:t>
      </w:r>
      <w:r>
        <w:t xml:space="preserve"> </w:t>
      </w:r>
      <w:r w:rsidRPr="00E52EF1">
        <w:t xml:space="preserve"> At the time of the draft accounts, all returns were received and reviewed by the two </w:t>
      </w:r>
      <w:r w:rsidR="0043308A">
        <w:t>s</w:t>
      </w:r>
      <w:r w:rsidRPr="00E52EF1">
        <w:t>151 officers and any disclosures required are included within the Statement of Accounts.</w:t>
      </w:r>
    </w:p>
    <w:p w14:paraId="26A3AF02" w14:textId="77777777" w:rsidR="00AD4C8C" w:rsidRPr="00B21CBA" w:rsidRDefault="00AD4C8C" w:rsidP="00AD4C8C">
      <w:pPr>
        <w:rPr>
          <w:b/>
          <w:color w:val="990033"/>
        </w:rPr>
      </w:pPr>
    </w:p>
    <w:p w14:paraId="707D95BF" w14:textId="77777777" w:rsidR="00AD4C8C" w:rsidRPr="00B21CBA" w:rsidRDefault="00AD4C8C" w:rsidP="00AD4C8C">
      <w:pPr>
        <w:pStyle w:val="VAHeadingLevel2"/>
      </w:pPr>
      <w:r w:rsidRPr="00B21CBA">
        <w:rPr>
          <w:b/>
        </w:rPr>
        <w:t>Principle B:</w:t>
      </w:r>
      <w:r w:rsidRPr="00B21CBA">
        <w:t xml:space="preserve"> Ensuring Openness and Comprehensive Stakeholder Engagement </w:t>
      </w:r>
    </w:p>
    <w:p w14:paraId="1CE6BF2B" w14:textId="77777777" w:rsidR="00AD4C8C" w:rsidRPr="00E52EF1" w:rsidRDefault="00AD4C8C" w:rsidP="00AD4C8C">
      <w:pPr>
        <w:rPr>
          <w:rFonts w:cs="Arial"/>
        </w:rPr>
      </w:pPr>
      <w:r w:rsidRPr="00E52EF1">
        <w:rPr>
          <w:rFonts w:cs="Arial"/>
        </w:rPr>
        <w:t>The Commissioner’s purpose is set out in statute.  The vision for Northamptonshire policing is set out in the Police</w:t>
      </w:r>
      <w:r>
        <w:rPr>
          <w:rFonts w:cs="Arial"/>
        </w:rPr>
        <w:t>, Fire</w:t>
      </w:r>
      <w:r w:rsidRPr="00E52EF1">
        <w:rPr>
          <w:rFonts w:cs="Arial"/>
        </w:rPr>
        <w:t xml:space="preserve"> and Crime Plan which sets out the strategic direction of the PFCC’s activities.  It is underpinned by a delivery plan and the PFCC provides an update at each Police, Fire and Crime Panel meeting.</w:t>
      </w:r>
    </w:p>
    <w:p w14:paraId="5B4094FC" w14:textId="77777777" w:rsidR="00AD4C8C" w:rsidRPr="00E52EF1" w:rsidRDefault="00AD4C8C" w:rsidP="00AD4C8C">
      <w:pPr>
        <w:rPr>
          <w:rFonts w:cs="Arial"/>
        </w:rPr>
      </w:pPr>
    </w:p>
    <w:p w14:paraId="57A06282" w14:textId="77777777" w:rsidR="00AD4C8C" w:rsidRPr="002F2D21" w:rsidRDefault="00AD4C8C" w:rsidP="00AD4C8C">
      <w:r w:rsidRPr="00E52EF1">
        <w:rPr>
          <w:rFonts w:cs="Arial"/>
        </w:rPr>
        <w:t xml:space="preserve">The OPFCC website </w:t>
      </w:r>
      <w:r>
        <w:rPr>
          <w:rFonts w:cs="Arial"/>
        </w:rPr>
        <w:t>is used to publish a wide range of policy and information on the PFCC and the Office, making this easily accessible to the public</w:t>
      </w:r>
      <w:r w:rsidRPr="00E52EF1">
        <w:rPr>
          <w:rFonts w:cs="Arial"/>
        </w:rPr>
        <w:t>. All agendas, unrestricted papers and meetings of the JIAC are open to the public and unrestricted papers are available on the PFCC website.  The minutes of the Accountability Board are also published to transparently demonstrate the PFCC holding the Chief Constable to account in line with his statutory role.</w:t>
      </w:r>
    </w:p>
    <w:p w14:paraId="3EF002B2" w14:textId="77777777" w:rsidR="00AD4C8C" w:rsidRPr="00E23406" w:rsidRDefault="00AD4C8C" w:rsidP="00AD4C8C">
      <w:pPr>
        <w:rPr>
          <w:b/>
          <w:u w:val="single"/>
        </w:rPr>
      </w:pPr>
    </w:p>
    <w:p w14:paraId="18A44EF8" w14:textId="77777777" w:rsidR="00AD4C8C" w:rsidRDefault="00AD4C8C" w:rsidP="00AD4C8C">
      <w:pPr>
        <w:rPr>
          <w:rFonts w:cs="Arial"/>
        </w:rPr>
      </w:pPr>
      <w:r>
        <w:rPr>
          <w:rFonts w:cs="Arial"/>
        </w:rPr>
        <w:t xml:space="preserve">Decisions made by the PFCC are published on the website, together with </w:t>
      </w:r>
      <w:r w:rsidRPr="00E52EF1">
        <w:rPr>
          <w:rFonts w:cs="Arial"/>
        </w:rPr>
        <w:t>consultation</w:t>
      </w:r>
      <w:r>
        <w:rPr>
          <w:rFonts w:cs="Arial"/>
        </w:rPr>
        <w:t>s</w:t>
      </w:r>
      <w:r w:rsidRPr="00E52EF1">
        <w:rPr>
          <w:rFonts w:cs="Arial"/>
        </w:rPr>
        <w:t xml:space="preserve"> and details of future public events and public surveys.</w:t>
      </w:r>
      <w:r>
        <w:rPr>
          <w:rFonts w:cs="Arial"/>
        </w:rPr>
        <w:t xml:space="preserve">  </w:t>
      </w:r>
      <w:r w:rsidRPr="00E52EF1">
        <w:rPr>
          <w:rFonts w:cs="Arial"/>
        </w:rPr>
        <w:t xml:space="preserve">The OPFCC undertakes regular council taxpayer, customer and victim survey activities, ensuring that these can be used to inform council tax levels, service delivery by the Force and services which the PFCC has commissioned.  </w:t>
      </w:r>
      <w:r>
        <w:rPr>
          <w:rFonts w:cs="Arial"/>
        </w:rPr>
        <w:t xml:space="preserve">The PFCC undertook public consultation to inform setting the Policing precept for 2023/24 and </w:t>
      </w:r>
      <w:r>
        <w:rPr>
          <w:rFonts w:cs="Arial"/>
        </w:rPr>
        <w:lastRenderedPageBreak/>
        <w:t>2024/25.  The consultation included wider public engagement for policing and the report is available on the OPFCC website.</w:t>
      </w:r>
    </w:p>
    <w:p w14:paraId="72762D93" w14:textId="77777777" w:rsidR="00AD4C8C" w:rsidRDefault="00AD4C8C" w:rsidP="00AD4C8C">
      <w:pPr>
        <w:rPr>
          <w:rFonts w:cs="Arial"/>
        </w:rPr>
      </w:pPr>
    </w:p>
    <w:p w14:paraId="3ABF440F" w14:textId="77777777" w:rsidR="00AD4C8C" w:rsidRPr="00932B83" w:rsidRDefault="00AD4C8C" w:rsidP="00AD4C8C">
      <w:pPr>
        <w:rPr>
          <w:b/>
          <w:bCs/>
          <w:color w:val="990033"/>
        </w:rPr>
      </w:pPr>
      <w:r w:rsidRPr="00932B83">
        <w:rPr>
          <w:rFonts w:cs="Arial"/>
        </w:rPr>
        <w:t>Additional consultation took place to gauge public confidence and to identify any areas where work needs to be done to make the public feel safer.  The results are available on the PFCC website.</w:t>
      </w:r>
    </w:p>
    <w:p w14:paraId="56A2BD67" w14:textId="77777777" w:rsidR="00AD4C8C" w:rsidRPr="00B21CBA" w:rsidRDefault="00AD4C8C" w:rsidP="00AD4C8C">
      <w:pPr>
        <w:rPr>
          <w:b/>
          <w:color w:val="C00000"/>
        </w:rPr>
      </w:pPr>
    </w:p>
    <w:p w14:paraId="3C48FCF9" w14:textId="77777777" w:rsidR="00AD4C8C" w:rsidRPr="00B21CBA" w:rsidRDefault="00AD4C8C" w:rsidP="00AD4C8C">
      <w:pPr>
        <w:pStyle w:val="VAHeadingLevel2"/>
      </w:pPr>
      <w:r w:rsidRPr="00B21CBA">
        <w:rPr>
          <w:b/>
        </w:rPr>
        <w:t>Principle C:</w:t>
      </w:r>
      <w:r w:rsidRPr="00B21CBA">
        <w:t xml:space="preserve"> Defining Outcomes in Terms of Sustainable, Economic, Social and Environmental Outcomes</w:t>
      </w:r>
    </w:p>
    <w:p w14:paraId="571DAD27" w14:textId="77777777" w:rsidR="00AD4C8C" w:rsidRPr="00963DD4" w:rsidRDefault="00AD4C8C" w:rsidP="00AD4C8C">
      <w:r>
        <w:t xml:space="preserve">For the 2023/24 budget and precept, the Police, Fire and Crime Plan was informed by the strategic policing requirement and used to direct the resources for the OPFCC and the Chief Constable through the Revenue and Capital budgets.  </w:t>
      </w:r>
      <w:r w:rsidRPr="00963DD4">
        <w:t>It informs where resources are most needed and targets investment to priority areas.</w:t>
      </w:r>
    </w:p>
    <w:p w14:paraId="2888A310" w14:textId="77777777" w:rsidR="00AD4C8C" w:rsidRPr="00963DD4" w:rsidRDefault="00AD4C8C" w:rsidP="00AD4C8C"/>
    <w:p w14:paraId="1CE453E3" w14:textId="77777777" w:rsidR="00AD4C8C" w:rsidRPr="00963DD4" w:rsidRDefault="00AD4C8C" w:rsidP="00AD4C8C">
      <w:r>
        <w:t xml:space="preserve">As in previous years, the 2023/24 and 2024/25 budgets were prepared on zero-based budget principles, the Chief Constable was fully involved in the preparation of the budgets.  </w:t>
      </w:r>
      <w:r w:rsidRPr="00963DD4">
        <w:t>The 202</w:t>
      </w:r>
      <w:r>
        <w:t>3</w:t>
      </w:r>
      <w:r w:rsidRPr="00963DD4">
        <w:t>/2</w:t>
      </w:r>
      <w:r>
        <w:t>4</w:t>
      </w:r>
      <w:r w:rsidRPr="00963DD4">
        <w:t xml:space="preserve"> budget, council tax levels and Medium Term Financial Plan (MTFP), alongside the </w:t>
      </w:r>
      <w:r>
        <w:t>R</w:t>
      </w:r>
      <w:r w:rsidRPr="00963DD4">
        <w:t xml:space="preserve">eserves, </w:t>
      </w:r>
      <w:r>
        <w:t>C</w:t>
      </w:r>
      <w:r w:rsidRPr="00963DD4">
        <w:t xml:space="preserve">apital and Treasury Management Strategies were considered by the PFCC in proposing and setting </w:t>
      </w:r>
      <w:r>
        <w:t>the</w:t>
      </w:r>
      <w:r w:rsidRPr="00963DD4">
        <w:t xml:space="preserve"> level of precept.</w:t>
      </w:r>
    </w:p>
    <w:p w14:paraId="7E72F258" w14:textId="77777777" w:rsidR="00AD4C8C" w:rsidRPr="00963DD4" w:rsidRDefault="00AD4C8C" w:rsidP="00AD4C8C"/>
    <w:p w14:paraId="1AC813BB" w14:textId="77777777" w:rsidR="00AD4C8C" w:rsidRPr="00963DD4" w:rsidRDefault="00AD4C8C" w:rsidP="00AD4C8C">
      <w:r w:rsidRPr="00963DD4">
        <w:t>Grants for financial support were advertised on the PFCC website and administered in 202</w:t>
      </w:r>
      <w:r>
        <w:t>3</w:t>
      </w:r>
      <w:r w:rsidRPr="00963DD4">
        <w:t>/2</w:t>
      </w:r>
      <w:r>
        <w:t>4</w:t>
      </w:r>
      <w:r w:rsidRPr="00963DD4">
        <w:t xml:space="preserve"> via the OPFCC.  All resources are allocated in line with the objectives of the Police, Fire and Crime Plan.</w:t>
      </w:r>
    </w:p>
    <w:p w14:paraId="08A9A6DB" w14:textId="77777777" w:rsidR="00AD4C8C" w:rsidRPr="00963DD4" w:rsidRDefault="00AD4C8C" w:rsidP="00AD4C8C"/>
    <w:p w14:paraId="6F72E2B1" w14:textId="31F8908C" w:rsidR="00AD4C8C" w:rsidRPr="00963DD4" w:rsidRDefault="00AD4C8C" w:rsidP="00AD4C8C">
      <w:r w:rsidRPr="00963DD4">
        <w:t xml:space="preserve">The Force and PFCC support a number of collaborative arrangements, in the East Midlands, cross-region and nationally, aimed at better delivering positive outcomes.  A number of these relate to the national Strategic Policing Requirement.  The PFCC has a statutory responsibility to consider the national </w:t>
      </w:r>
      <w:r w:rsidR="008973EF" w:rsidRPr="00963DD4">
        <w:t>requirement,</w:t>
      </w:r>
      <w:r w:rsidRPr="00963DD4">
        <w:t xml:space="preserve"> and collaborative working enables </w:t>
      </w:r>
      <w:r>
        <w:t>a response</w:t>
      </w:r>
      <w:r w:rsidRPr="00963DD4">
        <w:t xml:space="preserve"> in an efficient and cost-effective manner.  The Regional Governance Team continued to support the Regional P</w:t>
      </w:r>
      <w:r>
        <w:t>(</w:t>
      </w:r>
      <w:r w:rsidRPr="00963DD4">
        <w:t>F</w:t>
      </w:r>
      <w:r>
        <w:t>)</w:t>
      </w:r>
      <w:r w:rsidRPr="00963DD4">
        <w:t>CCs to drive and develop collaboration.</w:t>
      </w:r>
    </w:p>
    <w:p w14:paraId="256F96EA" w14:textId="77777777" w:rsidR="00AD4C8C" w:rsidRPr="00963DD4" w:rsidRDefault="00AD4C8C" w:rsidP="00AD4C8C"/>
    <w:p w14:paraId="44FD572A" w14:textId="77777777" w:rsidR="00AD4C8C" w:rsidRPr="00963DD4" w:rsidRDefault="00AD4C8C" w:rsidP="00AD4C8C">
      <w:r w:rsidRPr="00963DD4">
        <w:t>In the context of resource constraints, Regional P</w:t>
      </w:r>
      <w:r>
        <w:t>(</w:t>
      </w:r>
      <w:r w:rsidRPr="00963DD4">
        <w:t>F</w:t>
      </w:r>
      <w:r>
        <w:t>)</w:t>
      </w:r>
      <w:r w:rsidRPr="00963DD4">
        <w:t>CC and CCs continue to review the most appropriate balance of local and regional resource delivery.</w:t>
      </w:r>
    </w:p>
    <w:p w14:paraId="4605BD06" w14:textId="77777777" w:rsidR="00AD4C8C" w:rsidRPr="00963DD4" w:rsidRDefault="00AD4C8C" w:rsidP="00AD4C8C"/>
    <w:p w14:paraId="6531760E" w14:textId="77777777" w:rsidR="00AD4C8C" w:rsidRPr="00963DD4" w:rsidRDefault="00AD4C8C" w:rsidP="00AD4C8C">
      <w:r w:rsidRPr="00963DD4">
        <w:t>General Reserves were maintained at a sustainable level of £5</w:t>
      </w:r>
      <w:r>
        <w:t>.3</w:t>
      </w:r>
      <w:r w:rsidRPr="00963DD4">
        <w:t>m during the year which is in keeping with the Northamptonshire Reserves Strategy.</w:t>
      </w:r>
    </w:p>
    <w:p w14:paraId="358ADFFD" w14:textId="77777777" w:rsidR="00AD4C8C" w:rsidRPr="00B21CBA" w:rsidRDefault="00AD4C8C" w:rsidP="00AD4C8C">
      <w:pPr>
        <w:rPr>
          <w:b/>
          <w:color w:val="800000"/>
          <w:highlight w:val="yellow"/>
        </w:rPr>
      </w:pPr>
    </w:p>
    <w:p w14:paraId="2BBFABC7" w14:textId="77777777" w:rsidR="00AD4C8C" w:rsidRPr="00B21CBA" w:rsidRDefault="00AD4C8C" w:rsidP="00AD4C8C">
      <w:pPr>
        <w:pStyle w:val="VAHeadingLevel2"/>
      </w:pPr>
      <w:r w:rsidRPr="00B21CBA">
        <w:rPr>
          <w:b/>
        </w:rPr>
        <w:t>Principle D:</w:t>
      </w:r>
      <w:r w:rsidRPr="00B21CBA">
        <w:t xml:space="preserve"> Determining the Interventions Necessary to Optimise the Achievement of Intended Outcomes </w:t>
      </w:r>
    </w:p>
    <w:p w14:paraId="732DB3FA" w14:textId="77777777" w:rsidR="00AD4C8C" w:rsidRDefault="00AD4C8C" w:rsidP="00AD4C8C">
      <w:bookmarkStart w:id="278" w:name="_Hlk162271486"/>
      <w:r w:rsidRPr="00963DD4">
        <w:t xml:space="preserve">Monitoring of the police officer establishment has </w:t>
      </w:r>
      <w:r>
        <w:t xml:space="preserve">taken place </w:t>
      </w:r>
      <w:r w:rsidRPr="00963DD4">
        <w:t>over the year and the local and national increase of police officers under the national “uplift programme” has further outlined the importance of accurate and robust staffing information.  A strong focus continued in this area during 202</w:t>
      </w:r>
      <w:r>
        <w:t>3</w:t>
      </w:r>
      <w:r w:rsidRPr="00963DD4">
        <w:t>/2</w:t>
      </w:r>
      <w:r>
        <w:t>4</w:t>
      </w:r>
      <w:r w:rsidRPr="00963DD4">
        <w:t xml:space="preserve"> to ensure that local and national staffing recruitment levels were monitored regularly, and that reliance could be placed on the information and decisions made as a consequence.</w:t>
      </w:r>
      <w:r>
        <w:t xml:space="preserve">  Northamptonshire met and exceeded the 1,501 full time equivalent (FTE) police officer target as at 31</w:t>
      </w:r>
      <w:r w:rsidRPr="002F2D21">
        <w:rPr>
          <w:vertAlign w:val="superscript"/>
        </w:rPr>
        <w:t>st</w:t>
      </w:r>
      <w:r>
        <w:t xml:space="preserve"> March 2024.  In fact, as Northamptonshire exceeded both the local and national police officer uplift levels, enabling further Home Office grants to be drawn down.</w:t>
      </w:r>
    </w:p>
    <w:p w14:paraId="3B5E70FC" w14:textId="77777777" w:rsidR="00AD4C8C" w:rsidRDefault="00AD4C8C" w:rsidP="00AD4C8C"/>
    <w:p w14:paraId="3121546E" w14:textId="77777777" w:rsidR="00AD4C8C" w:rsidRPr="005320E1" w:rsidRDefault="00AD4C8C" w:rsidP="00AD4C8C">
      <w:pPr>
        <w:rPr>
          <w:rFonts w:cstheme="minorHAnsi"/>
          <w:szCs w:val="20"/>
        </w:rPr>
      </w:pPr>
      <w:r>
        <w:rPr>
          <w:rFonts w:cstheme="minorHAnsi"/>
          <w:szCs w:val="20"/>
        </w:rPr>
        <w:t xml:space="preserve">In 2022/23, </w:t>
      </w:r>
      <w:r w:rsidRPr="005320E1">
        <w:rPr>
          <w:rFonts w:cstheme="minorHAnsi"/>
          <w:szCs w:val="20"/>
        </w:rPr>
        <w:t xml:space="preserve">the PFCC </w:t>
      </w:r>
      <w:r>
        <w:rPr>
          <w:rFonts w:cstheme="minorHAnsi"/>
          <w:szCs w:val="20"/>
        </w:rPr>
        <w:t>considered</w:t>
      </w:r>
      <w:r w:rsidRPr="005320E1">
        <w:rPr>
          <w:rFonts w:cstheme="minorHAnsi"/>
          <w:szCs w:val="20"/>
        </w:rPr>
        <w:t xml:space="preserve"> a review </w:t>
      </w:r>
      <w:r>
        <w:rPr>
          <w:rFonts w:cstheme="minorHAnsi"/>
          <w:szCs w:val="20"/>
        </w:rPr>
        <w:t xml:space="preserve">of Voice for Victims and concluded that the </w:t>
      </w:r>
      <w:r w:rsidRPr="005320E1">
        <w:rPr>
          <w:rFonts w:cstheme="minorHAnsi"/>
          <w:szCs w:val="20"/>
        </w:rPr>
        <w:t xml:space="preserve">services </w:t>
      </w:r>
      <w:r>
        <w:rPr>
          <w:rFonts w:cstheme="minorHAnsi"/>
          <w:szCs w:val="20"/>
        </w:rPr>
        <w:t xml:space="preserve">would be delivered </w:t>
      </w:r>
      <w:r w:rsidRPr="005320E1">
        <w:rPr>
          <w:rFonts w:cstheme="minorHAnsi"/>
          <w:szCs w:val="20"/>
        </w:rPr>
        <w:t xml:space="preserve">in-house moving forwards. </w:t>
      </w:r>
      <w:r>
        <w:rPr>
          <w:rFonts w:cstheme="minorHAnsi"/>
          <w:szCs w:val="20"/>
        </w:rPr>
        <w:t xml:space="preserve"> Voice for Victims ceased trading on 31 March 2023 the company was ultimately closed down </w:t>
      </w:r>
      <w:r w:rsidRPr="005320E1">
        <w:rPr>
          <w:rFonts w:cstheme="minorHAnsi"/>
          <w:szCs w:val="20"/>
        </w:rPr>
        <w:t>in 202</w:t>
      </w:r>
      <w:r>
        <w:rPr>
          <w:rFonts w:cstheme="minorHAnsi"/>
          <w:szCs w:val="20"/>
        </w:rPr>
        <w:t>3</w:t>
      </w:r>
      <w:r w:rsidRPr="005320E1">
        <w:rPr>
          <w:rFonts w:cstheme="minorHAnsi"/>
          <w:szCs w:val="20"/>
        </w:rPr>
        <w:t>/2</w:t>
      </w:r>
      <w:r>
        <w:rPr>
          <w:rFonts w:cstheme="minorHAnsi"/>
          <w:szCs w:val="20"/>
        </w:rPr>
        <w:t>4</w:t>
      </w:r>
      <w:r w:rsidRPr="005320E1">
        <w:rPr>
          <w:rFonts w:cstheme="minorHAnsi"/>
          <w:szCs w:val="20"/>
        </w:rPr>
        <w:t xml:space="preserve">. </w:t>
      </w:r>
    </w:p>
    <w:bookmarkEnd w:id="278"/>
    <w:p w14:paraId="66B0D47A" w14:textId="77777777" w:rsidR="00AD4C8C" w:rsidRDefault="00AD4C8C" w:rsidP="00AD4C8C">
      <w:pPr>
        <w:rPr>
          <w:rFonts w:cs="Arial"/>
          <w:b/>
          <w:highlight w:val="yellow"/>
        </w:rPr>
      </w:pPr>
    </w:p>
    <w:p w14:paraId="0DE8C9E1" w14:textId="77777777" w:rsidR="00DF1576" w:rsidRDefault="00DF1576" w:rsidP="00AD4C8C">
      <w:pPr>
        <w:rPr>
          <w:rFonts w:cs="Arial"/>
          <w:b/>
          <w:highlight w:val="yellow"/>
        </w:rPr>
      </w:pPr>
    </w:p>
    <w:p w14:paraId="203DA5CA" w14:textId="77777777" w:rsidR="00DF1576" w:rsidRDefault="00DF1576" w:rsidP="00AD4C8C">
      <w:pPr>
        <w:rPr>
          <w:rFonts w:cs="Arial"/>
          <w:b/>
          <w:highlight w:val="yellow"/>
        </w:rPr>
      </w:pPr>
    </w:p>
    <w:p w14:paraId="4BB70D3A" w14:textId="77777777" w:rsidR="00DF1576" w:rsidRPr="00B21CBA" w:rsidRDefault="00DF1576" w:rsidP="00AD4C8C">
      <w:pPr>
        <w:rPr>
          <w:rFonts w:cs="Arial"/>
          <w:b/>
          <w:highlight w:val="yellow"/>
        </w:rPr>
      </w:pPr>
    </w:p>
    <w:p w14:paraId="28D44854" w14:textId="77777777" w:rsidR="00AD4C8C" w:rsidRPr="00B21CBA" w:rsidRDefault="00AD4C8C" w:rsidP="00AD4C8C">
      <w:pPr>
        <w:pStyle w:val="VAHeadingLevel2"/>
      </w:pPr>
      <w:r w:rsidRPr="00B21CBA">
        <w:rPr>
          <w:b/>
        </w:rPr>
        <w:lastRenderedPageBreak/>
        <w:t>Principle E:</w:t>
      </w:r>
      <w:r w:rsidRPr="00B21CBA">
        <w:t xml:space="preserve"> Developing Capacity and Capability</w:t>
      </w:r>
    </w:p>
    <w:p w14:paraId="72E78997" w14:textId="2DC0EC5C" w:rsidR="00AD4C8C" w:rsidRPr="00224BFA" w:rsidRDefault="00AD4C8C" w:rsidP="00AD4C8C">
      <w:bookmarkStart w:id="279" w:name="_Hlk191026439"/>
      <w:r w:rsidRPr="00224BFA">
        <w:t xml:space="preserve">During 2023/24, both the Statutory Chief Finance Officer and Monitoring Officer left the </w:t>
      </w:r>
      <w:r w:rsidR="00AE675E">
        <w:t>OPFCC</w:t>
      </w:r>
      <w:r w:rsidRPr="00224BFA">
        <w:t xml:space="preserve">.  </w:t>
      </w:r>
      <w:r w:rsidR="008973EF">
        <w:t>T</w:t>
      </w:r>
      <w:r w:rsidR="008973EF" w:rsidRPr="00224BFA">
        <w:t xml:space="preserve">he Chief Finance Officer post </w:t>
      </w:r>
      <w:r w:rsidR="008973EF">
        <w:t>w</w:t>
      </w:r>
      <w:r w:rsidR="008973EF" w:rsidRPr="00224BFA">
        <w:t>as filled on an interim basis</w:t>
      </w:r>
      <w:r w:rsidR="008973EF">
        <w:t xml:space="preserve"> </w:t>
      </w:r>
      <w:r w:rsidR="006C2E16">
        <w:t>in</w:t>
      </w:r>
      <w:r w:rsidR="008973EF" w:rsidRPr="00224BFA">
        <w:t xml:space="preserve"> December 2023</w:t>
      </w:r>
      <w:r w:rsidR="008973EF">
        <w:t xml:space="preserve"> with a permanent appointment made in October 2024</w:t>
      </w:r>
      <w:r w:rsidR="008973EF" w:rsidRPr="00224BFA">
        <w:t>.</w:t>
      </w:r>
      <w:r w:rsidR="008973EF">
        <w:t xml:space="preserve">  </w:t>
      </w:r>
      <w:r w:rsidRPr="00224BFA">
        <w:t>A permanent replacement for the Monitoring Officer was recruited</w:t>
      </w:r>
      <w:r w:rsidR="008973EF">
        <w:t xml:space="preserve"> in January 2024</w:t>
      </w:r>
      <w:r w:rsidR="006C2E16">
        <w:t>.</w:t>
      </w:r>
      <w:r w:rsidRPr="00224BFA">
        <w:t xml:space="preserve"> </w:t>
      </w:r>
    </w:p>
    <w:p w14:paraId="37966635" w14:textId="77777777" w:rsidR="00AD4C8C" w:rsidRPr="00224BFA" w:rsidRDefault="00AD4C8C" w:rsidP="00AD4C8C"/>
    <w:p w14:paraId="1FDBDEF1" w14:textId="55720D1B" w:rsidR="00AD4C8C" w:rsidRPr="00224BFA" w:rsidRDefault="00AD4C8C" w:rsidP="00AD4C8C">
      <w:r w:rsidRPr="00224BFA">
        <w:t>Following the suspension of Nick Adderley, Ivan Balhatchet took the role of Acting Chief Constable from 17</w:t>
      </w:r>
      <w:r w:rsidRPr="00224BFA">
        <w:rPr>
          <w:vertAlign w:val="superscript"/>
        </w:rPr>
        <w:t>th</w:t>
      </w:r>
      <w:r w:rsidRPr="00224BFA">
        <w:t xml:space="preserve"> October 2023 and continued to take forward the operational delivery arrangements within the Force under the Force Strategic Plan.  </w:t>
      </w:r>
      <w:r w:rsidR="006C2E16">
        <w:t xml:space="preserve">A rigorous recruitment process then took place and Mr Balhatchet was appointed on a permanent basis in February 2025.  </w:t>
      </w:r>
      <w:r w:rsidRPr="00224BFA">
        <w:t>There w</w:t>
      </w:r>
      <w:r w:rsidR="00AE675E">
        <w:t>ere</w:t>
      </w:r>
      <w:r w:rsidRPr="00224BFA">
        <w:t xml:space="preserve"> also </w:t>
      </w:r>
      <w:r w:rsidR="006C2E16">
        <w:t>Deputy and</w:t>
      </w:r>
      <w:r w:rsidR="006C2E16" w:rsidRPr="00224BFA">
        <w:t xml:space="preserve"> </w:t>
      </w:r>
      <w:r w:rsidRPr="00224BFA">
        <w:t>Assistant Chief Constable</w:t>
      </w:r>
      <w:r w:rsidR="006C2E16">
        <w:t xml:space="preserve">s </w:t>
      </w:r>
      <w:r w:rsidRPr="00224BFA">
        <w:t>in post during this time.</w:t>
      </w:r>
    </w:p>
    <w:bookmarkEnd w:id="279"/>
    <w:p w14:paraId="5104754D" w14:textId="77777777" w:rsidR="00AD4C8C" w:rsidRPr="00224BFA" w:rsidRDefault="00AD4C8C" w:rsidP="00AD4C8C"/>
    <w:p w14:paraId="3314FC31" w14:textId="77777777" w:rsidR="00AD4C8C" w:rsidRPr="00224BFA" w:rsidRDefault="00AD4C8C" w:rsidP="00AD4C8C">
      <w:r w:rsidRPr="00224BFA">
        <w:t>The OPFCC continued with the commitment to Early Intervention and Youth Work, continuing to appoint people to focus on these roles, with investment in additional Domestic Violence and Sexual Abuse support for the County.</w:t>
      </w:r>
    </w:p>
    <w:p w14:paraId="471BA8E2" w14:textId="77777777" w:rsidR="00AD4C8C" w:rsidRPr="00224BFA" w:rsidRDefault="00AD4C8C" w:rsidP="00AD4C8C"/>
    <w:p w14:paraId="0B2AD214" w14:textId="77777777" w:rsidR="00AD4C8C" w:rsidRPr="00224BFA" w:rsidRDefault="00AD4C8C" w:rsidP="00AD4C8C">
      <w:r w:rsidRPr="00224BFA">
        <w:t xml:space="preserve">The PFCC and Acting Chief Constable commitment to Police Officer recruitment continued throughout the year.  The local and national establishment target of 1,501 FTE was maintained.  This establishment represents the highest number of police officers Northamptonshire has ever had and has enabled the OPFCC and the Chief Constable to invest resource in neighbourhoods, a key priority set out within the Police, Fire and Crime Plan. </w:t>
      </w:r>
    </w:p>
    <w:p w14:paraId="04C9F2EE" w14:textId="77777777" w:rsidR="00AD4C8C" w:rsidRPr="002F2D21" w:rsidRDefault="00AD4C8C" w:rsidP="00AD4C8C">
      <w:pPr>
        <w:rPr>
          <w:highlight w:val="yellow"/>
        </w:rPr>
      </w:pPr>
    </w:p>
    <w:p w14:paraId="527947A3" w14:textId="77777777" w:rsidR="00AD4C8C" w:rsidRPr="00B21CBA" w:rsidRDefault="00AD4C8C" w:rsidP="00AD4C8C">
      <w:pPr>
        <w:pStyle w:val="VAHeadingLevel2"/>
      </w:pPr>
      <w:r w:rsidRPr="00B21CBA">
        <w:rPr>
          <w:b/>
        </w:rPr>
        <w:t>Principle F:</w:t>
      </w:r>
      <w:r w:rsidRPr="00B21CBA">
        <w:t xml:space="preserve"> Managing Risk and Monitoring Performance</w:t>
      </w:r>
    </w:p>
    <w:p w14:paraId="11BE1461" w14:textId="77777777" w:rsidR="00AD4C8C" w:rsidRPr="00B00970" w:rsidRDefault="00AD4C8C" w:rsidP="00AD4C8C">
      <w:pPr>
        <w:rPr>
          <w:rFonts w:cs="Arial"/>
        </w:rPr>
      </w:pPr>
      <w:bookmarkStart w:id="280" w:name="_Hlk162271728"/>
      <w:r w:rsidRPr="00B00970">
        <w:rPr>
          <w:rFonts w:cs="Arial"/>
        </w:rPr>
        <w:t>During 202</w:t>
      </w:r>
      <w:r>
        <w:rPr>
          <w:rFonts w:cs="Arial"/>
        </w:rPr>
        <w:t>3</w:t>
      </w:r>
      <w:r w:rsidRPr="00B00970">
        <w:rPr>
          <w:rFonts w:cs="Arial"/>
        </w:rPr>
        <w:t>/2</w:t>
      </w:r>
      <w:r>
        <w:rPr>
          <w:rFonts w:cs="Arial"/>
        </w:rPr>
        <w:t>4</w:t>
      </w:r>
      <w:r w:rsidRPr="00B00970">
        <w:rPr>
          <w:rFonts w:cs="Arial"/>
        </w:rPr>
        <w:t xml:space="preserve">, the PFCC and </w:t>
      </w:r>
      <w:r>
        <w:rPr>
          <w:rFonts w:cs="Arial"/>
        </w:rPr>
        <w:t>the</w:t>
      </w:r>
      <w:r w:rsidRPr="00B00970">
        <w:rPr>
          <w:rFonts w:cs="Arial"/>
        </w:rPr>
        <w:t xml:space="preserve"> </w:t>
      </w:r>
      <w:r>
        <w:rPr>
          <w:rFonts w:cs="Arial"/>
        </w:rPr>
        <w:t>O</w:t>
      </w:r>
      <w:r w:rsidRPr="00B00970">
        <w:rPr>
          <w:rFonts w:cs="Arial"/>
        </w:rPr>
        <w:t xml:space="preserve">ffice continued to demonstrate </w:t>
      </w:r>
      <w:r>
        <w:rPr>
          <w:rFonts w:cs="Arial"/>
        </w:rPr>
        <w:t>a</w:t>
      </w:r>
      <w:r w:rsidRPr="00B00970">
        <w:rPr>
          <w:rFonts w:cs="Arial"/>
        </w:rPr>
        <w:t xml:space="preserve">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42090C0" w14:textId="77777777" w:rsidR="00AD4C8C" w:rsidRPr="00B00970" w:rsidRDefault="00AD4C8C" w:rsidP="00AD4C8C">
      <w:pPr>
        <w:rPr>
          <w:rFonts w:cs="Arial"/>
        </w:rPr>
      </w:pPr>
    </w:p>
    <w:p w14:paraId="305DE27A" w14:textId="77777777" w:rsidR="00AD4C8C" w:rsidRPr="00B00970" w:rsidRDefault="00AD4C8C" w:rsidP="00AD4C8C">
      <w:pPr>
        <w:rPr>
          <w:rFonts w:cs="Arial"/>
        </w:rPr>
      </w:pPr>
      <w:r w:rsidRPr="00B00970">
        <w:rPr>
          <w:rFonts w:cs="Arial"/>
        </w:rPr>
        <w:t xml:space="preserve">Performance forms a significant part of the Accountability Board and a representative of the OPFCC attends the regular </w:t>
      </w:r>
      <w:r>
        <w:rPr>
          <w:rFonts w:cs="Arial"/>
        </w:rPr>
        <w:t>p</w:t>
      </w:r>
      <w:r w:rsidRPr="00B00970">
        <w:rPr>
          <w:rFonts w:cs="Arial"/>
        </w:rPr>
        <w:t xml:space="preserve">erformance </w:t>
      </w:r>
      <w:r>
        <w:rPr>
          <w:rFonts w:cs="Arial"/>
        </w:rPr>
        <w:t>m</w:t>
      </w:r>
      <w:r w:rsidRPr="00B00970">
        <w:rPr>
          <w:rFonts w:cs="Arial"/>
        </w:rPr>
        <w:t>eeting</w:t>
      </w:r>
      <w:r>
        <w:rPr>
          <w:rFonts w:cs="Arial"/>
        </w:rPr>
        <w:t>s</w:t>
      </w:r>
      <w:r w:rsidRPr="00B00970">
        <w:rPr>
          <w:rFonts w:cs="Arial"/>
        </w:rPr>
        <w:t xml:space="preserve"> to discuss performance at a more operational level and identify the issues and challenges.</w:t>
      </w:r>
    </w:p>
    <w:p w14:paraId="1CC63C29" w14:textId="77777777" w:rsidR="00AD4C8C" w:rsidRPr="00C80DBB" w:rsidRDefault="00AD4C8C" w:rsidP="00AD4C8C">
      <w:pPr>
        <w:rPr>
          <w:rFonts w:cs="Arial"/>
        </w:rPr>
      </w:pPr>
    </w:p>
    <w:p w14:paraId="7BFEC290" w14:textId="77777777" w:rsidR="00AD4C8C" w:rsidRDefault="00AD4C8C" w:rsidP="00AD4C8C">
      <w:pPr>
        <w:rPr>
          <w:rFonts w:cs="Arial"/>
        </w:rPr>
      </w:pPr>
      <w:r w:rsidRPr="00C80DBB">
        <w:rPr>
          <w:rFonts w:cs="Arial"/>
        </w:rPr>
        <w:t xml:space="preserve">The PFCC and CC have similar risk management policies and manage and record risks in the same manner, through the same system.  </w:t>
      </w:r>
    </w:p>
    <w:p w14:paraId="777B0E10" w14:textId="77777777" w:rsidR="00AD4C8C" w:rsidRDefault="00AD4C8C" w:rsidP="00AD4C8C">
      <w:pPr>
        <w:rPr>
          <w:rFonts w:cs="Arial"/>
        </w:rPr>
      </w:pPr>
    </w:p>
    <w:p w14:paraId="46D7707A" w14:textId="77777777" w:rsidR="00AD4C8C" w:rsidRPr="00C80DBB" w:rsidRDefault="00AD4C8C" w:rsidP="00AD4C8C">
      <w:r>
        <w:t xml:space="preserve">The OCC has the Force Assurance Board which is in place to oversee all risk management and feeds into the Strategic Planning Board to ensure the Chief Constable is fully sighted.  </w:t>
      </w:r>
      <w:r w:rsidRPr="00C80DBB">
        <w:t xml:space="preserve">Risks are reviewed regularly </w:t>
      </w:r>
      <w:r>
        <w:t xml:space="preserve">as part of this </w:t>
      </w:r>
      <w:r w:rsidRPr="00C80DBB">
        <w:t xml:space="preserve">and </w:t>
      </w:r>
      <w:r>
        <w:t xml:space="preserve">also </w:t>
      </w:r>
      <w:r w:rsidRPr="00C80DBB">
        <w:t>considered at JIAC meetings.</w:t>
      </w:r>
    </w:p>
    <w:p w14:paraId="5202CB1E" w14:textId="77777777" w:rsidR="00AD4C8C" w:rsidRPr="00C80DBB" w:rsidRDefault="00AD4C8C" w:rsidP="00AD4C8C">
      <w:pPr>
        <w:rPr>
          <w:rFonts w:cs="Arial"/>
        </w:rPr>
      </w:pPr>
    </w:p>
    <w:p w14:paraId="50370CB9" w14:textId="77777777" w:rsidR="00AD4C8C" w:rsidRDefault="00AD4C8C" w:rsidP="00AD4C8C">
      <w:pPr>
        <w:rPr>
          <w:rFonts w:cs="Arial"/>
        </w:rPr>
      </w:pPr>
      <w:r w:rsidRPr="00C80DBB">
        <w:rPr>
          <w:rFonts w:cs="Arial"/>
        </w:rPr>
        <w:t>During 202</w:t>
      </w:r>
      <w:r>
        <w:rPr>
          <w:rFonts w:cs="Arial"/>
        </w:rPr>
        <w:t>3</w:t>
      </w:r>
      <w:r w:rsidRPr="00C80DBB">
        <w:rPr>
          <w:rFonts w:cs="Arial"/>
        </w:rPr>
        <w:t>/2</w:t>
      </w:r>
      <w:r>
        <w:rPr>
          <w:rFonts w:cs="Arial"/>
        </w:rPr>
        <w:t>4</w:t>
      </w:r>
      <w:r w:rsidRPr="00C80DBB">
        <w:rPr>
          <w:rFonts w:cs="Arial"/>
        </w:rPr>
        <w:t>,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6AEFF257" w14:textId="77777777" w:rsidR="00AD4C8C" w:rsidRDefault="00AD4C8C" w:rsidP="00AD4C8C">
      <w:pPr>
        <w:rPr>
          <w:rFonts w:cs="Arial"/>
        </w:rPr>
      </w:pPr>
    </w:p>
    <w:p w14:paraId="1230EB58" w14:textId="77777777" w:rsidR="00AD4C8C" w:rsidRDefault="00AD4C8C" w:rsidP="00AD4C8C">
      <w:pPr>
        <w:tabs>
          <w:tab w:val="left" w:pos="2616"/>
        </w:tabs>
        <w:rPr>
          <w:rFonts w:cstheme="minorHAnsi"/>
        </w:rPr>
      </w:pPr>
      <w:r w:rsidRPr="0002357F">
        <w:rPr>
          <w:rFonts w:cstheme="minorHAnsi"/>
        </w:rPr>
        <w:t xml:space="preserve">The JIAC Chair and </w:t>
      </w:r>
      <w:r>
        <w:rPr>
          <w:rFonts w:cstheme="minorHAnsi"/>
        </w:rPr>
        <w:t>three</w:t>
      </w:r>
      <w:r w:rsidRPr="0002357F">
        <w:rPr>
          <w:rFonts w:cstheme="minorHAnsi"/>
        </w:rPr>
        <w:t xml:space="preserve"> members continued in their roles during the year</w:t>
      </w:r>
      <w:r>
        <w:rPr>
          <w:rFonts w:cstheme="minorHAnsi"/>
        </w:rPr>
        <w:t>.  O</w:t>
      </w:r>
      <w:r w:rsidRPr="0002357F">
        <w:rPr>
          <w:rFonts w:cstheme="minorHAnsi"/>
        </w:rPr>
        <w:t>ne member was appointed and commenced their role in Ma</w:t>
      </w:r>
      <w:r>
        <w:rPr>
          <w:rFonts w:cstheme="minorHAnsi"/>
        </w:rPr>
        <w:t>rch</w:t>
      </w:r>
      <w:r w:rsidRPr="0002357F">
        <w:rPr>
          <w:rFonts w:cstheme="minorHAnsi"/>
        </w:rPr>
        <w:t xml:space="preserve"> 202</w:t>
      </w:r>
      <w:r>
        <w:rPr>
          <w:rFonts w:cstheme="minorHAnsi"/>
        </w:rPr>
        <w:t>4</w:t>
      </w:r>
      <w:r w:rsidRPr="0002357F">
        <w:rPr>
          <w:rFonts w:cstheme="minorHAnsi"/>
        </w:rPr>
        <w:t xml:space="preserve">. </w:t>
      </w:r>
      <w:r>
        <w:rPr>
          <w:rFonts w:cstheme="minorHAnsi"/>
        </w:rPr>
        <w:t xml:space="preserve"> </w:t>
      </w:r>
      <w:r w:rsidRPr="0002357F">
        <w:rPr>
          <w:rFonts w:cstheme="minorHAnsi"/>
        </w:rPr>
        <w:t xml:space="preserve">JIAC members were offered and some attended CIPFA, Public Sector Audit Appointments (PSAA) or other events. </w:t>
      </w:r>
      <w:r>
        <w:rPr>
          <w:rFonts w:cstheme="minorHAnsi"/>
        </w:rPr>
        <w:t xml:space="preserve"> </w:t>
      </w:r>
      <w:r w:rsidRPr="0002357F">
        <w:rPr>
          <w:rFonts w:cstheme="minorHAnsi"/>
        </w:rPr>
        <w:t>Additionally</w:t>
      </w:r>
      <w:r>
        <w:rPr>
          <w:rFonts w:cstheme="minorHAnsi"/>
        </w:rPr>
        <w:t>,</w:t>
      </w:r>
      <w:r w:rsidRPr="0002357F">
        <w:rPr>
          <w:rFonts w:cstheme="minorHAnsi"/>
        </w:rPr>
        <w:t xml:space="preserve"> EY and other circulars are shared with JIAC members and senior officers </w:t>
      </w:r>
      <w:r>
        <w:rPr>
          <w:rFonts w:cstheme="minorHAnsi"/>
        </w:rPr>
        <w:t>where provided</w:t>
      </w:r>
      <w:r w:rsidRPr="0002357F">
        <w:rPr>
          <w:rFonts w:cstheme="minorHAnsi"/>
        </w:rPr>
        <w:t>.</w:t>
      </w:r>
    </w:p>
    <w:bookmarkEnd w:id="280"/>
    <w:p w14:paraId="79C14CA2" w14:textId="77777777" w:rsidR="00AD4C8C" w:rsidRPr="00B21CBA" w:rsidRDefault="00AD4C8C" w:rsidP="00AD4C8C">
      <w:pPr>
        <w:rPr>
          <w:rFonts w:eastAsia="Times New Roman" w:cs="Times New Roman"/>
          <w:b/>
          <w:lang w:eastAsia="en-GB"/>
        </w:rPr>
      </w:pPr>
    </w:p>
    <w:p w14:paraId="07A5CF80" w14:textId="77777777" w:rsidR="00AD4C8C" w:rsidRPr="00B21CBA" w:rsidRDefault="00AD4C8C" w:rsidP="00AD4C8C">
      <w:pPr>
        <w:pStyle w:val="VAHeadingLevel2"/>
      </w:pPr>
      <w:r w:rsidRPr="00B21CBA">
        <w:rPr>
          <w:b/>
        </w:rPr>
        <w:t>Principle G:</w:t>
      </w:r>
      <w:r w:rsidRPr="00B21CBA">
        <w:t xml:space="preserve"> Implementing Good Practices in Transparency, Reporting and Accountability </w:t>
      </w:r>
    </w:p>
    <w:p w14:paraId="7F1623A8" w14:textId="77777777" w:rsidR="00AD4C8C" w:rsidRPr="00C80DBB" w:rsidRDefault="00AD4C8C" w:rsidP="006C2E16">
      <w:r w:rsidRPr="00C80DBB">
        <w:t>There are detailed delivery plans that support the achievement of the Police, Fire and Crime Plan objectives.  Processes are in place to hold to account OPFCC staff internally for delivery.  There are nominated leads for all areas.</w:t>
      </w:r>
    </w:p>
    <w:p w14:paraId="0F62F326" w14:textId="77777777" w:rsidR="00AD4C8C" w:rsidRPr="00C80DBB" w:rsidRDefault="00AD4C8C" w:rsidP="00AD4C8C">
      <w:pPr>
        <w:rPr>
          <w:rFonts w:cs="Arial"/>
        </w:rPr>
      </w:pPr>
    </w:p>
    <w:p w14:paraId="6216A9E2" w14:textId="77777777" w:rsidR="00AD4C8C" w:rsidRPr="00C80DBB" w:rsidRDefault="00AD4C8C" w:rsidP="00AD4C8C">
      <w:pPr>
        <w:rPr>
          <w:rFonts w:cs="Arial"/>
        </w:rPr>
      </w:pPr>
      <w:r w:rsidRPr="00C80DBB">
        <w:rPr>
          <w:rFonts w:cs="Arial"/>
        </w:rPr>
        <w:lastRenderedPageBreak/>
        <w:t>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The PFCC undertakes regular public engagement across the County that supports this.</w:t>
      </w:r>
    </w:p>
    <w:p w14:paraId="1A801BF8" w14:textId="77777777" w:rsidR="00AD4C8C" w:rsidRPr="00C80DBB" w:rsidRDefault="00AD4C8C" w:rsidP="00AD4C8C">
      <w:pPr>
        <w:rPr>
          <w:rFonts w:cs="Arial"/>
        </w:rPr>
      </w:pPr>
    </w:p>
    <w:p w14:paraId="3FBDBCE7" w14:textId="77777777" w:rsidR="00AD4C8C" w:rsidRDefault="00AD4C8C" w:rsidP="00AD4C8C">
      <w:pPr>
        <w:tabs>
          <w:tab w:val="left" w:pos="2616"/>
        </w:tabs>
        <w:rPr>
          <w:rFonts w:cs="Calibri"/>
        </w:rPr>
      </w:pPr>
      <w:r w:rsidRPr="00571223">
        <w:rPr>
          <w:rFonts w:cs="Calibri"/>
        </w:rPr>
        <w:t xml:space="preserve">The PFCC provides regular updates to the Police, Fire and Crime Panel as well as to elected Members, officials and members of the local community and has </w:t>
      </w:r>
      <w:r>
        <w:rPr>
          <w:rFonts w:cs="Calibri"/>
        </w:rPr>
        <w:t>continued with the re</w:t>
      </w:r>
      <w:r w:rsidRPr="00571223">
        <w:rPr>
          <w:rFonts w:cs="Calibri"/>
        </w:rPr>
        <w:t>gular newsletter to Northamptonshire Members of Parliament.</w:t>
      </w:r>
    </w:p>
    <w:p w14:paraId="6D04D284" w14:textId="77777777" w:rsidR="00AD4C8C" w:rsidRPr="00571223" w:rsidRDefault="00AD4C8C" w:rsidP="00AD4C8C">
      <w:pPr>
        <w:tabs>
          <w:tab w:val="left" w:pos="2616"/>
        </w:tabs>
        <w:rPr>
          <w:rFonts w:cs="Calibri"/>
        </w:rPr>
      </w:pPr>
    </w:p>
    <w:p w14:paraId="6D0D01AB" w14:textId="3CFC8AAF" w:rsidR="00AD4C8C" w:rsidRDefault="00AD4C8C" w:rsidP="00AD4C8C">
      <w:pPr>
        <w:tabs>
          <w:tab w:val="left" w:pos="2616"/>
        </w:tabs>
        <w:rPr>
          <w:rFonts w:cs="Calibri"/>
        </w:rPr>
      </w:pPr>
      <w:r>
        <w:rPr>
          <w:rFonts w:cs="Calibri"/>
        </w:rPr>
        <w:t>In line with the Accounts and Audit Regulations, the draft 2</w:t>
      </w:r>
      <w:r w:rsidRPr="00571223">
        <w:rPr>
          <w:rFonts w:cs="Calibri"/>
        </w:rPr>
        <w:t>02</w:t>
      </w:r>
      <w:r>
        <w:rPr>
          <w:rFonts w:cs="Calibri"/>
        </w:rPr>
        <w:t>3</w:t>
      </w:r>
      <w:r w:rsidRPr="00571223">
        <w:rPr>
          <w:rFonts w:cs="Calibri"/>
        </w:rPr>
        <w:t>/2</w:t>
      </w:r>
      <w:r>
        <w:rPr>
          <w:rFonts w:cs="Calibri"/>
        </w:rPr>
        <w:t>4</w:t>
      </w:r>
      <w:r w:rsidRPr="00571223">
        <w:rPr>
          <w:rFonts w:cs="Calibri"/>
        </w:rPr>
        <w:t xml:space="preserve"> </w:t>
      </w:r>
      <w:r w:rsidR="006C2E16">
        <w:rPr>
          <w:rFonts w:cs="Calibri"/>
        </w:rPr>
        <w:t>OCC</w:t>
      </w:r>
      <w:r w:rsidR="006C2E16" w:rsidRPr="00571223">
        <w:rPr>
          <w:rFonts w:cs="Calibri"/>
        </w:rPr>
        <w:t xml:space="preserve"> </w:t>
      </w:r>
      <w:r w:rsidRPr="00571223">
        <w:rPr>
          <w:rFonts w:cs="Calibri"/>
        </w:rPr>
        <w:t xml:space="preserve">statement of </w:t>
      </w:r>
      <w:r w:rsidRPr="002A6F3B">
        <w:rPr>
          <w:rFonts w:cs="Calibri"/>
        </w:rPr>
        <w:t>accounts were placed on the</w:t>
      </w:r>
      <w:r w:rsidR="00707FB8">
        <w:rPr>
          <w:rFonts w:cs="Calibri"/>
        </w:rPr>
        <w:t xml:space="preserve"> OCC and</w:t>
      </w:r>
      <w:r w:rsidRPr="002A6F3B">
        <w:rPr>
          <w:rFonts w:cs="Calibri"/>
        </w:rPr>
        <w:t xml:space="preserve"> OPFCC website by the 31 May 202</w:t>
      </w:r>
      <w:r>
        <w:rPr>
          <w:rFonts w:cs="Calibri"/>
        </w:rPr>
        <w:t>4</w:t>
      </w:r>
      <w:r w:rsidRPr="002A6F3B">
        <w:rPr>
          <w:rFonts w:cs="Calibri"/>
        </w:rPr>
        <w:t>.</w:t>
      </w:r>
      <w:r w:rsidRPr="00571223">
        <w:rPr>
          <w:rFonts w:cs="Calibri"/>
        </w:rPr>
        <w:t xml:space="preserve"> </w:t>
      </w:r>
    </w:p>
    <w:p w14:paraId="2705F6BB" w14:textId="77777777" w:rsidR="00AD4C8C" w:rsidRDefault="00AD4C8C" w:rsidP="00AD4C8C">
      <w:pPr>
        <w:tabs>
          <w:tab w:val="left" w:pos="2616"/>
        </w:tabs>
        <w:rPr>
          <w:rFonts w:cs="Calibri"/>
        </w:rPr>
      </w:pPr>
    </w:p>
    <w:p w14:paraId="445EA7FB" w14:textId="2D57664E" w:rsidR="00C118B1" w:rsidRDefault="00C118B1" w:rsidP="00C118B1">
      <w:pPr>
        <w:tabs>
          <w:tab w:val="left" w:pos="2616"/>
        </w:tabs>
        <w:rPr>
          <w:rFonts w:cstheme="minorHAnsi"/>
        </w:rPr>
      </w:pPr>
      <w:bookmarkStart w:id="281" w:name="_Hlk191026506"/>
      <w:r w:rsidRPr="00367E1C">
        <w:rPr>
          <w:rFonts w:cstheme="minorHAnsi"/>
        </w:rPr>
        <w:t xml:space="preserve">As with every year since 2018/19, it was a major concern to the PFCC, the Panel, JIAC and statutory officers, that, due to factors outside of the PFCC’s control, </w:t>
      </w:r>
      <w:r>
        <w:rPr>
          <w:rFonts w:cstheme="minorHAnsi"/>
        </w:rPr>
        <w:t>it was unlikely that the</w:t>
      </w:r>
      <w:r w:rsidRPr="00367E1C">
        <w:rPr>
          <w:rFonts w:cstheme="minorHAnsi"/>
        </w:rPr>
        <w:t xml:space="preserve"> 2021/22 </w:t>
      </w:r>
      <w:r>
        <w:rPr>
          <w:rFonts w:cstheme="minorHAnsi"/>
        </w:rPr>
        <w:t xml:space="preserve">and 2022/23 </w:t>
      </w:r>
      <w:r w:rsidRPr="00367E1C">
        <w:rPr>
          <w:rFonts w:cstheme="minorHAnsi"/>
        </w:rPr>
        <w:t>audit</w:t>
      </w:r>
      <w:r>
        <w:rPr>
          <w:rFonts w:cstheme="minorHAnsi"/>
        </w:rPr>
        <w:t>s</w:t>
      </w:r>
      <w:r w:rsidRPr="00367E1C">
        <w:rPr>
          <w:rFonts w:cstheme="minorHAnsi"/>
        </w:rPr>
        <w:t xml:space="preserve"> </w:t>
      </w:r>
      <w:r>
        <w:rPr>
          <w:rFonts w:cstheme="minorHAnsi"/>
        </w:rPr>
        <w:t xml:space="preserve">would be </w:t>
      </w:r>
      <w:r w:rsidRPr="00367E1C">
        <w:rPr>
          <w:rFonts w:cstheme="minorHAnsi"/>
        </w:rPr>
        <w:t>concluded by the time the draft accounts for 202</w:t>
      </w:r>
      <w:r>
        <w:rPr>
          <w:rFonts w:cstheme="minorHAnsi"/>
        </w:rPr>
        <w:t>3</w:t>
      </w:r>
      <w:r w:rsidRPr="00367E1C">
        <w:rPr>
          <w:rFonts w:cstheme="minorHAnsi"/>
        </w:rPr>
        <w:t>/2</w:t>
      </w:r>
      <w:r>
        <w:rPr>
          <w:rFonts w:cstheme="minorHAnsi"/>
        </w:rPr>
        <w:t>4</w:t>
      </w:r>
      <w:r w:rsidRPr="00367E1C">
        <w:rPr>
          <w:rFonts w:cstheme="minorHAnsi"/>
        </w:rPr>
        <w:t xml:space="preserve"> </w:t>
      </w:r>
      <w:r>
        <w:rPr>
          <w:rFonts w:cstheme="minorHAnsi"/>
        </w:rPr>
        <w:t xml:space="preserve">were </w:t>
      </w:r>
      <w:r w:rsidRPr="00367E1C">
        <w:rPr>
          <w:rFonts w:cstheme="minorHAnsi"/>
        </w:rPr>
        <w:t>published.</w:t>
      </w:r>
      <w:r>
        <w:rPr>
          <w:rFonts w:cstheme="minorHAnsi"/>
        </w:rPr>
        <w:t xml:space="preserve"> </w:t>
      </w:r>
      <w:r w:rsidRPr="00367E1C">
        <w:rPr>
          <w:rFonts w:cstheme="minorHAnsi"/>
        </w:rPr>
        <w:t xml:space="preserve"> Throughout the year, locally and nationally concerns </w:t>
      </w:r>
      <w:r>
        <w:rPr>
          <w:rFonts w:cstheme="minorHAnsi"/>
        </w:rPr>
        <w:t>were</w:t>
      </w:r>
      <w:r w:rsidRPr="00367E1C">
        <w:rPr>
          <w:rFonts w:cstheme="minorHAnsi"/>
        </w:rPr>
        <w:t xml:space="preserve"> raised on a number of occasions regarding the time taken by current audit contracts for the organisation and the public of Northamptonshire.  </w:t>
      </w:r>
    </w:p>
    <w:bookmarkEnd w:id="281"/>
    <w:p w14:paraId="3D06CC31" w14:textId="77777777" w:rsidR="00AD4C8C" w:rsidRPr="00B21CBA" w:rsidRDefault="00AD4C8C" w:rsidP="00AD4C8C">
      <w:pPr>
        <w:rPr>
          <w:b/>
        </w:rPr>
      </w:pPr>
    </w:p>
    <w:p w14:paraId="48D44672" w14:textId="77777777" w:rsidR="00AD4C8C" w:rsidRPr="0030398D" w:rsidRDefault="00AD4C8C" w:rsidP="00AD4C8C">
      <w:pPr>
        <w:pStyle w:val="VAHeadingLevel2"/>
      </w:pPr>
      <w:r>
        <w:t xml:space="preserve">Internal Audit and Internal Audit </w:t>
      </w:r>
      <w:r w:rsidRPr="0030398D">
        <w:t>Review of Effectiveness</w:t>
      </w:r>
    </w:p>
    <w:p w14:paraId="129F6AAB" w14:textId="77777777" w:rsidR="00AD4C8C" w:rsidRPr="0030398D" w:rsidRDefault="00AD4C8C" w:rsidP="00AD4C8C">
      <w:pPr>
        <w:rPr>
          <w:rFonts w:cs="Arial"/>
        </w:rPr>
      </w:pPr>
      <w:bookmarkStart w:id="282" w:name="_Hlk162271896"/>
      <w:r w:rsidRPr="0030398D">
        <w:rPr>
          <w:rFonts w:cs="Arial"/>
        </w:rPr>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08CBE124" w14:textId="77777777" w:rsidR="00AD4C8C" w:rsidRPr="0030398D" w:rsidRDefault="00AD4C8C" w:rsidP="00AD4C8C">
      <w:pPr>
        <w:rPr>
          <w:rFonts w:cs="Arial"/>
        </w:rPr>
      </w:pPr>
    </w:p>
    <w:p w14:paraId="1088CC57" w14:textId="68AE8F32" w:rsidR="00AD4C8C" w:rsidRDefault="00AD4C8C" w:rsidP="00AD4C8C">
      <w:r w:rsidRPr="005127B4">
        <w:rPr>
          <w:rFonts w:cs="Arial"/>
        </w:rPr>
        <w:t>The OPFCC and OCC continued to invest in an Internal Audit programme in 202</w:t>
      </w:r>
      <w:r>
        <w:rPr>
          <w:rFonts w:cs="Arial"/>
        </w:rPr>
        <w:t>3</w:t>
      </w:r>
      <w:r w:rsidRPr="005127B4">
        <w:rPr>
          <w:rFonts w:cs="Arial"/>
        </w:rPr>
        <w:t>/2</w:t>
      </w:r>
      <w:r>
        <w:rPr>
          <w:rFonts w:cs="Arial"/>
        </w:rPr>
        <w:t>4</w:t>
      </w:r>
      <w:r w:rsidRPr="005127B4">
        <w:rPr>
          <w:rFonts w:cs="Arial"/>
        </w:rPr>
        <w:t>.  This agreed plan was approved by the PFCC and considered by the JIAC in March 202</w:t>
      </w:r>
      <w:r>
        <w:rPr>
          <w:rFonts w:cs="Arial"/>
        </w:rPr>
        <w:t>3</w:t>
      </w:r>
      <w:r w:rsidRPr="005127B4">
        <w:rPr>
          <w:rFonts w:cs="Arial"/>
        </w:rPr>
        <w:t xml:space="preserve">. </w:t>
      </w:r>
      <w:r>
        <w:rPr>
          <w:rFonts w:cs="Arial"/>
        </w:rPr>
        <w:t xml:space="preserve"> </w:t>
      </w:r>
      <w:r w:rsidRPr="005127B4">
        <w:rPr>
          <w:rFonts w:cs="Arial"/>
        </w:rPr>
        <w:t xml:space="preserve">The plan covered areas of risk and internal control. </w:t>
      </w:r>
      <w:r>
        <w:rPr>
          <w:rFonts w:cs="Arial"/>
        </w:rPr>
        <w:t xml:space="preserve"> </w:t>
      </w:r>
      <w:r w:rsidRPr="009C092C">
        <w:t>At the date of the reviewing the draft</w:t>
      </w:r>
      <w:r>
        <w:t xml:space="preserve"> annual</w:t>
      </w:r>
      <w:r w:rsidRPr="009C092C">
        <w:t xml:space="preserve"> internal auditor report at the end of April 2024, two audit reports remain</w:t>
      </w:r>
      <w:r w:rsidR="00C118B1">
        <w:t>ed</w:t>
      </w:r>
      <w:r w:rsidRPr="009C092C">
        <w:t xml:space="preserve"> in draft form with final versions imminent.  The assessment of internal controls for these audits and overall </w:t>
      </w:r>
      <w:r w:rsidR="00C118B1">
        <w:t>did not</w:t>
      </w:r>
      <w:r>
        <w:t xml:space="preserve"> change when these </w:t>
      </w:r>
      <w:r w:rsidR="00C118B1">
        <w:t>we</w:t>
      </w:r>
      <w:r>
        <w:t>re finalised.</w:t>
      </w:r>
    </w:p>
    <w:p w14:paraId="6B13EA2A" w14:textId="77777777" w:rsidR="00AD4C8C" w:rsidRDefault="00AD4C8C" w:rsidP="00AD4C8C">
      <w:pPr>
        <w:rPr>
          <w:rFonts w:cs="Arial"/>
          <w:highlight w:val="yellow"/>
        </w:rPr>
      </w:pPr>
    </w:p>
    <w:p w14:paraId="760B2ED0" w14:textId="77777777" w:rsidR="00AD4C8C" w:rsidRPr="005127B4" w:rsidRDefault="00AD4C8C" w:rsidP="00AD4C8C">
      <w:pPr>
        <w:rPr>
          <w:rFonts w:cs="Arial"/>
        </w:rPr>
      </w:pPr>
      <w:r w:rsidRPr="005127B4">
        <w:rPr>
          <w:rFonts w:cs="Arial"/>
        </w:rPr>
        <w:t>The Chief Constable produces an annual update for the PFCC on the progress of recommendations and the PFCC asks for updates on specific audits as appropriate.</w:t>
      </w:r>
    </w:p>
    <w:p w14:paraId="260FCE96" w14:textId="77777777" w:rsidR="00AD4C8C" w:rsidRPr="005127B4" w:rsidRDefault="00AD4C8C" w:rsidP="00AD4C8C">
      <w:pPr>
        <w:rPr>
          <w:rFonts w:cs="Arial"/>
        </w:rPr>
      </w:pPr>
    </w:p>
    <w:p w14:paraId="47750F0F" w14:textId="77777777" w:rsidR="00AD4C8C" w:rsidRDefault="00AD4C8C" w:rsidP="00AD4C8C">
      <w:pPr>
        <w:spacing w:line="240" w:lineRule="auto"/>
        <w:jc w:val="left"/>
        <w:rPr>
          <w:rFonts w:cs="Arial"/>
        </w:rPr>
      </w:pPr>
      <w:r>
        <w:rPr>
          <w:rFonts w:cs="Arial"/>
        </w:rPr>
        <w:br w:type="page"/>
      </w:r>
    </w:p>
    <w:p w14:paraId="70CF7F9F" w14:textId="77777777" w:rsidR="00AD4C8C" w:rsidRPr="005127B4" w:rsidRDefault="00AD4C8C" w:rsidP="00AD4C8C">
      <w:pPr>
        <w:rPr>
          <w:rFonts w:cs="Arial"/>
        </w:rPr>
      </w:pPr>
      <w:r w:rsidRPr="005127B4">
        <w:rPr>
          <w:rFonts w:cs="Arial"/>
        </w:rPr>
        <w:lastRenderedPageBreak/>
        <w:t>The 202</w:t>
      </w:r>
      <w:r>
        <w:rPr>
          <w:rFonts w:cs="Arial"/>
        </w:rPr>
        <w:t>3</w:t>
      </w:r>
      <w:r w:rsidRPr="005127B4">
        <w:rPr>
          <w:rFonts w:cs="Arial"/>
        </w:rPr>
        <w:t>/2</w:t>
      </w:r>
      <w:r>
        <w:rPr>
          <w:rFonts w:cs="Arial"/>
        </w:rPr>
        <w:t>4</w:t>
      </w:r>
      <w:r w:rsidRPr="005127B4">
        <w:rPr>
          <w:rFonts w:cs="Arial"/>
        </w:rPr>
        <w:t xml:space="preserve"> assurance received shows a good internal control environment and assurance and is set out across the past three years as follows:</w:t>
      </w:r>
    </w:p>
    <w:p w14:paraId="635FFA69" w14:textId="77777777" w:rsidR="00AD4C8C" w:rsidRDefault="00AD4C8C" w:rsidP="00AD4C8C">
      <w:pPr>
        <w:rPr>
          <w:rFonts w:cs="Arial"/>
        </w:rPr>
      </w:pPr>
    </w:p>
    <w:tbl>
      <w:tblPr>
        <w:tblW w:w="8320" w:type="dxa"/>
        <w:tblLook w:val="04A0" w:firstRow="1" w:lastRow="0" w:firstColumn="1" w:lastColumn="0" w:noHBand="0" w:noVBand="1"/>
      </w:tblPr>
      <w:tblGrid>
        <w:gridCol w:w="4000"/>
        <w:gridCol w:w="1440"/>
        <w:gridCol w:w="1440"/>
        <w:gridCol w:w="1440"/>
      </w:tblGrid>
      <w:tr w:rsidR="00AD4C8C" w:rsidRPr="00D1493C" w14:paraId="678FD9A4" w14:textId="77777777" w:rsidTr="00034905">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82"/>
          <w:p w14:paraId="74166D87"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Audit Area</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74B6A7"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Assurance Rating</w:t>
            </w:r>
          </w:p>
        </w:tc>
      </w:tr>
      <w:tr w:rsidR="00AD4C8C" w:rsidRPr="00D1493C" w14:paraId="56657563" w14:textId="77777777" w:rsidTr="00034905">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149D5288" w14:textId="77777777" w:rsidR="00AD4C8C" w:rsidRPr="00D1493C" w:rsidRDefault="00AD4C8C" w:rsidP="00034905">
            <w:pPr>
              <w:spacing w:line="240" w:lineRule="auto"/>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7273D8BC"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2021/22</w:t>
            </w:r>
          </w:p>
        </w:tc>
        <w:tc>
          <w:tcPr>
            <w:tcW w:w="1440" w:type="dxa"/>
            <w:tcBorders>
              <w:top w:val="nil"/>
              <w:left w:val="nil"/>
              <w:bottom w:val="single" w:sz="4" w:space="0" w:color="auto"/>
              <w:right w:val="single" w:sz="4" w:space="0" w:color="auto"/>
            </w:tcBorders>
            <w:shd w:val="clear" w:color="auto" w:fill="auto"/>
            <w:noWrap/>
            <w:vAlign w:val="center"/>
            <w:hideMark/>
          </w:tcPr>
          <w:p w14:paraId="614EA060"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2022/23</w:t>
            </w:r>
          </w:p>
        </w:tc>
        <w:tc>
          <w:tcPr>
            <w:tcW w:w="1440" w:type="dxa"/>
            <w:tcBorders>
              <w:top w:val="nil"/>
              <w:left w:val="nil"/>
              <w:bottom w:val="single" w:sz="4" w:space="0" w:color="auto"/>
              <w:right w:val="single" w:sz="4" w:space="0" w:color="auto"/>
            </w:tcBorders>
            <w:shd w:val="clear" w:color="auto" w:fill="auto"/>
            <w:noWrap/>
            <w:vAlign w:val="center"/>
            <w:hideMark/>
          </w:tcPr>
          <w:p w14:paraId="206B7B49" w14:textId="77777777" w:rsidR="00AD4C8C" w:rsidRPr="00D1493C" w:rsidRDefault="00AD4C8C" w:rsidP="00034905">
            <w:pPr>
              <w:spacing w:line="240" w:lineRule="auto"/>
              <w:jc w:val="center"/>
              <w:rPr>
                <w:rFonts w:eastAsia="Times New Roman" w:cs="Calibri"/>
                <w:b/>
                <w:bCs/>
                <w:color w:val="000000"/>
                <w:szCs w:val="20"/>
                <w:lang w:eastAsia="en-GB"/>
              </w:rPr>
            </w:pPr>
            <w:r w:rsidRPr="00D1493C">
              <w:rPr>
                <w:rFonts w:eastAsia="Times New Roman" w:cs="Calibri"/>
                <w:b/>
                <w:bCs/>
                <w:color w:val="000000"/>
                <w:szCs w:val="20"/>
                <w:lang w:eastAsia="en-GB"/>
              </w:rPr>
              <w:t>2023/24</w:t>
            </w:r>
          </w:p>
        </w:tc>
      </w:tr>
      <w:tr w:rsidR="00AD4C8C" w:rsidRPr="00D1493C" w14:paraId="39C9054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D5536F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00B050"/>
            <w:noWrap/>
            <w:vAlign w:val="center"/>
            <w:hideMark/>
          </w:tcPr>
          <w:p w14:paraId="1929D5E8"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00B050"/>
            <w:noWrap/>
            <w:vAlign w:val="center"/>
            <w:hideMark/>
          </w:tcPr>
          <w:p w14:paraId="74FFDFA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92D050"/>
            <w:noWrap/>
            <w:vAlign w:val="center"/>
            <w:hideMark/>
          </w:tcPr>
          <w:p w14:paraId="1733D04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288C7D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FDC99C8"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7D048CCE"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329AC47B"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7670701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5B64297"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46696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Payroll</w:t>
            </w:r>
          </w:p>
        </w:tc>
        <w:tc>
          <w:tcPr>
            <w:tcW w:w="2880" w:type="dxa"/>
            <w:gridSpan w:val="2"/>
            <w:tcBorders>
              <w:top w:val="single" w:sz="4" w:space="0" w:color="auto"/>
              <w:left w:val="nil"/>
              <w:bottom w:val="single" w:sz="4" w:space="0" w:color="auto"/>
              <w:right w:val="single" w:sz="4" w:space="0" w:color="000000"/>
            </w:tcBorders>
            <w:shd w:val="clear" w:color="000000" w:fill="E7E6E6"/>
            <w:vAlign w:val="center"/>
            <w:hideMark/>
          </w:tcPr>
          <w:p w14:paraId="4E9E588F"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Included in 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2BB83AD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053DD8C8"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C2577B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Fleet Management</w:t>
            </w:r>
          </w:p>
        </w:tc>
        <w:tc>
          <w:tcPr>
            <w:tcW w:w="1440" w:type="dxa"/>
            <w:tcBorders>
              <w:top w:val="nil"/>
              <w:left w:val="nil"/>
              <w:bottom w:val="nil"/>
              <w:right w:val="nil"/>
            </w:tcBorders>
            <w:shd w:val="clear" w:color="000000" w:fill="E7E6E6"/>
            <w:vAlign w:val="center"/>
            <w:hideMark/>
          </w:tcPr>
          <w:p w14:paraId="546D9D29"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0C33224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20B61B3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F2FF29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0B22A0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Procurement</w:t>
            </w:r>
          </w:p>
        </w:tc>
        <w:tc>
          <w:tcPr>
            <w:tcW w:w="1440" w:type="dxa"/>
            <w:tcBorders>
              <w:top w:val="nil"/>
              <w:left w:val="nil"/>
              <w:bottom w:val="single" w:sz="4" w:space="0" w:color="auto"/>
              <w:right w:val="nil"/>
            </w:tcBorders>
            <w:shd w:val="clear" w:color="000000" w:fill="E7E6E6"/>
            <w:vAlign w:val="center"/>
            <w:hideMark/>
          </w:tcPr>
          <w:p w14:paraId="3E0413C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nil"/>
            </w:tcBorders>
            <w:shd w:val="clear" w:color="000000" w:fill="E7E6E6"/>
            <w:vAlign w:val="center"/>
            <w:hideMark/>
          </w:tcPr>
          <w:p w14:paraId="3D78B2E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5A75404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045842F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D7B061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GDPR</w:t>
            </w:r>
          </w:p>
        </w:tc>
        <w:tc>
          <w:tcPr>
            <w:tcW w:w="1440" w:type="dxa"/>
            <w:tcBorders>
              <w:top w:val="nil"/>
              <w:left w:val="nil"/>
              <w:bottom w:val="single" w:sz="4" w:space="0" w:color="auto"/>
              <w:right w:val="single" w:sz="4" w:space="0" w:color="auto"/>
            </w:tcBorders>
            <w:shd w:val="clear" w:color="000000" w:fill="00B050"/>
            <w:noWrap/>
            <w:vAlign w:val="center"/>
            <w:hideMark/>
          </w:tcPr>
          <w:p w14:paraId="03A57BC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7E89FF1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val="restart"/>
            <w:tcBorders>
              <w:top w:val="nil"/>
              <w:left w:val="nil"/>
              <w:bottom w:val="single" w:sz="4" w:space="0" w:color="000000"/>
              <w:right w:val="single" w:sz="4" w:space="0" w:color="auto"/>
            </w:tcBorders>
            <w:shd w:val="clear" w:color="000000" w:fill="E7E6E6"/>
            <w:vAlign w:val="center"/>
            <w:hideMark/>
          </w:tcPr>
          <w:p w14:paraId="0F0D17D7"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72042D8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90E9A0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Health and Safety</w:t>
            </w:r>
          </w:p>
        </w:tc>
        <w:tc>
          <w:tcPr>
            <w:tcW w:w="1440" w:type="dxa"/>
            <w:tcBorders>
              <w:top w:val="nil"/>
              <w:left w:val="nil"/>
              <w:bottom w:val="single" w:sz="4" w:space="0" w:color="auto"/>
              <w:right w:val="single" w:sz="4" w:space="0" w:color="auto"/>
            </w:tcBorders>
            <w:shd w:val="clear" w:color="000000" w:fill="92D050"/>
            <w:noWrap/>
            <w:vAlign w:val="center"/>
            <w:hideMark/>
          </w:tcPr>
          <w:p w14:paraId="50371E1C"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6D8AFAC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07C37FA2"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50B39FB5"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552D54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IT/Cyber Security</w:t>
            </w:r>
          </w:p>
        </w:tc>
        <w:tc>
          <w:tcPr>
            <w:tcW w:w="1440" w:type="dxa"/>
            <w:tcBorders>
              <w:top w:val="nil"/>
              <w:left w:val="nil"/>
              <w:bottom w:val="single" w:sz="4" w:space="0" w:color="auto"/>
              <w:right w:val="single" w:sz="4" w:space="0" w:color="auto"/>
            </w:tcBorders>
            <w:shd w:val="clear" w:color="000000" w:fill="FFC000"/>
            <w:noWrap/>
            <w:vAlign w:val="center"/>
            <w:hideMark/>
          </w:tcPr>
          <w:p w14:paraId="75CBF05B"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2BD0D9C8"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063F97EA"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38407386"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602C95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New Finance System - Control environment</w:t>
            </w:r>
          </w:p>
        </w:tc>
        <w:tc>
          <w:tcPr>
            <w:tcW w:w="1440" w:type="dxa"/>
            <w:tcBorders>
              <w:top w:val="nil"/>
              <w:left w:val="nil"/>
              <w:bottom w:val="single" w:sz="4" w:space="0" w:color="auto"/>
              <w:right w:val="single" w:sz="4" w:space="0" w:color="auto"/>
            </w:tcBorders>
            <w:shd w:val="clear" w:color="000000" w:fill="00B050"/>
            <w:noWrap/>
            <w:vAlign w:val="center"/>
            <w:hideMark/>
          </w:tcPr>
          <w:p w14:paraId="03F28EE9"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0B6129A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986ED0A"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41EC73CA"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B9C9BD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Seized Property</w:t>
            </w:r>
          </w:p>
        </w:tc>
        <w:tc>
          <w:tcPr>
            <w:tcW w:w="1440" w:type="dxa"/>
            <w:tcBorders>
              <w:top w:val="nil"/>
              <w:left w:val="nil"/>
              <w:bottom w:val="single" w:sz="4" w:space="0" w:color="auto"/>
              <w:right w:val="single" w:sz="4" w:space="0" w:color="auto"/>
            </w:tcBorders>
            <w:shd w:val="clear" w:color="000000" w:fill="92D050"/>
            <w:noWrap/>
            <w:vAlign w:val="center"/>
            <w:hideMark/>
          </w:tcPr>
          <w:p w14:paraId="62128D58"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7CC562C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3B6C39A6"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7FC8461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722E819"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Business Change</w:t>
            </w:r>
          </w:p>
        </w:tc>
        <w:tc>
          <w:tcPr>
            <w:tcW w:w="1440" w:type="dxa"/>
            <w:tcBorders>
              <w:top w:val="nil"/>
              <w:left w:val="nil"/>
              <w:bottom w:val="single" w:sz="4" w:space="0" w:color="auto"/>
              <w:right w:val="single" w:sz="4" w:space="0" w:color="auto"/>
            </w:tcBorders>
            <w:shd w:val="clear" w:color="000000" w:fill="FFC000"/>
            <w:noWrap/>
            <w:vAlign w:val="center"/>
            <w:hideMark/>
          </w:tcPr>
          <w:p w14:paraId="012EC726"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7A9ABBE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1D2717C9"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2007B14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135086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Data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A8FB4E1"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661AD95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F105132"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7FDC3667"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2298B0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xml:space="preserve">Governance </w:t>
            </w:r>
          </w:p>
        </w:tc>
        <w:tc>
          <w:tcPr>
            <w:tcW w:w="1440" w:type="dxa"/>
            <w:tcBorders>
              <w:top w:val="nil"/>
              <w:left w:val="nil"/>
              <w:bottom w:val="single" w:sz="4" w:space="0" w:color="auto"/>
              <w:right w:val="single" w:sz="4" w:space="0" w:color="auto"/>
            </w:tcBorders>
            <w:shd w:val="clear" w:color="000000" w:fill="92D050"/>
            <w:noWrap/>
            <w:vAlign w:val="center"/>
            <w:hideMark/>
          </w:tcPr>
          <w:p w14:paraId="6EC82E6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nil"/>
            </w:tcBorders>
            <w:shd w:val="clear" w:color="000000" w:fill="E7E6E6"/>
            <w:vAlign w:val="center"/>
            <w:hideMark/>
          </w:tcPr>
          <w:p w14:paraId="10A9774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052498B" w14:textId="77777777" w:rsidR="00AD4C8C" w:rsidRPr="00D1493C" w:rsidRDefault="00AD4C8C" w:rsidP="00034905">
            <w:pPr>
              <w:spacing w:line="240" w:lineRule="auto"/>
              <w:jc w:val="left"/>
              <w:rPr>
                <w:rFonts w:eastAsia="Times New Roman" w:cs="Calibri"/>
                <w:color w:val="000000"/>
                <w:szCs w:val="20"/>
                <w:lang w:eastAsia="en-GB"/>
              </w:rPr>
            </w:pPr>
          </w:p>
        </w:tc>
      </w:tr>
      <w:tr w:rsidR="00AD4C8C" w:rsidRPr="00D1493C" w14:paraId="48116AB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E20169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FFC000"/>
            <w:noWrap/>
            <w:vAlign w:val="center"/>
            <w:hideMark/>
          </w:tcPr>
          <w:p w14:paraId="70104EFD"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C000"/>
            <w:noWrap/>
            <w:vAlign w:val="center"/>
            <w:hideMark/>
          </w:tcPr>
          <w:p w14:paraId="3CB32477"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92D050"/>
            <w:noWrap/>
            <w:vAlign w:val="center"/>
            <w:hideMark/>
          </w:tcPr>
          <w:p w14:paraId="3F8ABA14"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1D7EA27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F385D2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Closedown arrangements for MINT</w:t>
            </w:r>
          </w:p>
        </w:tc>
        <w:tc>
          <w:tcPr>
            <w:tcW w:w="1440" w:type="dxa"/>
            <w:tcBorders>
              <w:top w:val="nil"/>
              <w:left w:val="nil"/>
              <w:bottom w:val="nil"/>
              <w:right w:val="single" w:sz="4" w:space="0" w:color="auto"/>
            </w:tcBorders>
            <w:shd w:val="clear" w:color="000000" w:fill="E7E6E6"/>
            <w:vAlign w:val="center"/>
            <w:hideMark/>
          </w:tcPr>
          <w:p w14:paraId="1059829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54F4DA1D"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506067E5"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157A1CF5"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E2BAD1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Complaints Management</w:t>
            </w:r>
          </w:p>
        </w:tc>
        <w:tc>
          <w:tcPr>
            <w:tcW w:w="1440" w:type="dxa"/>
            <w:tcBorders>
              <w:top w:val="nil"/>
              <w:left w:val="nil"/>
              <w:bottom w:val="nil"/>
              <w:right w:val="single" w:sz="4" w:space="0" w:color="auto"/>
            </w:tcBorders>
            <w:shd w:val="clear" w:color="000000" w:fill="E7E6E6"/>
            <w:vAlign w:val="center"/>
            <w:hideMark/>
          </w:tcPr>
          <w:p w14:paraId="0C9CEB02"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AF06B6A"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455AA7B"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250B3D6A"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8B5A89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Positive Action</w:t>
            </w:r>
          </w:p>
        </w:tc>
        <w:tc>
          <w:tcPr>
            <w:tcW w:w="1440" w:type="dxa"/>
            <w:tcBorders>
              <w:top w:val="nil"/>
              <w:left w:val="nil"/>
              <w:bottom w:val="nil"/>
              <w:right w:val="single" w:sz="4" w:space="0" w:color="auto"/>
            </w:tcBorders>
            <w:shd w:val="clear" w:color="000000" w:fill="E7E6E6"/>
            <w:vAlign w:val="center"/>
            <w:hideMark/>
          </w:tcPr>
          <w:p w14:paraId="3C125F0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27D59BFE"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8CE1512" w14:textId="77777777" w:rsidR="00AD4C8C" w:rsidRPr="00D1493C" w:rsidRDefault="00AD4C8C" w:rsidP="00034905">
            <w:pPr>
              <w:spacing w:line="240" w:lineRule="auto"/>
              <w:jc w:val="center"/>
              <w:rPr>
                <w:rFonts w:eastAsia="Times New Roman" w:cs="Calibri"/>
                <w:i/>
                <w:iCs/>
                <w:color w:val="00B050"/>
                <w:szCs w:val="20"/>
                <w:lang w:eastAsia="en-GB"/>
              </w:rPr>
            </w:pPr>
            <w:r w:rsidRPr="00D1493C">
              <w:rPr>
                <w:rFonts w:eastAsia="Times New Roman" w:cs="Calibri"/>
                <w:i/>
                <w:iCs/>
                <w:color w:val="00B050"/>
                <w:szCs w:val="20"/>
                <w:lang w:eastAsia="en-GB"/>
              </w:rPr>
              <w:t> </w:t>
            </w:r>
          </w:p>
        </w:tc>
      </w:tr>
      <w:tr w:rsidR="00AD4C8C" w:rsidRPr="00D1493C" w14:paraId="5C7221D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3FD8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Medium Term Financial Plan</w:t>
            </w:r>
          </w:p>
        </w:tc>
        <w:tc>
          <w:tcPr>
            <w:tcW w:w="1440" w:type="dxa"/>
            <w:tcBorders>
              <w:top w:val="nil"/>
              <w:left w:val="nil"/>
              <w:bottom w:val="nil"/>
              <w:right w:val="single" w:sz="4" w:space="0" w:color="auto"/>
            </w:tcBorders>
            <w:shd w:val="clear" w:color="000000" w:fill="E7E6E6"/>
            <w:vAlign w:val="center"/>
            <w:hideMark/>
          </w:tcPr>
          <w:p w14:paraId="1B574FA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F96F1E2"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5CCA6ADA"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0036A4D9"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189C7A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Balance transfers from new system</w:t>
            </w:r>
          </w:p>
        </w:tc>
        <w:tc>
          <w:tcPr>
            <w:tcW w:w="1440" w:type="dxa"/>
            <w:tcBorders>
              <w:top w:val="nil"/>
              <w:left w:val="nil"/>
              <w:bottom w:val="nil"/>
              <w:right w:val="single" w:sz="4" w:space="0" w:color="auto"/>
            </w:tcBorders>
            <w:shd w:val="clear" w:color="000000" w:fill="E7E6E6"/>
            <w:vAlign w:val="center"/>
            <w:hideMark/>
          </w:tcPr>
          <w:p w14:paraId="3DBCCCC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0F098F5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CCDDA24"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270B9BBC"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B5EBF6B"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MFSS - closedown</w:t>
            </w:r>
          </w:p>
        </w:tc>
        <w:tc>
          <w:tcPr>
            <w:tcW w:w="1440" w:type="dxa"/>
            <w:tcBorders>
              <w:top w:val="nil"/>
              <w:left w:val="nil"/>
              <w:bottom w:val="nil"/>
              <w:right w:val="single" w:sz="4" w:space="0" w:color="auto"/>
            </w:tcBorders>
            <w:shd w:val="clear" w:color="000000" w:fill="E7E6E6"/>
            <w:vAlign w:val="center"/>
            <w:hideMark/>
          </w:tcPr>
          <w:p w14:paraId="0CE25A9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62BB3317"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2A3F570" w14:textId="77777777" w:rsidR="00AD4C8C" w:rsidRPr="00D1493C" w:rsidRDefault="00AD4C8C" w:rsidP="00034905">
            <w:pPr>
              <w:spacing w:line="240" w:lineRule="auto"/>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AD4C8C" w:rsidRPr="00D1493C" w14:paraId="12704ECB"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362512B"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Information Management</w:t>
            </w:r>
          </w:p>
        </w:tc>
        <w:tc>
          <w:tcPr>
            <w:tcW w:w="1440" w:type="dxa"/>
            <w:tcBorders>
              <w:top w:val="nil"/>
              <w:left w:val="nil"/>
              <w:bottom w:val="nil"/>
              <w:right w:val="single" w:sz="4" w:space="0" w:color="auto"/>
            </w:tcBorders>
            <w:shd w:val="clear" w:color="000000" w:fill="E7E6E6"/>
            <w:vAlign w:val="center"/>
            <w:hideMark/>
          </w:tcPr>
          <w:p w14:paraId="6DD0983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66D502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5AA8A28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4F9DE63C"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98B803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Risk Management</w:t>
            </w:r>
          </w:p>
        </w:tc>
        <w:tc>
          <w:tcPr>
            <w:tcW w:w="1440" w:type="dxa"/>
            <w:tcBorders>
              <w:top w:val="nil"/>
              <w:left w:val="nil"/>
              <w:bottom w:val="nil"/>
              <w:right w:val="single" w:sz="4" w:space="0" w:color="auto"/>
            </w:tcBorders>
            <w:shd w:val="clear" w:color="000000" w:fill="E7E6E6"/>
            <w:vAlign w:val="center"/>
            <w:hideMark/>
          </w:tcPr>
          <w:p w14:paraId="77C36A5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ED479A2"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584AFB77"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33EB144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7967C1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Data Quality</w:t>
            </w:r>
          </w:p>
        </w:tc>
        <w:tc>
          <w:tcPr>
            <w:tcW w:w="1440" w:type="dxa"/>
            <w:tcBorders>
              <w:top w:val="nil"/>
              <w:left w:val="nil"/>
              <w:bottom w:val="nil"/>
              <w:right w:val="single" w:sz="4" w:space="0" w:color="auto"/>
            </w:tcBorders>
            <w:shd w:val="clear" w:color="000000" w:fill="E7E6E6"/>
            <w:vAlign w:val="center"/>
            <w:hideMark/>
          </w:tcPr>
          <w:p w14:paraId="6324491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214C835"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72514C5A"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50BCFC04"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C74E03F"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Disaster Recovery</w:t>
            </w:r>
          </w:p>
        </w:tc>
        <w:tc>
          <w:tcPr>
            <w:tcW w:w="1440" w:type="dxa"/>
            <w:tcBorders>
              <w:top w:val="nil"/>
              <w:left w:val="nil"/>
              <w:bottom w:val="nil"/>
              <w:right w:val="single" w:sz="4" w:space="0" w:color="auto"/>
            </w:tcBorders>
            <w:shd w:val="clear" w:color="000000" w:fill="E7E6E6"/>
            <w:vAlign w:val="center"/>
            <w:hideMark/>
          </w:tcPr>
          <w:p w14:paraId="0ACBBA8A"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44BFF7F4"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single" w:sz="4" w:space="0" w:color="auto"/>
            </w:tcBorders>
            <w:shd w:val="clear" w:color="000000" w:fill="E7E6E6"/>
            <w:noWrap/>
            <w:vAlign w:val="center"/>
            <w:hideMark/>
          </w:tcPr>
          <w:p w14:paraId="139831D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AD4C8C" w:rsidRPr="00D1493C" w14:paraId="73AFE4A1"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D1D096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Reasonable Adjustments</w:t>
            </w:r>
          </w:p>
        </w:tc>
        <w:tc>
          <w:tcPr>
            <w:tcW w:w="1440" w:type="dxa"/>
            <w:tcBorders>
              <w:top w:val="nil"/>
              <w:left w:val="nil"/>
              <w:bottom w:val="nil"/>
              <w:right w:val="single" w:sz="4" w:space="0" w:color="auto"/>
            </w:tcBorders>
            <w:shd w:val="clear" w:color="000000" w:fill="E7E6E6"/>
            <w:vAlign w:val="center"/>
            <w:hideMark/>
          </w:tcPr>
          <w:p w14:paraId="5DFEC075"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112A3514"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single" w:sz="4" w:space="0" w:color="auto"/>
              <w:left w:val="nil"/>
              <w:bottom w:val="single" w:sz="4" w:space="0" w:color="auto"/>
              <w:right w:val="single" w:sz="4" w:space="0" w:color="auto"/>
            </w:tcBorders>
            <w:shd w:val="clear" w:color="000000" w:fill="92D050"/>
            <w:noWrap/>
            <w:vAlign w:val="center"/>
            <w:hideMark/>
          </w:tcPr>
          <w:p w14:paraId="1B42FB50"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5AE5A5CE"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DE2FA03"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Firearms Licensing</w:t>
            </w:r>
          </w:p>
        </w:tc>
        <w:tc>
          <w:tcPr>
            <w:tcW w:w="1440" w:type="dxa"/>
            <w:tcBorders>
              <w:top w:val="nil"/>
              <w:left w:val="nil"/>
              <w:bottom w:val="nil"/>
              <w:right w:val="nil"/>
            </w:tcBorders>
            <w:shd w:val="clear" w:color="000000" w:fill="E7E6E6"/>
            <w:vAlign w:val="center"/>
            <w:hideMark/>
          </w:tcPr>
          <w:p w14:paraId="479E12F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164976D4"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1B605D3D"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3B464866"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716B5F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Business Continuity &amp; Emergency Planning</w:t>
            </w:r>
          </w:p>
        </w:tc>
        <w:tc>
          <w:tcPr>
            <w:tcW w:w="1440" w:type="dxa"/>
            <w:tcBorders>
              <w:top w:val="nil"/>
              <w:left w:val="nil"/>
              <w:bottom w:val="nil"/>
              <w:right w:val="nil"/>
            </w:tcBorders>
            <w:shd w:val="clear" w:color="000000" w:fill="E7E6E6"/>
            <w:vAlign w:val="center"/>
            <w:hideMark/>
          </w:tcPr>
          <w:p w14:paraId="7D4F8E4E"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01354C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30A8154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AD4C8C" w:rsidRPr="00D1493C" w14:paraId="5666E72D"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2543C96"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Asset Management*</w:t>
            </w:r>
          </w:p>
        </w:tc>
        <w:tc>
          <w:tcPr>
            <w:tcW w:w="1440" w:type="dxa"/>
            <w:tcBorders>
              <w:top w:val="nil"/>
              <w:left w:val="nil"/>
              <w:bottom w:val="nil"/>
              <w:right w:val="nil"/>
            </w:tcBorders>
            <w:shd w:val="clear" w:color="000000" w:fill="E7E6E6"/>
            <w:vAlign w:val="center"/>
            <w:hideMark/>
          </w:tcPr>
          <w:p w14:paraId="44A4FD9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08A06A9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D24C35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AD4C8C" w:rsidRPr="00D1493C" w14:paraId="4D584FB0"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4BF8BE1"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IT Identity Access Management*</w:t>
            </w:r>
          </w:p>
        </w:tc>
        <w:tc>
          <w:tcPr>
            <w:tcW w:w="1440" w:type="dxa"/>
            <w:tcBorders>
              <w:top w:val="nil"/>
              <w:left w:val="nil"/>
              <w:bottom w:val="nil"/>
              <w:right w:val="nil"/>
            </w:tcBorders>
            <w:shd w:val="clear" w:color="000000" w:fill="E7E6E6"/>
            <w:vAlign w:val="center"/>
            <w:hideMark/>
          </w:tcPr>
          <w:p w14:paraId="03660B1D"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CC4F8E0"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2B8CA30F" w14:textId="77777777" w:rsidR="00AD4C8C" w:rsidRPr="00D1493C" w:rsidRDefault="00AD4C8C" w:rsidP="00034905">
            <w:pPr>
              <w:spacing w:line="240" w:lineRule="auto"/>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AD4C8C" w:rsidRPr="00D1493C" w14:paraId="6C2E8A42" w14:textId="77777777" w:rsidTr="00034905">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FF5F997"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Vetting</w:t>
            </w:r>
          </w:p>
        </w:tc>
        <w:tc>
          <w:tcPr>
            <w:tcW w:w="1440" w:type="dxa"/>
            <w:tcBorders>
              <w:top w:val="nil"/>
              <w:left w:val="nil"/>
              <w:bottom w:val="single" w:sz="4" w:space="0" w:color="auto"/>
              <w:right w:val="nil"/>
            </w:tcBorders>
            <w:shd w:val="clear" w:color="000000" w:fill="E7E6E6"/>
            <w:vAlign w:val="center"/>
            <w:hideMark/>
          </w:tcPr>
          <w:p w14:paraId="2A74E9DA"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E7E6E6"/>
            <w:vAlign w:val="center"/>
            <w:hideMark/>
          </w:tcPr>
          <w:p w14:paraId="623C1B6C" w14:textId="77777777" w:rsidR="00AD4C8C" w:rsidRPr="00D1493C" w:rsidRDefault="00AD4C8C" w:rsidP="00034905">
            <w:pPr>
              <w:spacing w:line="240" w:lineRule="auto"/>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6F4E629" w14:textId="77777777" w:rsidR="00AD4C8C" w:rsidRPr="00D1493C" w:rsidRDefault="00AD4C8C" w:rsidP="00034905">
            <w:pPr>
              <w:spacing w:line="240" w:lineRule="auto"/>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bl>
    <w:p w14:paraId="507AFE3C" w14:textId="77777777" w:rsidR="00AD4C8C" w:rsidRDefault="00AD4C8C" w:rsidP="00AD4C8C">
      <w:bookmarkStart w:id="283" w:name="_Hlk162272062"/>
      <w:r>
        <w:t>* Denote joint audits with NCFRA (Fire)</w:t>
      </w:r>
    </w:p>
    <w:p w14:paraId="1978322B" w14:textId="77777777" w:rsidR="00AD4C8C" w:rsidRPr="005127B4" w:rsidRDefault="00AD4C8C" w:rsidP="00AD4C8C"/>
    <w:p w14:paraId="33296474" w14:textId="6B132257" w:rsidR="00AD4C8C" w:rsidRPr="00E26505" w:rsidRDefault="00AD4C8C" w:rsidP="00AD4C8C">
      <w:pPr>
        <w:rPr>
          <w:i/>
          <w:iCs/>
        </w:rPr>
      </w:pPr>
      <w:bookmarkStart w:id="284" w:name="_Hlk166679173"/>
      <w:r w:rsidRPr="009F5F05">
        <w:t xml:space="preserve">The Internal Audit Annual Report for 2023/24 </w:t>
      </w:r>
      <w:r w:rsidR="00C118B1">
        <w:t>wa</w:t>
      </w:r>
      <w:r w:rsidRPr="009F5F05">
        <w:t>s produced and considered by the JIAC at their meeting in July 2024.  The results of the report are summarised as follows:</w:t>
      </w:r>
    </w:p>
    <w:bookmarkEnd w:id="284"/>
    <w:p w14:paraId="55FF7EE5" w14:textId="77777777" w:rsidR="00AD4C8C" w:rsidRPr="00E26505" w:rsidRDefault="00AD4C8C" w:rsidP="00AD4C8C">
      <w:pPr>
        <w:rPr>
          <w:i/>
          <w:iCs/>
        </w:rPr>
      </w:pPr>
    </w:p>
    <w:p w14:paraId="45B3FF57" w14:textId="77777777" w:rsidR="00AD4C8C" w:rsidRPr="00E26505" w:rsidRDefault="00AD4C8C" w:rsidP="00AD4C8C">
      <w:pPr>
        <w:pStyle w:val="VAHeadingLevel3"/>
        <w:ind w:left="567"/>
        <w:jc w:val="both"/>
        <w:rPr>
          <w:i/>
          <w:iCs/>
        </w:rPr>
      </w:pPr>
      <w:r w:rsidRPr="00E26505">
        <w:rPr>
          <w:i/>
          <w:iCs/>
        </w:rPr>
        <w:t>“The Draft Internal Audit Opinion for the Police, Fire and Crime Commissioner and the Chief Constable is as follows:</w:t>
      </w:r>
    </w:p>
    <w:p w14:paraId="255798E1" w14:textId="77777777" w:rsidR="00AD4C8C" w:rsidRPr="00E26505" w:rsidRDefault="00AD4C8C" w:rsidP="00AD4C8C">
      <w:pPr>
        <w:pStyle w:val="VAHeadingLevel3"/>
        <w:ind w:left="567"/>
        <w:jc w:val="both"/>
        <w:rPr>
          <w:i/>
          <w:iCs/>
        </w:rPr>
      </w:pPr>
      <w:r w:rsidRPr="00E26505">
        <w:rPr>
          <w:i/>
          <w:iCs/>
        </w:rPr>
        <w:lastRenderedPageBreak/>
        <w:t>On the basis of our internal audit work, our opinion on the framework of governance, risk management, and control is Moderate in its overall adequacy and effectiveness. This opinion is provided on the basis that some improvements are required to enhance the adequacy and effectiveness of the framework of governance, risk</w:t>
      </w:r>
      <w:r>
        <w:rPr>
          <w:i/>
          <w:iCs/>
        </w:rPr>
        <w:t xml:space="preserve"> m</w:t>
      </w:r>
      <w:r w:rsidRPr="00E26505">
        <w:rPr>
          <w:i/>
          <w:iCs/>
        </w:rPr>
        <w:t>anagement and control.</w:t>
      </w:r>
    </w:p>
    <w:p w14:paraId="2C90B546" w14:textId="77777777" w:rsidR="00AD4C8C" w:rsidRPr="00E26505" w:rsidRDefault="00AD4C8C" w:rsidP="00AD4C8C">
      <w:pPr>
        <w:pStyle w:val="VAHeadingLevel3"/>
        <w:ind w:left="567"/>
        <w:jc w:val="both"/>
        <w:rPr>
          <w:i/>
          <w:iCs/>
        </w:rPr>
      </w:pPr>
      <w:r w:rsidRPr="00E26505">
        <w:rPr>
          <w:i/>
          <w:iCs/>
        </w:rPr>
        <w:t>Certain weaknesses and exceptions were highlighted by our internal audit work, in particular limited assurance opinions were provided during the period in respect of Business Continuity and Emergency Planning.</w:t>
      </w:r>
    </w:p>
    <w:p w14:paraId="4687077C" w14:textId="77777777" w:rsidR="00AD4C8C" w:rsidRPr="00E26505" w:rsidRDefault="00AD4C8C" w:rsidP="00AD4C8C">
      <w:pPr>
        <w:pStyle w:val="VAHeadingLevel3"/>
        <w:ind w:left="567"/>
        <w:jc w:val="both"/>
        <w:rPr>
          <w:i/>
          <w:iCs/>
          <w:highlight w:val="yellow"/>
        </w:rPr>
      </w:pPr>
      <w:r w:rsidRPr="00E26505">
        <w:rPr>
          <w:i/>
          <w:iCs/>
        </w:rPr>
        <w:t>These matters have been discussed with management, to whom we have made recommendations, several of which are categorised as ‘High’ and ‘Medium’. All of these have been, or are in the process of being addressed, as detailed in our individual reports…</w:t>
      </w:r>
      <w:r>
        <w:rPr>
          <w:i/>
          <w:iCs/>
        </w:rPr>
        <w:t>”</w:t>
      </w:r>
    </w:p>
    <w:p w14:paraId="4536FDB5" w14:textId="77777777" w:rsidR="00AD4C8C" w:rsidRDefault="00AD4C8C" w:rsidP="00AD4C8C"/>
    <w:p w14:paraId="69AFE48A" w14:textId="77777777" w:rsidR="00AD4C8C" w:rsidRDefault="00AD4C8C" w:rsidP="00AD4C8C">
      <w:r w:rsidRPr="0066784E">
        <w:t xml:space="preserve">Following a thorough procurement exercise, a new contract </w:t>
      </w:r>
      <w:r>
        <w:t>was</w:t>
      </w:r>
      <w:r w:rsidRPr="0066784E">
        <w:t xml:space="preserve"> awarded with Mazars</w:t>
      </w:r>
      <w:r>
        <w:t xml:space="preserve"> in 2023/24</w:t>
      </w:r>
      <w:r w:rsidRPr="0066784E">
        <w:t xml:space="preserve"> for all ten PCC and CCs within the East Midlands Region and Northamptonshire Commissioner Fire and Rescue Authority. </w:t>
      </w:r>
      <w:r>
        <w:t xml:space="preserve"> </w:t>
      </w:r>
      <w:r w:rsidRPr="0066784E">
        <w:t>Having the same internal auditors for Fire and Policing will enable a comprehensive and holistic internal audit plan to be delivered across all services which will also provide efficiencies for both Fire and Police.</w:t>
      </w:r>
    </w:p>
    <w:bookmarkEnd w:id="283"/>
    <w:p w14:paraId="1BDF6F88" w14:textId="77777777" w:rsidR="00AD4C8C" w:rsidRPr="00B21CBA" w:rsidRDefault="00AD4C8C" w:rsidP="00AD4C8C">
      <w:pPr>
        <w:rPr>
          <w:highlight w:val="yellow"/>
        </w:rPr>
      </w:pPr>
    </w:p>
    <w:p w14:paraId="65C66F5F" w14:textId="77777777" w:rsidR="00AD4C8C" w:rsidRPr="0066784E" w:rsidRDefault="00AD4C8C" w:rsidP="00AD4C8C">
      <w:pPr>
        <w:pStyle w:val="VAHeadingLevel2"/>
      </w:pPr>
      <w:r w:rsidRPr="0066784E">
        <w:t xml:space="preserve">CIPFA Financial Management Code </w:t>
      </w:r>
    </w:p>
    <w:p w14:paraId="08AB8DD8" w14:textId="77777777" w:rsidR="00AD4C8C" w:rsidRPr="0066784E" w:rsidRDefault="00AD4C8C" w:rsidP="00AD4C8C">
      <w:pPr>
        <w:rPr>
          <w:rFonts w:cstheme="minorHAnsi"/>
          <w:bCs/>
        </w:rPr>
      </w:pPr>
      <w:r w:rsidRPr="0066784E">
        <w:rPr>
          <w:rFonts w:cstheme="minorHAnsi"/>
          <w:bCs/>
        </w:rPr>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w:t>
      </w:r>
      <w:r>
        <w:rPr>
          <w:rFonts w:cstheme="minorHAnsi"/>
          <w:bCs/>
        </w:rPr>
        <w:t xml:space="preserve"> </w:t>
      </w:r>
      <w:r w:rsidRPr="0066784E">
        <w:rPr>
          <w:rFonts w:cstheme="minorHAnsi"/>
          <w:bCs/>
        </w:rPr>
        <w:t>Taken together</w:t>
      </w:r>
      <w:r>
        <w:rPr>
          <w:rFonts w:cstheme="minorHAnsi"/>
          <w:bCs/>
        </w:rPr>
        <w:t>,</w:t>
      </w:r>
      <w:r w:rsidRPr="0066784E">
        <w:rPr>
          <w:rFonts w:cstheme="minorHAnsi"/>
          <w:bCs/>
        </w:rPr>
        <w:t xml:space="preserve"> these financial management standards underpin the effective governance of the use and control of resources utilised by </w:t>
      </w:r>
      <w:r>
        <w:rPr>
          <w:rFonts w:cstheme="minorHAnsi"/>
          <w:bCs/>
        </w:rPr>
        <w:t>the OPFCC and OCC</w:t>
      </w:r>
      <w:r w:rsidRPr="0066784E">
        <w:rPr>
          <w:rFonts w:cstheme="minorHAnsi"/>
          <w:bCs/>
        </w:rPr>
        <w:t xml:space="preserve"> in pursuance of </w:t>
      </w:r>
      <w:r>
        <w:rPr>
          <w:rFonts w:cstheme="minorHAnsi"/>
          <w:bCs/>
        </w:rPr>
        <w:t>their</w:t>
      </w:r>
      <w:r w:rsidRPr="0066784E">
        <w:rPr>
          <w:rFonts w:cstheme="minorHAnsi"/>
          <w:bCs/>
        </w:rPr>
        <w:t xml:space="preserve"> stated objectives.</w:t>
      </w:r>
    </w:p>
    <w:p w14:paraId="386D5463" w14:textId="77777777" w:rsidR="00AD4C8C" w:rsidRPr="0066784E" w:rsidRDefault="00AD4C8C" w:rsidP="00AD4C8C">
      <w:pPr>
        <w:rPr>
          <w:rFonts w:cstheme="minorHAnsi"/>
          <w:bCs/>
        </w:rPr>
      </w:pPr>
    </w:p>
    <w:p w14:paraId="554B274A" w14:textId="64159DFC" w:rsidR="00AD4C8C" w:rsidRDefault="00AD4C8C" w:rsidP="00AD4C8C">
      <w:r w:rsidRPr="00E359E2">
        <w:t xml:space="preserve">The </w:t>
      </w:r>
      <w:r w:rsidR="005B4D7B">
        <w:t>s</w:t>
      </w:r>
      <w:r w:rsidRPr="00E359E2">
        <w:t xml:space="preserve">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2024/25, and this is captured in the </w:t>
      </w:r>
      <w:bookmarkStart w:id="285" w:name="_Hlk164346559"/>
      <w:r w:rsidRPr="00E359E2">
        <w:t xml:space="preserve">Annual Governance Statement (AGS) </w:t>
      </w:r>
      <w:bookmarkEnd w:id="285"/>
      <w:r w:rsidRPr="00E359E2">
        <w:t>action plan as a recommendation.</w:t>
      </w:r>
      <w:r w:rsidRPr="0066784E">
        <w:t xml:space="preserve"> </w:t>
      </w:r>
    </w:p>
    <w:p w14:paraId="3F2F2D1B" w14:textId="77777777" w:rsidR="00AD4C8C" w:rsidRPr="0066784E" w:rsidRDefault="00AD4C8C" w:rsidP="00AD4C8C">
      <w:pPr>
        <w:rPr>
          <w:rFonts w:cstheme="minorHAnsi"/>
          <w:bCs/>
        </w:rPr>
      </w:pPr>
    </w:p>
    <w:p w14:paraId="0FE23BE1" w14:textId="77777777" w:rsidR="00AD4C8C" w:rsidRPr="0066784E" w:rsidRDefault="00AD4C8C" w:rsidP="00AD4C8C">
      <w:pPr>
        <w:pStyle w:val="VAHeadingLevel2"/>
      </w:pPr>
      <w:r>
        <w:t>Review of Effectiveness</w:t>
      </w:r>
      <w:r w:rsidRPr="0066784E">
        <w:t xml:space="preserve"> </w:t>
      </w:r>
    </w:p>
    <w:p w14:paraId="751FDCC2" w14:textId="531BB850" w:rsidR="00AD4C8C" w:rsidRPr="00D139CC" w:rsidRDefault="00AD4C8C" w:rsidP="00AD4C8C">
      <w:r w:rsidRPr="00D139CC">
        <w:t xml:space="preserve">A training and induction session is scheduled for both new and existing audit committee members in July 2024 with key individuals and the </w:t>
      </w:r>
      <w:r w:rsidR="005B4D7B">
        <w:t>s</w:t>
      </w:r>
      <w:r w:rsidRPr="00D139CC">
        <w:t xml:space="preserve">151 officers in attendance to provide context and understanding of the funding, governance, decision making and internal control environments for </w:t>
      </w:r>
      <w:r w:rsidR="005B4D7B">
        <w:t>OPFCC, OCC and NCFRA</w:t>
      </w:r>
      <w:r w:rsidRPr="00D139CC">
        <w:t xml:space="preserve">. </w:t>
      </w:r>
    </w:p>
    <w:p w14:paraId="6264FD41" w14:textId="77777777" w:rsidR="00AD4C8C" w:rsidRPr="00D139CC" w:rsidRDefault="00AD4C8C" w:rsidP="00AD4C8C">
      <w:pPr>
        <w:tabs>
          <w:tab w:val="left" w:pos="2616"/>
        </w:tabs>
        <w:rPr>
          <w:rFonts w:cstheme="minorHAnsi"/>
          <w:bCs/>
        </w:rPr>
      </w:pPr>
    </w:p>
    <w:p w14:paraId="57548D57" w14:textId="77777777" w:rsidR="00AD4C8C" w:rsidRPr="007C0D08" w:rsidRDefault="00AD4C8C" w:rsidP="00AD4C8C">
      <w:r w:rsidRPr="004029FE">
        <w:t>There were four JIAC meetings during the year, and workshops to go through all the draft 2022/23 Statement of Accounts in detail.  The four meetings considered the following across Fire and Police:</w:t>
      </w:r>
    </w:p>
    <w:p w14:paraId="61BF1D91" w14:textId="77777777" w:rsidR="00AD4C8C" w:rsidRDefault="00AD4C8C" w:rsidP="00AD4C8C">
      <w:pPr>
        <w:rPr>
          <w:highlight w:val="yellow"/>
        </w:rPr>
      </w:pPr>
    </w:p>
    <w:tbl>
      <w:tblPr>
        <w:tblStyle w:val="TableGrid"/>
        <w:tblW w:w="0" w:type="auto"/>
        <w:tblInd w:w="421" w:type="dxa"/>
        <w:tblLook w:val="04A0" w:firstRow="1" w:lastRow="0" w:firstColumn="1" w:lastColumn="0" w:noHBand="0" w:noVBand="1"/>
      </w:tblPr>
      <w:tblGrid>
        <w:gridCol w:w="1114"/>
        <w:gridCol w:w="5973"/>
        <w:gridCol w:w="754"/>
        <w:gridCol w:w="754"/>
      </w:tblGrid>
      <w:tr w:rsidR="00AD4C8C" w:rsidRPr="00975B5A" w14:paraId="540AB1B2" w14:textId="77777777" w:rsidTr="00034905">
        <w:tc>
          <w:tcPr>
            <w:tcW w:w="1114" w:type="dxa"/>
            <w:shd w:val="clear" w:color="auto" w:fill="25316C"/>
          </w:tcPr>
          <w:p w14:paraId="7BDE3125" w14:textId="77777777" w:rsidR="00AD4C8C" w:rsidRPr="00053A76" w:rsidRDefault="00AD4C8C" w:rsidP="00034905">
            <w:pPr>
              <w:jc w:val="center"/>
              <w:rPr>
                <w:rFonts w:asciiTheme="minorHAnsi" w:hAnsiTheme="minorHAnsi" w:cstheme="minorHAnsi"/>
                <w:b/>
                <w:color w:val="FFFFFF" w:themeColor="background1"/>
              </w:rPr>
            </w:pPr>
            <w:bookmarkStart w:id="286" w:name="_Hlk75616632"/>
            <w:r w:rsidRPr="00053A76">
              <w:rPr>
                <w:rFonts w:asciiTheme="minorHAnsi" w:hAnsiTheme="minorHAnsi" w:cstheme="minorHAnsi"/>
                <w:b/>
                <w:color w:val="FFFFFF" w:themeColor="background1"/>
              </w:rPr>
              <w:t>JIAC Meeting</w:t>
            </w:r>
          </w:p>
          <w:p w14:paraId="161040BF" w14:textId="77777777" w:rsidR="00AD4C8C" w:rsidRPr="00053A76" w:rsidRDefault="00AD4C8C" w:rsidP="00034905">
            <w:pPr>
              <w:jc w:val="center"/>
              <w:rPr>
                <w:rFonts w:asciiTheme="minorHAnsi" w:hAnsiTheme="minorHAnsi" w:cstheme="minorHAnsi"/>
                <w:b/>
                <w:color w:val="FFFFFF" w:themeColor="background1"/>
              </w:rPr>
            </w:pPr>
          </w:p>
        </w:tc>
        <w:tc>
          <w:tcPr>
            <w:tcW w:w="5973" w:type="dxa"/>
            <w:shd w:val="clear" w:color="auto" w:fill="25316C"/>
          </w:tcPr>
          <w:p w14:paraId="08908CDF"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Areas Covered</w:t>
            </w:r>
          </w:p>
        </w:tc>
        <w:tc>
          <w:tcPr>
            <w:tcW w:w="754" w:type="dxa"/>
            <w:shd w:val="clear" w:color="auto" w:fill="25316C"/>
          </w:tcPr>
          <w:p w14:paraId="2C79044E"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Fire</w:t>
            </w:r>
          </w:p>
        </w:tc>
        <w:tc>
          <w:tcPr>
            <w:tcW w:w="754" w:type="dxa"/>
            <w:shd w:val="clear" w:color="auto" w:fill="25316C"/>
          </w:tcPr>
          <w:p w14:paraId="39A6EE24" w14:textId="77777777" w:rsidR="00AD4C8C" w:rsidRPr="00053A76" w:rsidRDefault="00AD4C8C" w:rsidP="00034905">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Police</w:t>
            </w:r>
          </w:p>
        </w:tc>
      </w:tr>
      <w:tr w:rsidR="00AD4C8C" w:rsidRPr="00975B5A" w14:paraId="16452AC1" w14:textId="77777777" w:rsidTr="00034905">
        <w:tc>
          <w:tcPr>
            <w:tcW w:w="1114" w:type="dxa"/>
          </w:tcPr>
          <w:p w14:paraId="394FD29B" w14:textId="77777777" w:rsidR="00AD4C8C" w:rsidRDefault="00AD4C8C" w:rsidP="00034905">
            <w:pPr>
              <w:rPr>
                <w:rFonts w:asciiTheme="minorHAnsi" w:hAnsiTheme="minorHAnsi" w:cstheme="minorHAnsi"/>
              </w:rPr>
            </w:pPr>
            <w:r w:rsidRPr="007515AC">
              <w:rPr>
                <w:rFonts w:asciiTheme="minorHAnsi" w:hAnsiTheme="minorHAnsi" w:cstheme="minorHAnsi"/>
              </w:rPr>
              <w:t xml:space="preserve">July </w:t>
            </w:r>
          </w:p>
          <w:p w14:paraId="464F4F16"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202</w:t>
            </w:r>
            <w:r>
              <w:rPr>
                <w:rFonts w:asciiTheme="minorHAnsi" w:hAnsiTheme="minorHAnsi" w:cstheme="minorHAnsi"/>
              </w:rPr>
              <w:t>3</w:t>
            </w:r>
          </w:p>
        </w:tc>
        <w:tc>
          <w:tcPr>
            <w:tcW w:w="5973" w:type="dxa"/>
          </w:tcPr>
          <w:p w14:paraId="6B99E378"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Meeting of members with auditors without officers present</w:t>
            </w:r>
          </w:p>
          <w:p w14:paraId="09B862B1"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Annual Report of the JIAC and Terms of Reference Review </w:t>
            </w:r>
          </w:p>
          <w:p w14:paraId="01AEC997"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29785C8E"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Annual Report 202</w:t>
            </w:r>
            <w:r>
              <w:rPr>
                <w:rFonts w:asciiTheme="minorHAnsi" w:hAnsiTheme="minorHAnsi" w:cstheme="minorHAnsi"/>
                <w:sz w:val="20"/>
              </w:rPr>
              <w:t>2/23</w:t>
            </w:r>
            <w:r w:rsidRPr="002D7555">
              <w:rPr>
                <w:rFonts w:asciiTheme="minorHAnsi" w:hAnsiTheme="minorHAnsi" w:cstheme="minorHAnsi"/>
                <w:sz w:val="20"/>
              </w:rPr>
              <w:t xml:space="preserve"> </w:t>
            </w:r>
          </w:p>
          <w:p w14:paraId="09837DFF"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Internal Audit </w:t>
            </w:r>
            <w:r>
              <w:rPr>
                <w:rFonts w:asciiTheme="minorHAnsi" w:hAnsiTheme="minorHAnsi" w:cstheme="minorHAnsi"/>
                <w:sz w:val="20"/>
              </w:rPr>
              <w:t>P</w:t>
            </w:r>
            <w:r w:rsidRPr="002D7555">
              <w:rPr>
                <w:rFonts w:asciiTheme="minorHAnsi" w:hAnsiTheme="minorHAnsi" w:cstheme="minorHAnsi"/>
                <w:sz w:val="20"/>
              </w:rPr>
              <w:t>rogress Report 202</w:t>
            </w:r>
            <w:r>
              <w:rPr>
                <w:rFonts w:asciiTheme="minorHAnsi" w:hAnsiTheme="minorHAnsi" w:cstheme="minorHAnsi"/>
                <w:sz w:val="20"/>
              </w:rPr>
              <w:t>3/24</w:t>
            </w:r>
          </w:p>
          <w:p w14:paraId="148551EB"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Risk Register Update</w:t>
            </w:r>
          </w:p>
          <w:p w14:paraId="59A45346"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101B9965"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System Implementation</w:t>
            </w:r>
            <w:r>
              <w:rPr>
                <w:rFonts w:asciiTheme="minorHAnsi" w:hAnsiTheme="minorHAnsi" w:cstheme="minorHAnsi"/>
                <w:sz w:val="20"/>
              </w:rPr>
              <w:t xml:space="preserve"> (including new finance system)</w:t>
            </w:r>
            <w:r w:rsidRPr="002D7555">
              <w:rPr>
                <w:rFonts w:asciiTheme="minorHAnsi" w:hAnsiTheme="minorHAnsi" w:cstheme="minorHAnsi"/>
                <w:sz w:val="20"/>
              </w:rPr>
              <w:t xml:space="preserve"> </w:t>
            </w:r>
          </w:p>
          <w:p w14:paraId="0DD87FED"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 xml:space="preserve">HMICFRS Update </w:t>
            </w:r>
          </w:p>
          <w:p w14:paraId="45B05E78"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Benefits Realisation</w:t>
            </w:r>
          </w:p>
          <w:p w14:paraId="1A25045A"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Enabling Services Evaluation 2020 to 2023</w:t>
            </w:r>
          </w:p>
        </w:tc>
        <w:tc>
          <w:tcPr>
            <w:tcW w:w="754" w:type="dxa"/>
            <w:vAlign w:val="center"/>
          </w:tcPr>
          <w:p w14:paraId="1924B39C"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00B2304"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64B24E6"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7BD35A3A"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763958A1"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10A188B"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4B5C504E"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2F81A8F0"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C3AC88B" w14:textId="77777777" w:rsidR="00AD4C8C" w:rsidRPr="002D7555"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162C4FAB" w14:textId="77777777" w:rsidR="00AD4C8C" w:rsidRDefault="00AD4C8C" w:rsidP="00034905">
            <w:pPr>
              <w:tabs>
                <w:tab w:val="left" w:pos="190"/>
              </w:tabs>
              <w:jc w:val="center"/>
              <w:rPr>
                <w:rFonts w:asciiTheme="minorHAnsi" w:hAnsiTheme="minorHAnsi" w:cstheme="minorHAnsi"/>
              </w:rPr>
            </w:pPr>
            <w:r w:rsidRPr="002D7555">
              <w:rPr>
                <w:rFonts w:asciiTheme="minorHAnsi" w:hAnsiTheme="minorHAnsi" w:cstheme="minorHAnsi"/>
              </w:rPr>
              <w:t>Y</w:t>
            </w:r>
          </w:p>
          <w:p w14:paraId="3CF91E6D" w14:textId="77777777" w:rsidR="00AD4C8C" w:rsidRPr="002D7555" w:rsidRDefault="00AD4C8C" w:rsidP="00034905">
            <w:pPr>
              <w:tabs>
                <w:tab w:val="left" w:pos="190"/>
              </w:tabs>
              <w:jc w:val="center"/>
              <w:rPr>
                <w:rFonts w:asciiTheme="minorHAnsi" w:hAnsiTheme="minorHAnsi" w:cstheme="minorHAnsi"/>
              </w:rPr>
            </w:pPr>
            <w:r>
              <w:rPr>
                <w:rFonts w:asciiTheme="minorHAnsi" w:hAnsiTheme="minorHAnsi" w:cstheme="minorHAnsi"/>
              </w:rPr>
              <w:t>Y</w:t>
            </w:r>
          </w:p>
        </w:tc>
        <w:tc>
          <w:tcPr>
            <w:tcW w:w="754" w:type="dxa"/>
            <w:vAlign w:val="center"/>
          </w:tcPr>
          <w:p w14:paraId="3C11042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3D8393B"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918851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CB5C81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4CA48A3"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F518217"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44F85CFC"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071404F8"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60F5445"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35209B0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EE94692"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51561A86" w14:textId="77777777" w:rsidTr="00034905">
        <w:tc>
          <w:tcPr>
            <w:tcW w:w="1114" w:type="dxa"/>
          </w:tcPr>
          <w:p w14:paraId="7685EE2D" w14:textId="77777777" w:rsidR="00AD4C8C" w:rsidRPr="007515AC" w:rsidRDefault="00AD4C8C" w:rsidP="00034905">
            <w:pPr>
              <w:rPr>
                <w:rFonts w:asciiTheme="minorHAnsi" w:hAnsiTheme="minorHAnsi" w:cstheme="minorHAnsi"/>
              </w:rPr>
            </w:pPr>
            <w:r>
              <w:rPr>
                <w:rFonts w:asciiTheme="minorHAnsi" w:hAnsiTheme="minorHAnsi" w:cstheme="minorHAnsi"/>
              </w:rPr>
              <w:lastRenderedPageBreak/>
              <w:t>Septem</w:t>
            </w:r>
            <w:r w:rsidRPr="007515AC">
              <w:rPr>
                <w:rFonts w:asciiTheme="minorHAnsi" w:hAnsiTheme="minorHAnsi" w:cstheme="minorHAnsi"/>
              </w:rPr>
              <w:t>ber 202</w:t>
            </w:r>
            <w:r>
              <w:rPr>
                <w:rFonts w:asciiTheme="minorHAnsi" w:hAnsiTheme="minorHAnsi" w:cstheme="minorHAnsi"/>
              </w:rPr>
              <w:t>3</w:t>
            </w:r>
          </w:p>
        </w:tc>
        <w:tc>
          <w:tcPr>
            <w:tcW w:w="5973" w:type="dxa"/>
          </w:tcPr>
          <w:p w14:paraId="0B0F19CE"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5D5DA536"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6C97FD5A"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1DDF65C0"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1E4F3A90"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6086688C" w14:textId="77777777" w:rsidR="00AD4C8C" w:rsidRPr="007515A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 xml:space="preserve">2024/25 </w:t>
            </w:r>
            <w:r w:rsidRPr="007515AC">
              <w:rPr>
                <w:rFonts w:asciiTheme="minorHAnsi" w:hAnsiTheme="minorHAnsi" w:cstheme="minorHAnsi"/>
                <w:sz w:val="20"/>
              </w:rPr>
              <w:t>Budget and MTFP Processes, Plan and Timetable</w:t>
            </w:r>
          </w:p>
          <w:p w14:paraId="1F65B294"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OPFCC Risk Register Update</w:t>
            </w:r>
          </w:p>
          <w:p w14:paraId="1B80AAF0" w14:textId="77777777" w:rsidR="00AD4C8C" w:rsidRPr="007515A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Enabling Services update</w:t>
            </w:r>
          </w:p>
        </w:tc>
        <w:tc>
          <w:tcPr>
            <w:tcW w:w="754" w:type="dxa"/>
          </w:tcPr>
          <w:p w14:paraId="322A847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4299E4E"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BAAE99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6CFCB6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CBAF2FA"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B084260"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6E749BF"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204FB60"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742C8DA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C43429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B5D9B1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11419FA"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7B35441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582100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9ACE01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81D9125"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291A63B3" w14:textId="77777777" w:rsidTr="00034905">
        <w:tc>
          <w:tcPr>
            <w:tcW w:w="1114" w:type="dxa"/>
          </w:tcPr>
          <w:p w14:paraId="6F44579A"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December 202</w:t>
            </w:r>
            <w:r>
              <w:rPr>
                <w:rFonts w:asciiTheme="minorHAnsi" w:hAnsiTheme="minorHAnsi" w:cstheme="minorHAnsi"/>
              </w:rPr>
              <w:t>3</w:t>
            </w:r>
          </w:p>
        </w:tc>
        <w:tc>
          <w:tcPr>
            <w:tcW w:w="5973" w:type="dxa"/>
          </w:tcPr>
          <w:p w14:paraId="2BE18F61"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07464D64"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2F139DF1"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1E9EEB43"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51B43278"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09010A3A"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IT Disaster Recovery assurance</w:t>
            </w:r>
          </w:p>
          <w:p w14:paraId="07F20460"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Feedback from the Accounts Workshops</w:t>
            </w:r>
          </w:p>
          <w:p w14:paraId="6A9E9E48"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Risk Register Update</w:t>
            </w:r>
          </w:p>
          <w:p w14:paraId="622B0DF7" w14:textId="77777777" w:rsidR="00AD4C8C" w:rsidRPr="007515A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Benefits Realisation</w:t>
            </w:r>
          </w:p>
        </w:tc>
        <w:tc>
          <w:tcPr>
            <w:tcW w:w="754" w:type="dxa"/>
          </w:tcPr>
          <w:p w14:paraId="28C3A675"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4D5954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CD405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D29A784"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620C33FD"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33643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398CD7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80EA072"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142E364B"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4BE59EE8"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30E04F2"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0BE0898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083903"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67FFA70"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46B7661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4D369A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D89E0F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6D88831A"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r>
      <w:tr w:rsidR="00AD4C8C" w:rsidRPr="00975B5A" w14:paraId="0304C7F0" w14:textId="77777777" w:rsidTr="00034905">
        <w:tc>
          <w:tcPr>
            <w:tcW w:w="1114" w:type="dxa"/>
          </w:tcPr>
          <w:p w14:paraId="746F8930" w14:textId="77777777" w:rsidR="00AD4C8C" w:rsidRPr="007515AC" w:rsidRDefault="00AD4C8C" w:rsidP="00034905">
            <w:pPr>
              <w:rPr>
                <w:rFonts w:asciiTheme="minorHAnsi" w:hAnsiTheme="minorHAnsi" w:cstheme="minorHAnsi"/>
              </w:rPr>
            </w:pPr>
            <w:r w:rsidRPr="007515AC">
              <w:rPr>
                <w:rFonts w:asciiTheme="minorHAnsi" w:hAnsiTheme="minorHAnsi" w:cstheme="minorHAnsi"/>
              </w:rPr>
              <w:t>March 202</w:t>
            </w:r>
            <w:r>
              <w:rPr>
                <w:rFonts w:asciiTheme="minorHAnsi" w:hAnsiTheme="minorHAnsi" w:cstheme="minorHAnsi"/>
              </w:rPr>
              <w:t>4</w:t>
            </w:r>
          </w:p>
        </w:tc>
        <w:tc>
          <w:tcPr>
            <w:tcW w:w="5973" w:type="dxa"/>
          </w:tcPr>
          <w:p w14:paraId="75EEFB5B"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6C2DDB40" w14:textId="77777777" w:rsidR="00AD4C8C" w:rsidRPr="00DF5B54"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Internal Audit Plan 2024/25</w:t>
            </w:r>
          </w:p>
          <w:p w14:paraId="36411692"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7A0B9D4D" w14:textId="77777777" w:rsidR="00AD4C8C" w:rsidRPr="002D7555"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2A9E9101"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HMICFRS Update</w:t>
            </w:r>
          </w:p>
          <w:p w14:paraId="202D9AEC" w14:textId="77777777" w:rsidR="00AD4C8C"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2024/25 Treasury Management Strategy</w:t>
            </w:r>
          </w:p>
          <w:p w14:paraId="109D151F" w14:textId="77777777" w:rsidR="00AD4C8C" w:rsidRPr="00DF5B54" w:rsidRDefault="00AD4C8C" w:rsidP="002C018B">
            <w:pPr>
              <w:pStyle w:val="ListParagraph"/>
              <w:numPr>
                <w:ilvl w:val="0"/>
                <w:numId w:val="6"/>
              </w:numPr>
              <w:spacing w:after="0" w:line="240" w:lineRule="auto"/>
              <w:contextualSpacing/>
              <w:jc w:val="left"/>
              <w:rPr>
                <w:rFonts w:asciiTheme="minorHAnsi" w:hAnsiTheme="minorHAnsi" w:cstheme="minorHAnsi"/>
                <w:sz w:val="20"/>
              </w:rPr>
            </w:pPr>
            <w:r>
              <w:rPr>
                <w:rFonts w:asciiTheme="minorHAnsi" w:hAnsiTheme="minorHAnsi" w:cstheme="minorHAnsi"/>
                <w:sz w:val="20"/>
              </w:rPr>
              <w:t>Risk Register Update</w:t>
            </w:r>
          </w:p>
        </w:tc>
        <w:tc>
          <w:tcPr>
            <w:tcW w:w="754" w:type="dxa"/>
          </w:tcPr>
          <w:p w14:paraId="75400161"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381CC2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5815C1E"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1EB7B8F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400CA4" w14:textId="77777777" w:rsidR="00AD4C8C" w:rsidRDefault="00AD4C8C" w:rsidP="00034905">
            <w:pPr>
              <w:jc w:val="center"/>
              <w:rPr>
                <w:rFonts w:asciiTheme="minorHAnsi" w:hAnsiTheme="minorHAnsi" w:cstheme="minorHAnsi"/>
              </w:rPr>
            </w:pPr>
            <w:r>
              <w:rPr>
                <w:rFonts w:asciiTheme="minorHAnsi" w:hAnsiTheme="minorHAnsi" w:cstheme="minorHAnsi"/>
              </w:rPr>
              <w:t>-</w:t>
            </w:r>
          </w:p>
          <w:p w14:paraId="79319D6E"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7F718B74"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Y</w:t>
            </w:r>
          </w:p>
        </w:tc>
        <w:tc>
          <w:tcPr>
            <w:tcW w:w="754" w:type="dxa"/>
          </w:tcPr>
          <w:p w14:paraId="41FFE32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10B9BB9D"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405F4037"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12F5114"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2F46309A"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32C35099" w14:textId="77777777" w:rsidR="00AD4C8C" w:rsidRDefault="00AD4C8C" w:rsidP="00034905">
            <w:pPr>
              <w:jc w:val="center"/>
              <w:rPr>
                <w:rFonts w:asciiTheme="minorHAnsi" w:hAnsiTheme="minorHAnsi" w:cstheme="minorHAnsi"/>
              </w:rPr>
            </w:pPr>
            <w:r>
              <w:rPr>
                <w:rFonts w:asciiTheme="minorHAnsi" w:hAnsiTheme="minorHAnsi" w:cstheme="minorHAnsi"/>
              </w:rPr>
              <w:t>Y</w:t>
            </w:r>
          </w:p>
          <w:p w14:paraId="09F7D075" w14:textId="77777777" w:rsidR="00AD4C8C" w:rsidRPr="00E5036B" w:rsidRDefault="00AD4C8C" w:rsidP="00034905">
            <w:pPr>
              <w:jc w:val="center"/>
              <w:rPr>
                <w:rFonts w:asciiTheme="minorHAnsi" w:hAnsiTheme="minorHAnsi" w:cstheme="minorHAnsi"/>
              </w:rPr>
            </w:pPr>
            <w:r>
              <w:rPr>
                <w:rFonts w:asciiTheme="minorHAnsi" w:hAnsiTheme="minorHAnsi" w:cstheme="minorHAnsi"/>
              </w:rPr>
              <w:t>-</w:t>
            </w:r>
          </w:p>
        </w:tc>
      </w:tr>
      <w:bookmarkEnd w:id="286"/>
    </w:tbl>
    <w:p w14:paraId="6976F4D6" w14:textId="77777777" w:rsidR="00AD4C8C" w:rsidRDefault="00AD4C8C" w:rsidP="00AD4C8C">
      <w:pPr>
        <w:rPr>
          <w:rFonts w:cs="Arial"/>
        </w:rPr>
      </w:pPr>
    </w:p>
    <w:p w14:paraId="139BADDC" w14:textId="77777777" w:rsidR="00AD4C8C" w:rsidRDefault="00AD4C8C" w:rsidP="00AD4C8C">
      <w:pPr>
        <w:rPr>
          <w:rFonts w:cs="Arial"/>
        </w:rPr>
      </w:pPr>
      <w:bookmarkStart w:id="287" w:name="_Hlk162272257"/>
      <w:r w:rsidRPr="00B21CBA">
        <w:rPr>
          <w:rFonts w:cs="Arial"/>
        </w:rPr>
        <w:t>During 202</w:t>
      </w:r>
      <w:r>
        <w:rPr>
          <w:rFonts w:cs="Arial"/>
        </w:rPr>
        <w:t>3</w:t>
      </w:r>
      <w:r w:rsidRPr="00B21CBA">
        <w:rPr>
          <w:rFonts w:cs="Arial"/>
        </w:rPr>
        <w:t>/2</w:t>
      </w:r>
      <w:r>
        <w:rPr>
          <w:rFonts w:cs="Arial"/>
        </w:rPr>
        <w:t>4</w:t>
      </w:r>
      <w:r w:rsidRPr="00B21CBA">
        <w:rPr>
          <w:rFonts w:cs="Arial"/>
        </w:rPr>
        <w:t xml:space="preserve"> Northamptonshire Police were subject to a Police Effectiveness, Legitimacy and Efficiency (PEEL) Inspection.  The inspection results were published in </w:t>
      </w:r>
      <w:r>
        <w:rPr>
          <w:rFonts w:cs="Arial"/>
        </w:rPr>
        <w:t>February</w:t>
      </w:r>
      <w:r w:rsidRPr="00B21CBA">
        <w:rPr>
          <w:rFonts w:cs="Arial"/>
        </w:rPr>
        <w:t xml:space="preserve"> 202</w:t>
      </w:r>
      <w:r>
        <w:rPr>
          <w:rFonts w:cs="Arial"/>
        </w:rPr>
        <w:t>4</w:t>
      </w:r>
      <w:r w:rsidRPr="00B21CBA">
        <w:rPr>
          <w:rFonts w:cs="Arial"/>
        </w:rPr>
        <w:t xml:space="preserve">, </w:t>
      </w:r>
      <w:r>
        <w:rPr>
          <w:rFonts w:cs="Arial"/>
        </w:rPr>
        <w:t>as summarised in the narrative statement earlier in these accounts.</w:t>
      </w:r>
    </w:p>
    <w:p w14:paraId="56697B8E" w14:textId="77777777" w:rsidR="00AD4C8C" w:rsidRDefault="00AD4C8C" w:rsidP="00AD4C8C">
      <w:pPr>
        <w:rPr>
          <w:rFonts w:cs="Arial"/>
          <w:highlight w:val="yellow"/>
        </w:rPr>
      </w:pPr>
    </w:p>
    <w:p w14:paraId="27B5DDFD" w14:textId="77777777" w:rsidR="00AD4C8C" w:rsidRPr="00B21CBA" w:rsidRDefault="00AD4C8C" w:rsidP="00AD4C8C">
      <w:pPr>
        <w:rPr>
          <w:rFonts w:cs="Arial"/>
        </w:rPr>
      </w:pPr>
      <w:r w:rsidRPr="00B21CBA">
        <w:rPr>
          <w:rFonts w:cs="Arial"/>
        </w:rPr>
        <w:t xml:space="preserve">The CC has put in place an action plan and the PFCC will hold the CC to account for progress by requiring regular monitoring reports to the Accountability Board. </w:t>
      </w:r>
      <w:r>
        <w:rPr>
          <w:rFonts w:cs="Arial"/>
        </w:rPr>
        <w:t xml:space="preserve"> </w:t>
      </w:r>
      <w:r w:rsidRPr="00B21CBA">
        <w:rPr>
          <w:rFonts w:cs="Arial"/>
        </w:rPr>
        <w:t>An update on HMICFRS improvement action is also considered by JIAC during the year.</w:t>
      </w:r>
    </w:p>
    <w:bookmarkEnd w:id="287"/>
    <w:p w14:paraId="0711FFDE" w14:textId="77777777" w:rsidR="00AD4C8C" w:rsidRPr="00B21CBA" w:rsidRDefault="00AD4C8C" w:rsidP="00AD4C8C">
      <w:pPr>
        <w:rPr>
          <w:rFonts w:cs="Arial"/>
        </w:rPr>
      </w:pPr>
    </w:p>
    <w:p w14:paraId="589189AA" w14:textId="77777777" w:rsidR="00AD4C8C" w:rsidRPr="00E35D42" w:rsidRDefault="00AD4C8C" w:rsidP="00AD4C8C">
      <w:pPr>
        <w:pStyle w:val="VAHeadingLevel2"/>
      </w:pPr>
      <w:r w:rsidRPr="00E35D42">
        <w:t xml:space="preserve">Significant Governance Issues </w:t>
      </w:r>
    </w:p>
    <w:p w14:paraId="625B2A6E" w14:textId="63DCA1A0" w:rsidR="00AD4C8C" w:rsidRDefault="00AD4C8C" w:rsidP="00AD4C8C">
      <w:pPr>
        <w:tabs>
          <w:tab w:val="left" w:pos="2616"/>
        </w:tabs>
        <w:rPr>
          <w:rFonts w:cstheme="minorHAnsi"/>
        </w:rPr>
      </w:pPr>
      <w:r w:rsidRPr="00E35D42">
        <w:rPr>
          <w:rFonts w:cstheme="minorHAnsi"/>
        </w:rPr>
        <w:t xml:space="preserve">There were no formal reports issued by the </w:t>
      </w:r>
      <w:r w:rsidR="00561211">
        <w:rPr>
          <w:rFonts w:cstheme="minorHAnsi"/>
        </w:rPr>
        <w:t>Chief Finance Officer</w:t>
      </w:r>
      <w:r w:rsidRPr="00E35D42">
        <w:rPr>
          <w:rFonts w:cstheme="minorHAnsi"/>
        </w:rPr>
        <w:t xml:space="preserve"> or Monitoring Officer during the year, outcomes of Monitoring Officer Investigations, objections from local electors or ombudsman referrals.</w:t>
      </w:r>
    </w:p>
    <w:p w14:paraId="5E779879" w14:textId="77777777" w:rsidR="00AD4C8C" w:rsidRDefault="00AD4C8C" w:rsidP="00AD4C8C">
      <w:pPr>
        <w:tabs>
          <w:tab w:val="left" w:pos="2616"/>
        </w:tabs>
        <w:rPr>
          <w:rFonts w:cstheme="minorHAnsi"/>
        </w:rPr>
      </w:pPr>
    </w:p>
    <w:p w14:paraId="2D2143FB" w14:textId="77777777" w:rsidR="00AD4C8C" w:rsidRDefault="00AD4C8C" w:rsidP="00AD4C8C">
      <w:pPr>
        <w:tabs>
          <w:tab w:val="left" w:pos="2616"/>
        </w:tabs>
        <w:rPr>
          <w:rFonts w:cstheme="minorHAnsi"/>
        </w:rPr>
      </w:pPr>
      <w:r w:rsidRPr="008D7221">
        <w:rPr>
          <w:rFonts w:cstheme="minorHAnsi"/>
        </w:rPr>
        <w:t>The financial settlement for 202</w:t>
      </w:r>
      <w:r>
        <w:rPr>
          <w:rFonts w:cstheme="minorHAnsi"/>
        </w:rPr>
        <w:t>4</w:t>
      </w:r>
      <w:r w:rsidRPr="008D7221">
        <w:rPr>
          <w:rFonts w:cstheme="minorHAnsi"/>
        </w:rPr>
        <w:t>/2</w:t>
      </w:r>
      <w:r>
        <w:rPr>
          <w:rFonts w:cstheme="minorHAnsi"/>
        </w:rPr>
        <w:t>5</w:t>
      </w:r>
      <w:r w:rsidRPr="008D7221">
        <w:rPr>
          <w:rFonts w:cstheme="minorHAnsi"/>
        </w:rPr>
        <w:t xml:space="preserve"> ha</w:t>
      </w:r>
      <w:r>
        <w:rPr>
          <w:rFonts w:cstheme="minorHAnsi"/>
        </w:rPr>
        <w:t xml:space="preserve">s </w:t>
      </w:r>
      <w:r w:rsidRPr="008D7221">
        <w:rPr>
          <w:rFonts w:cstheme="minorHAnsi"/>
        </w:rPr>
        <w:t xml:space="preserve">enabled </w:t>
      </w:r>
      <w:r>
        <w:rPr>
          <w:rFonts w:cstheme="minorHAnsi"/>
        </w:rPr>
        <w:t xml:space="preserve">the PFCC </w:t>
      </w:r>
      <w:r w:rsidRPr="008D7221">
        <w:rPr>
          <w:rFonts w:cstheme="minorHAnsi"/>
        </w:rPr>
        <w:t xml:space="preserve">to set a balanced budget with an agreed </w:t>
      </w:r>
      <w:r>
        <w:rPr>
          <w:rFonts w:cstheme="minorHAnsi"/>
        </w:rPr>
        <w:t xml:space="preserve">realistic </w:t>
      </w:r>
      <w:r w:rsidRPr="008D7221">
        <w:rPr>
          <w:rFonts w:cstheme="minorHAnsi"/>
        </w:rPr>
        <w:t>efficiency plan which will be kept under close review.</w:t>
      </w:r>
    </w:p>
    <w:p w14:paraId="7039CED8" w14:textId="77777777" w:rsidR="00AD4C8C" w:rsidRPr="008D7221" w:rsidRDefault="00AD4C8C" w:rsidP="00AD4C8C">
      <w:pPr>
        <w:tabs>
          <w:tab w:val="left" w:pos="2616"/>
        </w:tabs>
        <w:rPr>
          <w:rFonts w:cstheme="minorHAnsi"/>
        </w:rPr>
      </w:pPr>
    </w:p>
    <w:p w14:paraId="74C12C6D" w14:textId="77777777" w:rsidR="00AD4C8C" w:rsidRPr="008D7221" w:rsidRDefault="00AD4C8C" w:rsidP="00AD4C8C">
      <w:pPr>
        <w:tabs>
          <w:tab w:val="left" w:pos="2616"/>
        </w:tabs>
        <w:rPr>
          <w:rFonts w:cstheme="minorHAnsi"/>
          <w:b/>
          <w:u w:val="single"/>
        </w:rPr>
      </w:pPr>
      <w:r w:rsidRPr="008D7221">
        <w:rPr>
          <w:rFonts w:cstheme="minorHAnsi"/>
        </w:rPr>
        <w:t xml:space="preserve">Fixed Asset Strategies, Reserves, Treasury Management Strategies and a Capital Programme are in place, and the Capital Programme is regularly reviewed to ensure deliverability and affordability. </w:t>
      </w:r>
      <w:r>
        <w:rPr>
          <w:rFonts w:cstheme="minorHAnsi"/>
        </w:rPr>
        <w:t xml:space="preserve"> </w:t>
      </w:r>
      <w:r w:rsidRPr="008D7221">
        <w:rPr>
          <w:rFonts w:cstheme="minorHAnsi"/>
        </w:rPr>
        <w:t xml:space="preserve">It remains essential that opportunities to build resilience and capacity and maximise efficiencies continue to be taken forward with </w:t>
      </w:r>
      <w:r>
        <w:rPr>
          <w:rFonts w:cstheme="minorHAnsi"/>
        </w:rPr>
        <w:t xml:space="preserve">Fire. </w:t>
      </w:r>
      <w:r w:rsidRPr="008D7221">
        <w:rPr>
          <w:rFonts w:cstheme="minorHAnsi"/>
        </w:rPr>
        <w:t xml:space="preserve"> The internal control framework continues to develop</w:t>
      </w:r>
      <w:r>
        <w:rPr>
          <w:rFonts w:cstheme="minorHAnsi"/>
        </w:rPr>
        <w:t>,</w:t>
      </w:r>
      <w:r w:rsidRPr="008D7221">
        <w:rPr>
          <w:rFonts w:cstheme="minorHAnsi"/>
        </w:rPr>
        <w:t xml:space="preserve"> and it is important that this momentum is maintained. </w:t>
      </w:r>
    </w:p>
    <w:p w14:paraId="31D24A75" w14:textId="77777777" w:rsidR="00AD4C8C" w:rsidRDefault="00AD4C8C" w:rsidP="00AD4C8C">
      <w:pPr>
        <w:rPr>
          <w:rFonts w:cs="Arial"/>
        </w:rPr>
      </w:pPr>
    </w:p>
    <w:p w14:paraId="6B7F43E4" w14:textId="77777777" w:rsidR="00AD4C8C" w:rsidRDefault="00AD4C8C" w:rsidP="00AD4C8C">
      <w:pPr>
        <w:rPr>
          <w:rFonts w:cs="Arial"/>
        </w:rPr>
      </w:pPr>
    </w:p>
    <w:p w14:paraId="0C5C766C" w14:textId="77777777" w:rsidR="00AD4C8C" w:rsidRDefault="00AD4C8C" w:rsidP="00AD4C8C">
      <w:pPr>
        <w:spacing w:line="240" w:lineRule="auto"/>
        <w:jc w:val="left"/>
        <w:rPr>
          <w:rFonts w:cs="Arial"/>
        </w:rPr>
      </w:pPr>
      <w:r>
        <w:rPr>
          <w:rFonts w:cs="Arial"/>
        </w:rPr>
        <w:br w:type="page"/>
      </w:r>
    </w:p>
    <w:p w14:paraId="5237B29F" w14:textId="77777777" w:rsidR="00AD4C8C" w:rsidRPr="00B21CBA" w:rsidRDefault="00AD4C8C" w:rsidP="00AD4C8C">
      <w:pPr>
        <w:pStyle w:val="VAHeadingLevel2"/>
      </w:pPr>
      <w:r w:rsidRPr="00B21CBA">
        <w:lastRenderedPageBreak/>
        <w:t>Actions</w:t>
      </w:r>
    </w:p>
    <w:p w14:paraId="3DCC701A" w14:textId="77777777" w:rsidR="00AD4C8C" w:rsidRPr="00B21CBA" w:rsidRDefault="00AD4C8C" w:rsidP="00AD4C8C">
      <w:pPr>
        <w:rPr>
          <w:rFonts w:cs="Arial"/>
        </w:rPr>
      </w:pPr>
      <w:r w:rsidRPr="00B21CBA">
        <w:rPr>
          <w:rFonts w:cs="Arial"/>
        </w:rPr>
        <w:t>Good progress has been made on implementing the recommendations to date identified in the governance statements for previous years as follows:</w:t>
      </w:r>
    </w:p>
    <w:p w14:paraId="66F57653" w14:textId="77777777" w:rsidR="00AD4C8C" w:rsidRPr="00B21CBA" w:rsidRDefault="00AD4C8C" w:rsidP="00AD4C8C">
      <w:pPr>
        <w:rPr>
          <w:rFonts w:cs="Arial"/>
        </w:rPr>
      </w:pPr>
    </w:p>
    <w:tbl>
      <w:tblPr>
        <w:tblStyle w:val="TableGrid"/>
        <w:tblW w:w="9356" w:type="dxa"/>
        <w:jc w:val="center"/>
        <w:tblLayout w:type="fixed"/>
        <w:tblLook w:val="04A0" w:firstRow="1" w:lastRow="0" w:firstColumn="1" w:lastColumn="0" w:noHBand="0" w:noVBand="1"/>
      </w:tblPr>
      <w:tblGrid>
        <w:gridCol w:w="2694"/>
        <w:gridCol w:w="3118"/>
        <w:gridCol w:w="3544"/>
      </w:tblGrid>
      <w:tr w:rsidR="00AD4C8C" w:rsidRPr="00C5260A" w14:paraId="7319E328" w14:textId="77777777" w:rsidTr="00034905">
        <w:trPr>
          <w:jc w:val="center"/>
        </w:trPr>
        <w:tc>
          <w:tcPr>
            <w:tcW w:w="9356" w:type="dxa"/>
            <w:gridSpan w:val="3"/>
            <w:shd w:val="clear" w:color="auto" w:fill="25316C"/>
          </w:tcPr>
          <w:p w14:paraId="71C94908" w14:textId="77777777" w:rsidR="00AD4C8C" w:rsidRPr="00C5260A" w:rsidRDefault="00AD4C8C" w:rsidP="00034905">
            <w:pPr>
              <w:shd w:val="clear" w:color="auto" w:fill="25316C"/>
              <w:tabs>
                <w:tab w:val="left" w:pos="2616"/>
              </w:tabs>
              <w:jc w:val="center"/>
              <w:rPr>
                <w:rFonts w:asciiTheme="minorHAnsi" w:hAnsiTheme="minorHAnsi" w:cstheme="minorHAnsi"/>
                <w:b/>
                <w:color w:val="FFFFFF" w:themeColor="background1"/>
                <w:szCs w:val="20"/>
              </w:rPr>
            </w:pPr>
            <w:r w:rsidRPr="00C5260A">
              <w:rPr>
                <w:szCs w:val="20"/>
              </w:rPr>
              <w:br w:type="page"/>
            </w:r>
            <w:r w:rsidRPr="00C5260A">
              <w:rPr>
                <w:rFonts w:asciiTheme="minorHAnsi" w:hAnsiTheme="minorHAnsi" w:cstheme="minorHAnsi"/>
                <w:b/>
                <w:color w:val="FFFFFF" w:themeColor="background1"/>
                <w:szCs w:val="20"/>
              </w:rPr>
              <w:t>Progress on 202</w:t>
            </w:r>
            <w:r>
              <w:rPr>
                <w:rFonts w:asciiTheme="minorHAnsi" w:hAnsiTheme="minorHAnsi" w:cstheme="minorHAnsi"/>
                <w:b/>
                <w:color w:val="FFFFFF" w:themeColor="background1"/>
                <w:szCs w:val="20"/>
              </w:rPr>
              <w:t>3</w:t>
            </w:r>
            <w:r w:rsidRPr="00C5260A">
              <w:rPr>
                <w:rFonts w:asciiTheme="minorHAnsi" w:hAnsiTheme="minorHAnsi" w:cstheme="minorHAnsi"/>
                <w:b/>
                <w:color w:val="FFFFFF" w:themeColor="background1"/>
                <w:szCs w:val="20"/>
              </w:rPr>
              <w:t>/2</w:t>
            </w:r>
            <w:r>
              <w:rPr>
                <w:rFonts w:asciiTheme="minorHAnsi" w:hAnsiTheme="minorHAnsi" w:cstheme="minorHAnsi"/>
                <w:b/>
                <w:color w:val="FFFFFF" w:themeColor="background1"/>
                <w:szCs w:val="20"/>
              </w:rPr>
              <w:t>4</w:t>
            </w:r>
            <w:r w:rsidRPr="00C5260A">
              <w:rPr>
                <w:rFonts w:asciiTheme="minorHAnsi" w:hAnsiTheme="minorHAnsi" w:cstheme="minorHAnsi"/>
                <w:b/>
                <w:color w:val="FFFFFF" w:themeColor="background1"/>
                <w:szCs w:val="20"/>
              </w:rPr>
              <w:t xml:space="preserve"> Internal Control Actions</w:t>
            </w:r>
          </w:p>
          <w:p w14:paraId="5203B3E9" w14:textId="77777777" w:rsidR="00AD4C8C" w:rsidRPr="00C5260A" w:rsidRDefault="00AD4C8C" w:rsidP="00034905">
            <w:pPr>
              <w:tabs>
                <w:tab w:val="left" w:pos="2616"/>
              </w:tabs>
              <w:rPr>
                <w:rFonts w:asciiTheme="minorHAnsi" w:hAnsiTheme="minorHAnsi" w:cstheme="minorHAnsi"/>
                <w:b/>
                <w:szCs w:val="20"/>
              </w:rPr>
            </w:pPr>
          </w:p>
        </w:tc>
      </w:tr>
      <w:tr w:rsidR="00AD4C8C" w:rsidRPr="00C5260A" w14:paraId="181A1E3C" w14:textId="77777777" w:rsidTr="00034905">
        <w:trPr>
          <w:trHeight w:val="1779"/>
          <w:jc w:val="center"/>
        </w:trPr>
        <w:tc>
          <w:tcPr>
            <w:tcW w:w="2694" w:type="dxa"/>
            <w:vMerge w:val="restart"/>
          </w:tcPr>
          <w:p w14:paraId="432C7CDA"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Principle D:</w:t>
            </w:r>
          </w:p>
          <w:p w14:paraId="1CBE92D6"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szCs w:val="20"/>
              </w:rPr>
              <w:t>Determining the interventions necessary to optimise the achievement of intended outcomes</w:t>
            </w:r>
          </w:p>
        </w:tc>
        <w:tc>
          <w:tcPr>
            <w:tcW w:w="3118" w:type="dxa"/>
          </w:tcPr>
          <w:p w14:paraId="5613D4D6"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Recommendation 1 </w:t>
            </w:r>
          </w:p>
          <w:p w14:paraId="51D8FF51" w14:textId="77777777" w:rsidR="00AD4C8C" w:rsidRPr="00E40739" w:rsidRDefault="00AD4C8C" w:rsidP="00034905">
            <w:pPr>
              <w:tabs>
                <w:tab w:val="left" w:pos="2616"/>
              </w:tabs>
              <w:jc w:val="left"/>
              <w:rPr>
                <w:rFonts w:asciiTheme="minorHAnsi" w:hAnsiTheme="minorHAnsi" w:cstheme="minorHAnsi"/>
                <w:szCs w:val="20"/>
              </w:rPr>
            </w:pPr>
            <w:r w:rsidRPr="00E40739">
              <w:rPr>
                <w:rFonts w:asciiTheme="minorHAnsi" w:hAnsiTheme="minorHAnsi" w:cstheme="minorHAnsi"/>
                <w:szCs w:val="20"/>
              </w:rPr>
              <w:t>Undertake a first-year review of the documentation and guidance notes for agreed new system arrangements in line with agreed timescales.</w:t>
            </w:r>
          </w:p>
          <w:p w14:paraId="0CC79DA5" w14:textId="77777777" w:rsidR="00AD4C8C" w:rsidRPr="00C5260A" w:rsidRDefault="00AD4C8C" w:rsidP="00034905">
            <w:pPr>
              <w:tabs>
                <w:tab w:val="left" w:pos="2616"/>
              </w:tabs>
              <w:jc w:val="left"/>
              <w:rPr>
                <w:rFonts w:asciiTheme="minorHAnsi" w:hAnsiTheme="minorHAnsi" w:cstheme="minorHAnsi"/>
                <w:b/>
                <w:szCs w:val="20"/>
              </w:rPr>
            </w:pPr>
          </w:p>
        </w:tc>
        <w:tc>
          <w:tcPr>
            <w:tcW w:w="3544" w:type="dxa"/>
          </w:tcPr>
          <w:p w14:paraId="60F786E6" w14:textId="77777777" w:rsidR="00AD4C8C" w:rsidRDefault="00AD4C8C" w:rsidP="00034905">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12FF1C18" w14:textId="77777777" w:rsidR="00AD4C8C" w:rsidRDefault="00AD4C8C" w:rsidP="00034905">
            <w:pPr>
              <w:tabs>
                <w:tab w:val="left" w:pos="2616"/>
              </w:tabs>
              <w:jc w:val="left"/>
              <w:rPr>
                <w:rFonts w:asciiTheme="minorHAnsi" w:hAnsiTheme="minorHAnsi" w:cstheme="minorHAnsi"/>
                <w:bCs/>
                <w:szCs w:val="20"/>
              </w:rPr>
            </w:pPr>
            <w:r w:rsidRPr="00E04CD4">
              <w:rPr>
                <w:rFonts w:asciiTheme="minorHAnsi" w:hAnsiTheme="minorHAnsi" w:cstheme="minorHAnsi"/>
                <w:bCs/>
                <w:szCs w:val="20"/>
              </w:rPr>
              <w:t>Documentation</w:t>
            </w:r>
            <w:r>
              <w:rPr>
                <w:rFonts w:asciiTheme="minorHAnsi" w:hAnsiTheme="minorHAnsi" w:cstheme="minorHAnsi"/>
                <w:bCs/>
                <w:szCs w:val="20"/>
              </w:rPr>
              <w:t xml:space="preserve"> was reviewed and has been updated.</w:t>
            </w:r>
          </w:p>
          <w:p w14:paraId="5FE585D4" w14:textId="77777777" w:rsidR="00AD4C8C" w:rsidRDefault="00AD4C8C" w:rsidP="00034905">
            <w:pPr>
              <w:tabs>
                <w:tab w:val="left" w:pos="2616"/>
              </w:tabs>
              <w:jc w:val="left"/>
              <w:rPr>
                <w:rFonts w:asciiTheme="minorHAnsi" w:hAnsiTheme="minorHAnsi" w:cstheme="minorHAnsi"/>
                <w:bCs/>
                <w:szCs w:val="20"/>
              </w:rPr>
            </w:pPr>
            <w:r>
              <w:rPr>
                <w:rFonts w:asciiTheme="minorHAnsi" w:hAnsiTheme="minorHAnsi" w:cstheme="minorHAnsi"/>
                <w:bCs/>
                <w:szCs w:val="20"/>
              </w:rPr>
              <w:t>Given the alignment of policies and procedures across Enabling Services, there will continue to be an on-going review to ensure that these documents remain fit for purpose.</w:t>
            </w:r>
          </w:p>
          <w:p w14:paraId="034C104D" w14:textId="77777777" w:rsidR="00AD4C8C" w:rsidRPr="00C5260A" w:rsidRDefault="00AD4C8C" w:rsidP="00034905">
            <w:pPr>
              <w:jc w:val="left"/>
              <w:rPr>
                <w:rFonts w:asciiTheme="minorHAnsi" w:hAnsiTheme="minorHAnsi" w:cstheme="minorHAnsi"/>
                <w:bCs/>
                <w:szCs w:val="20"/>
              </w:rPr>
            </w:pPr>
          </w:p>
        </w:tc>
      </w:tr>
      <w:tr w:rsidR="00AD4C8C" w:rsidRPr="00C5260A" w14:paraId="7715315A" w14:textId="77777777" w:rsidTr="00034905">
        <w:trPr>
          <w:trHeight w:val="2150"/>
          <w:jc w:val="center"/>
        </w:trPr>
        <w:tc>
          <w:tcPr>
            <w:tcW w:w="2694" w:type="dxa"/>
            <w:vMerge/>
          </w:tcPr>
          <w:p w14:paraId="3D06A97C" w14:textId="77777777" w:rsidR="00AD4C8C" w:rsidRPr="00C5260A" w:rsidRDefault="00AD4C8C" w:rsidP="00034905">
            <w:pPr>
              <w:tabs>
                <w:tab w:val="left" w:pos="2616"/>
              </w:tabs>
              <w:jc w:val="left"/>
              <w:rPr>
                <w:rFonts w:asciiTheme="minorHAnsi" w:hAnsiTheme="minorHAnsi" w:cstheme="minorHAnsi"/>
                <w:b/>
                <w:szCs w:val="20"/>
              </w:rPr>
            </w:pPr>
          </w:p>
        </w:tc>
        <w:tc>
          <w:tcPr>
            <w:tcW w:w="3118" w:type="dxa"/>
          </w:tcPr>
          <w:p w14:paraId="43A0C1AE" w14:textId="77777777" w:rsidR="00AD4C8C" w:rsidRPr="00E40739"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Recommendation 2</w:t>
            </w:r>
          </w:p>
          <w:p w14:paraId="0932FC91"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Cs/>
                <w:szCs w:val="20"/>
              </w:rPr>
              <w:t>On receipt of the HMICFRS Inspection findings, take forward recommendations and areas for improvement and monitor updates regularly through the Accountability Board.</w:t>
            </w:r>
          </w:p>
        </w:tc>
        <w:tc>
          <w:tcPr>
            <w:tcW w:w="3544" w:type="dxa"/>
          </w:tcPr>
          <w:p w14:paraId="040FFDAD" w14:textId="77777777" w:rsidR="00AD4C8C" w:rsidRDefault="00AD4C8C" w:rsidP="00034905">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748395C2" w14:textId="77777777" w:rsidR="00AD4C8C" w:rsidRPr="00C5260A" w:rsidRDefault="00AD4C8C" w:rsidP="00034905">
            <w:pPr>
              <w:jc w:val="left"/>
              <w:rPr>
                <w:rFonts w:asciiTheme="minorHAnsi" w:hAnsiTheme="minorHAnsi" w:cstheme="minorHAnsi"/>
                <w:b/>
                <w:szCs w:val="20"/>
              </w:rPr>
            </w:pPr>
            <w:r>
              <w:rPr>
                <w:rFonts w:asciiTheme="minorHAnsi" w:hAnsiTheme="minorHAnsi" w:cstheme="minorHAnsi"/>
                <w:bCs/>
                <w:szCs w:val="20"/>
              </w:rPr>
              <w:t>Areas for interest and recommendations have been taken forwards and these updates are being monitored through the Accountability Board.</w:t>
            </w:r>
          </w:p>
        </w:tc>
      </w:tr>
      <w:tr w:rsidR="00AD4C8C" w:rsidRPr="00C5260A" w14:paraId="3A30478F" w14:textId="77777777" w:rsidTr="00034905">
        <w:trPr>
          <w:jc w:val="center"/>
        </w:trPr>
        <w:tc>
          <w:tcPr>
            <w:tcW w:w="2694" w:type="dxa"/>
            <w:vMerge w:val="restart"/>
          </w:tcPr>
          <w:p w14:paraId="03134FE5" w14:textId="77777777" w:rsidR="00AD4C8C" w:rsidRPr="00C5260A" w:rsidRDefault="00AD4C8C" w:rsidP="00034905">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Principal E: </w:t>
            </w:r>
            <w:r w:rsidRPr="00E40739">
              <w:rPr>
                <w:rFonts w:asciiTheme="minorHAnsi" w:hAnsiTheme="minorHAnsi" w:cstheme="minorHAnsi"/>
                <w:bCs/>
                <w:szCs w:val="20"/>
              </w:rPr>
              <w:t>Developing Capacity and Capability</w:t>
            </w:r>
          </w:p>
        </w:tc>
        <w:tc>
          <w:tcPr>
            <w:tcW w:w="3118" w:type="dxa"/>
          </w:tcPr>
          <w:p w14:paraId="16ECC3F5" w14:textId="77777777" w:rsidR="00AD4C8C" w:rsidRPr="00E40739" w:rsidRDefault="00AD4C8C" w:rsidP="00034905">
            <w:pPr>
              <w:jc w:val="left"/>
              <w:rPr>
                <w:rFonts w:asciiTheme="minorHAnsi" w:hAnsiTheme="minorHAnsi" w:cstheme="minorHAnsi"/>
                <w:szCs w:val="20"/>
              </w:rPr>
            </w:pPr>
            <w:r w:rsidRPr="00E40739">
              <w:rPr>
                <w:rFonts w:asciiTheme="minorHAnsi" w:hAnsiTheme="minorHAnsi" w:cstheme="minorHAnsi"/>
                <w:b/>
                <w:bCs/>
                <w:szCs w:val="20"/>
              </w:rPr>
              <w:t>Recommendation 3</w:t>
            </w:r>
          </w:p>
          <w:p w14:paraId="14265797" w14:textId="77777777" w:rsidR="00AD4C8C" w:rsidRPr="00E40739" w:rsidRDefault="00AD4C8C" w:rsidP="00034905">
            <w:pPr>
              <w:jc w:val="left"/>
              <w:rPr>
                <w:rFonts w:asciiTheme="minorHAnsi" w:hAnsiTheme="minorHAnsi" w:cstheme="minorHAnsi"/>
                <w:bCs/>
                <w:szCs w:val="20"/>
              </w:rPr>
            </w:pPr>
            <w:r w:rsidRPr="00E40739">
              <w:rPr>
                <w:rFonts w:asciiTheme="minorHAnsi" w:hAnsiTheme="minorHAnsi" w:cstheme="minorHAnsi"/>
                <w:bCs/>
                <w:szCs w:val="20"/>
              </w:rPr>
              <w:t>Review demand modelling to better align resource to demand.</w:t>
            </w:r>
          </w:p>
          <w:p w14:paraId="1DFAEE36" w14:textId="77777777" w:rsidR="00AD4C8C" w:rsidRPr="00C5260A" w:rsidRDefault="00AD4C8C" w:rsidP="00034905">
            <w:pPr>
              <w:tabs>
                <w:tab w:val="left" w:pos="2616"/>
              </w:tabs>
              <w:jc w:val="left"/>
              <w:rPr>
                <w:rFonts w:asciiTheme="minorHAnsi" w:hAnsiTheme="minorHAnsi" w:cstheme="minorHAnsi"/>
                <w:b/>
                <w:szCs w:val="20"/>
              </w:rPr>
            </w:pPr>
          </w:p>
        </w:tc>
        <w:tc>
          <w:tcPr>
            <w:tcW w:w="3544" w:type="dxa"/>
          </w:tcPr>
          <w:p w14:paraId="3E91437E" w14:textId="77777777" w:rsidR="00AD4C8C" w:rsidRDefault="00AD4C8C" w:rsidP="00034905">
            <w:pPr>
              <w:jc w:val="left"/>
              <w:rPr>
                <w:rFonts w:asciiTheme="minorHAnsi" w:hAnsiTheme="minorHAnsi" w:cstheme="minorHAnsi"/>
                <w:b/>
                <w:bCs/>
                <w:szCs w:val="20"/>
              </w:rPr>
            </w:pPr>
            <w:r w:rsidRPr="00E04CD4">
              <w:rPr>
                <w:rFonts w:asciiTheme="minorHAnsi" w:hAnsiTheme="minorHAnsi" w:cstheme="minorHAnsi"/>
                <w:b/>
                <w:bCs/>
                <w:szCs w:val="20"/>
              </w:rPr>
              <w:t>Complete</w:t>
            </w:r>
          </w:p>
          <w:p w14:paraId="65D70340" w14:textId="77777777" w:rsidR="00AD4C8C" w:rsidRDefault="00AD4C8C" w:rsidP="00034905">
            <w:pPr>
              <w:jc w:val="left"/>
              <w:rPr>
                <w:rFonts w:asciiTheme="minorHAnsi" w:hAnsiTheme="minorHAnsi" w:cstheme="minorHAnsi"/>
                <w:szCs w:val="20"/>
              </w:rPr>
            </w:pPr>
            <w:r>
              <w:rPr>
                <w:rFonts w:asciiTheme="minorHAnsi" w:hAnsiTheme="minorHAnsi" w:cstheme="minorHAnsi"/>
                <w:szCs w:val="20"/>
              </w:rPr>
              <w:t>Demand requirements to resource modelling was revisited and agreed through the Force Executive Meeting.</w:t>
            </w:r>
          </w:p>
          <w:p w14:paraId="04A49D39" w14:textId="77777777" w:rsidR="00AD4C8C" w:rsidRPr="00C5260A" w:rsidRDefault="00AD4C8C" w:rsidP="00034905">
            <w:pPr>
              <w:jc w:val="left"/>
              <w:rPr>
                <w:rFonts w:asciiTheme="minorHAnsi" w:hAnsiTheme="minorHAnsi" w:cstheme="minorHAnsi"/>
                <w:bCs/>
                <w:szCs w:val="20"/>
              </w:rPr>
            </w:pPr>
            <w:r>
              <w:rPr>
                <w:rFonts w:asciiTheme="minorHAnsi" w:hAnsiTheme="minorHAnsi" w:cstheme="minorHAnsi"/>
                <w:szCs w:val="20"/>
              </w:rPr>
              <w:t>This area will continue to be revisited as demand and resource models are updated.</w:t>
            </w:r>
          </w:p>
        </w:tc>
      </w:tr>
      <w:tr w:rsidR="00AD4C8C" w:rsidRPr="00C5260A" w14:paraId="6B32EC9B" w14:textId="77777777" w:rsidTr="00034905">
        <w:trPr>
          <w:trHeight w:val="2303"/>
          <w:jc w:val="center"/>
        </w:trPr>
        <w:tc>
          <w:tcPr>
            <w:tcW w:w="2694" w:type="dxa"/>
            <w:vMerge/>
          </w:tcPr>
          <w:p w14:paraId="69360719" w14:textId="77777777" w:rsidR="00AD4C8C" w:rsidRPr="00C5260A" w:rsidRDefault="00AD4C8C" w:rsidP="00034905">
            <w:pPr>
              <w:jc w:val="left"/>
              <w:rPr>
                <w:rFonts w:asciiTheme="minorHAnsi" w:hAnsiTheme="minorHAnsi" w:cstheme="minorHAnsi"/>
                <w:b/>
                <w:szCs w:val="20"/>
              </w:rPr>
            </w:pPr>
          </w:p>
        </w:tc>
        <w:tc>
          <w:tcPr>
            <w:tcW w:w="3118" w:type="dxa"/>
          </w:tcPr>
          <w:p w14:paraId="58BB353A" w14:textId="77777777" w:rsidR="00AD4C8C" w:rsidRPr="00E40739" w:rsidRDefault="00AD4C8C" w:rsidP="00034905">
            <w:pPr>
              <w:jc w:val="left"/>
              <w:rPr>
                <w:rFonts w:asciiTheme="minorHAnsi" w:hAnsiTheme="minorHAnsi" w:cstheme="minorHAnsi"/>
                <w:b/>
                <w:szCs w:val="20"/>
              </w:rPr>
            </w:pPr>
            <w:r w:rsidRPr="00E40739">
              <w:rPr>
                <w:rFonts w:asciiTheme="minorHAnsi" w:hAnsiTheme="minorHAnsi" w:cstheme="minorHAnsi"/>
                <w:b/>
                <w:szCs w:val="20"/>
              </w:rPr>
              <w:t>Recommendation 4</w:t>
            </w:r>
          </w:p>
          <w:p w14:paraId="20F5E889" w14:textId="77777777" w:rsidR="00AD4C8C" w:rsidRPr="00C5260A" w:rsidRDefault="00AD4C8C" w:rsidP="00034905">
            <w:pPr>
              <w:jc w:val="left"/>
              <w:rPr>
                <w:rFonts w:asciiTheme="minorHAnsi" w:hAnsiTheme="minorHAnsi" w:cstheme="minorHAnsi"/>
                <w:szCs w:val="20"/>
              </w:rPr>
            </w:pPr>
            <w:r w:rsidRPr="00E40739">
              <w:rPr>
                <w:rFonts w:asciiTheme="minorHAnsi" w:hAnsiTheme="minorHAnsi" w:cstheme="minorHAnsi"/>
                <w:bCs/>
                <w:szCs w:val="20"/>
              </w:rPr>
              <w:t>Consider training and recruitment approaches for Police Community Support Officers (PCSOs) with the aim of ensuring an ongoing recruitment programme throughout the year.</w:t>
            </w:r>
          </w:p>
        </w:tc>
        <w:tc>
          <w:tcPr>
            <w:tcW w:w="3544" w:type="dxa"/>
          </w:tcPr>
          <w:p w14:paraId="14E689EB" w14:textId="77777777" w:rsidR="00AD4C8C" w:rsidRDefault="00AD4C8C" w:rsidP="00034905">
            <w:pPr>
              <w:jc w:val="left"/>
              <w:rPr>
                <w:rFonts w:asciiTheme="minorHAnsi" w:hAnsiTheme="minorHAnsi" w:cstheme="minorHAnsi"/>
                <w:b/>
                <w:szCs w:val="20"/>
              </w:rPr>
            </w:pPr>
            <w:r w:rsidRPr="00E04CD4">
              <w:rPr>
                <w:rFonts w:asciiTheme="minorHAnsi" w:hAnsiTheme="minorHAnsi" w:cstheme="minorHAnsi"/>
                <w:b/>
                <w:szCs w:val="20"/>
              </w:rPr>
              <w:t>Complete</w:t>
            </w:r>
          </w:p>
          <w:p w14:paraId="6B45AE0C" w14:textId="77777777" w:rsidR="00AD4C8C" w:rsidRPr="00C5260A" w:rsidRDefault="00AD4C8C" w:rsidP="00034905">
            <w:pPr>
              <w:jc w:val="left"/>
              <w:rPr>
                <w:rFonts w:asciiTheme="minorHAnsi" w:hAnsiTheme="minorHAnsi" w:cstheme="minorHAnsi"/>
                <w:bCs/>
                <w:szCs w:val="20"/>
              </w:rPr>
            </w:pPr>
            <w:r w:rsidRPr="00E04CD4">
              <w:rPr>
                <w:rFonts w:asciiTheme="minorHAnsi" w:hAnsiTheme="minorHAnsi" w:cstheme="minorHAnsi"/>
                <w:bCs/>
                <w:szCs w:val="20"/>
              </w:rPr>
              <w:t>T</w:t>
            </w:r>
            <w:r>
              <w:rPr>
                <w:rFonts w:asciiTheme="minorHAnsi" w:hAnsiTheme="minorHAnsi" w:cstheme="minorHAnsi"/>
                <w:bCs/>
                <w:szCs w:val="20"/>
              </w:rPr>
              <w:t>his approach was investigated, and it was concluded as being impractical and undeliverable. As such, the Force focused on more targeted recruitment, which resulted in increased numbers.</w:t>
            </w:r>
          </w:p>
        </w:tc>
      </w:tr>
      <w:tr w:rsidR="00AD4C8C" w:rsidRPr="00C5260A" w14:paraId="1088ABF8" w14:textId="77777777" w:rsidTr="00034905">
        <w:trPr>
          <w:trHeight w:val="1981"/>
          <w:jc w:val="center"/>
        </w:trPr>
        <w:tc>
          <w:tcPr>
            <w:tcW w:w="2694" w:type="dxa"/>
          </w:tcPr>
          <w:p w14:paraId="1BABE607" w14:textId="77777777" w:rsidR="00AD4C8C" w:rsidRPr="00E40739" w:rsidRDefault="00AD4C8C" w:rsidP="00034905">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2CA46DCA" w14:textId="77777777" w:rsidR="00AD4C8C" w:rsidRPr="00C5260A" w:rsidRDefault="00AD4C8C" w:rsidP="00034905">
            <w:pPr>
              <w:jc w:val="left"/>
              <w:rPr>
                <w:rFonts w:asciiTheme="minorHAnsi" w:hAnsiTheme="minorHAnsi" w:cstheme="minorHAnsi"/>
                <w:b/>
                <w:szCs w:val="20"/>
              </w:rPr>
            </w:pPr>
          </w:p>
        </w:tc>
        <w:tc>
          <w:tcPr>
            <w:tcW w:w="3118" w:type="dxa"/>
          </w:tcPr>
          <w:p w14:paraId="3B14B0A8" w14:textId="77777777" w:rsidR="00AD4C8C" w:rsidRPr="00E40739" w:rsidRDefault="00AD4C8C" w:rsidP="00034905">
            <w:pPr>
              <w:jc w:val="left"/>
              <w:rPr>
                <w:rFonts w:asciiTheme="minorHAnsi" w:hAnsiTheme="minorHAnsi" w:cstheme="minorHAnsi"/>
                <w:b/>
                <w:bCs/>
                <w:szCs w:val="20"/>
              </w:rPr>
            </w:pPr>
            <w:r w:rsidRPr="00E40739">
              <w:rPr>
                <w:rFonts w:asciiTheme="minorHAnsi" w:hAnsiTheme="minorHAnsi" w:cstheme="minorHAnsi"/>
                <w:b/>
                <w:bCs/>
                <w:szCs w:val="20"/>
              </w:rPr>
              <w:t>Recommendation 5</w:t>
            </w:r>
          </w:p>
          <w:p w14:paraId="23C9E171" w14:textId="77777777" w:rsidR="00AD4C8C" w:rsidRPr="00C5260A" w:rsidRDefault="00AD4C8C" w:rsidP="00034905">
            <w:pPr>
              <w:jc w:val="left"/>
              <w:rPr>
                <w:rFonts w:asciiTheme="minorHAnsi" w:hAnsiTheme="minorHAnsi" w:cstheme="minorHAnsi"/>
                <w:szCs w:val="20"/>
              </w:rPr>
            </w:pPr>
            <w:r w:rsidRPr="00E40739">
              <w:rPr>
                <w:rFonts w:asciiTheme="minorHAnsi" w:hAnsiTheme="minorHAnsi" w:cstheme="minorHAnsi"/>
                <w:szCs w:val="20"/>
              </w:rPr>
              <w:t>Take forward the actions Identified from the self-assessment of the CIPFA Financial Management Code.</w:t>
            </w:r>
          </w:p>
        </w:tc>
        <w:tc>
          <w:tcPr>
            <w:tcW w:w="3544" w:type="dxa"/>
          </w:tcPr>
          <w:p w14:paraId="12DA7FAD" w14:textId="77777777" w:rsidR="00AD4C8C" w:rsidRPr="00E40739" w:rsidRDefault="00AD4C8C" w:rsidP="00034905">
            <w:pPr>
              <w:jc w:val="left"/>
              <w:rPr>
                <w:rFonts w:asciiTheme="minorHAnsi" w:hAnsiTheme="minorHAnsi" w:cstheme="minorHAnsi"/>
                <w:b/>
                <w:szCs w:val="20"/>
              </w:rPr>
            </w:pPr>
            <w:r w:rsidRPr="00E40739">
              <w:rPr>
                <w:rFonts w:asciiTheme="minorHAnsi" w:hAnsiTheme="minorHAnsi" w:cstheme="minorHAnsi"/>
                <w:b/>
                <w:szCs w:val="20"/>
              </w:rPr>
              <w:t>Ongoing</w:t>
            </w:r>
          </w:p>
          <w:p w14:paraId="6360B83B" w14:textId="77777777" w:rsidR="00AD4C8C" w:rsidRPr="00C5260A" w:rsidRDefault="00AD4C8C" w:rsidP="00034905">
            <w:pPr>
              <w:jc w:val="left"/>
              <w:rPr>
                <w:rFonts w:asciiTheme="minorHAnsi" w:hAnsiTheme="minorHAnsi" w:cstheme="minorHAnsi"/>
                <w:bCs/>
                <w:szCs w:val="20"/>
              </w:rPr>
            </w:pPr>
            <w:r w:rsidRPr="00E40739">
              <w:rPr>
                <w:rFonts w:asciiTheme="minorHAnsi" w:hAnsiTheme="minorHAnsi" w:cstheme="minorHAnsi"/>
                <w:bCs/>
                <w:szCs w:val="20"/>
              </w:rPr>
              <w:t>Some improvements and actions have been completed. Work on the remaining actions will continue.  This is carried forward to 2024/25 recommendations.</w:t>
            </w:r>
          </w:p>
        </w:tc>
      </w:tr>
    </w:tbl>
    <w:p w14:paraId="6639F839" w14:textId="77777777" w:rsidR="00AD4C8C" w:rsidRDefault="00AD4C8C" w:rsidP="00AD4C8C">
      <w:pPr>
        <w:rPr>
          <w:rFonts w:cs="Arial"/>
          <w:highlight w:val="yellow"/>
        </w:rPr>
      </w:pPr>
    </w:p>
    <w:p w14:paraId="58F48636" w14:textId="77777777" w:rsidR="00AD4C8C" w:rsidRDefault="00AD4C8C" w:rsidP="00AD4C8C">
      <w:pPr>
        <w:rPr>
          <w:rFonts w:cs="Arial"/>
          <w:highlight w:val="yellow"/>
        </w:rPr>
      </w:pPr>
    </w:p>
    <w:p w14:paraId="37CDA7D9" w14:textId="77777777" w:rsidR="00AD4C8C" w:rsidRDefault="00AD4C8C" w:rsidP="00AD4C8C">
      <w:pPr>
        <w:rPr>
          <w:rFonts w:cs="Arial"/>
          <w:highlight w:val="yellow"/>
        </w:rPr>
      </w:pPr>
    </w:p>
    <w:p w14:paraId="67AD0EB0" w14:textId="77777777" w:rsidR="00AD4C8C" w:rsidRDefault="00AD4C8C" w:rsidP="00AD4C8C">
      <w:pPr>
        <w:rPr>
          <w:rFonts w:cs="Arial"/>
          <w:highlight w:val="yellow"/>
        </w:rPr>
      </w:pPr>
    </w:p>
    <w:p w14:paraId="1EA84E28" w14:textId="77777777" w:rsidR="00AD4C8C" w:rsidRPr="00122294" w:rsidRDefault="00AD4C8C" w:rsidP="00AD4C8C">
      <w:pPr>
        <w:pStyle w:val="VAHeadingLevel2"/>
      </w:pPr>
      <w:r w:rsidRPr="007C2E28">
        <w:lastRenderedPageBreak/>
        <w:t xml:space="preserve">Recommendations </w:t>
      </w:r>
      <w:r w:rsidRPr="00122294">
        <w:t>for 202</w:t>
      </w:r>
      <w:r>
        <w:t>4</w:t>
      </w:r>
      <w:r w:rsidRPr="00122294">
        <w:t>/2</w:t>
      </w:r>
      <w:r>
        <w:t>5</w:t>
      </w:r>
    </w:p>
    <w:p w14:paraId="39CB0875" w14:textId="77777777" w:rsidR="00AD4C8C" w:rsidRPr="00B21CBA" w:rsidRDefault="00AD4C8C" w:rsidP="00AD4C8C">
      <w:pPr>
        <w:rPr>
          <w:rFonts w:cs="Arial"/>
        </w:rPr>
      </w:pPr>
      <w:r w:rsidRPr="00122294">
        <w:rPr>
          <w:rFonts w:cs="Arial"/>
        </w:rPr>
        <w:t>Following the assessment of internal controls, the following areas have been recommended to improve internal controls for 2023/24:</w:t>
      </w:r>
    </w:p>
    <w:p w14:paraId="3D10459F" w14:textId="77777777" w:rsidR="00AD4C8C" w:rsidRPr="00B21CBA" w:rsidRDefault="00AD4C8C" w:rsidP="00AD4C8C">
      <w:pPr>
        <w:rPr>
          <w:rFonts w:cs="Arial"/>
        </w:rPr>
      </w:pPr>
    </w:p>
    <w:tbl>
      <w:tblPr>
        <w:tblStyle w:val="TableGrid"/>
        <w:tblW w:w="9356" w:type="dxa"/>
        <w:tblInd w:w="-5" w:type="dxa"/>
        <w:tblLayout w:type="fixed"/>
        <w:tblLook w:val="04A0" w:firstRow="1" w:lastRow="0" w:firstColumn="1" w:lastColumn="0" w:noHBand="0" w:noVBand="1"/>
      </w:tblPr>
      <w:tblGrid>
        <w:gridCol w:w="2694"/>
        <w:gridCol w:w="6662"/>
      </w:tblGrid>
      <w:tr w:rsidR="00AD4C8C" w:rsidRPr="00C5260A" w14:paraId="5853B28B" w14:textId="77777777" w:rsidTr="00034905">
        <w:tc>
          <w:tcPr>
            <w:tcW w:w="9356" w:type="dxa"/>
            <w:gridSpan w:val="2"/>
            <w:shd w:val="clear" w:color="auto" w:fill="25316C"/>
          </w:tcPr>
          <w:p w14:paraId="344BCBCA" w14:textId="77777777" w:rsidR="00AD4C8C" w:rsidRPr="00C5260A" w:rsidRDefault="00AD4C8C" w:rsidP="00034905">
            <w:pPr>
              <w:jc w:val="center"/>
              <w:rPr>
                <w:rFonts w:asciiTheme="minorHAnsi" w:hAnsiTheme="minorHAnsi" w:cstheme="minorHAnsi"/>
                <w:b/>
                <w:color w:val="FFFFFF" w:themeColor="background1"/>
                <w:szCs w:val="22"/>
              </w:rPr>
            </w:pP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5</w:t>
            </w:r>
            <w:r w:rsidRPr="00C5260A">
              <w:rPr>
                <w:rFonts w:asciiTheme="minorHAnsi" w:hAnsiTheme="minorHAnsi" w:cstheme="minorHAnsi"/>
                <w:b/>
                <w:color w:val="FFFFFF" w:themeColor="background1"/>
                <w:szCs w:val="22"/>
              </w:rPr>
              <w:t xml:space="preserve"> Internal Control Action Plan</w:t>
            </w:r>
          </w:p>
          <w:p w14:paraId="5AD5D4DB" w14:textId="77777777" w:rsidR="00AD4C8C" w:rsidRPr="00C5260A" w:rsidRDefault="00AD4C8C" w:rsidP="00034905">
            <w:pPr>
              <w:jc w:val="center"/>
              <w:rPr>
                <w:rFonts w:asciiTheme="minorHAnsi" w:hAnsiTheme="minorHAnsi" w:cstheme="minorHAnsi"/>
                <w:b/>
                <w:color w:val="FFFFFF" w:themeColor="background1"/>
              </w:rPr>
            </w:pPr>
          </w:p>
        </w:tc>
      </w:tr>
      <w:tr w:rsidR="00AD4C8C" w:rsidRPr="00C5260A" w14:paraId="546E811C" w14:textId="77777777" w:rsidTr="00034905">
        <w:trPr>
          <w:trHeight w:val="1285"/>
        </w:trPr>
        <w:tc>
          <w:tcPr>
            <w:tcW w:w="2694" w:type="dxa"/>
          </w:tcPr>
          <w:p w14:paraId="1DF5684C" w14:textId="77777777" w:rsidR="00AD4C8C" w:rsidRPr="00C5260A" w:rsidRDefault="00AD4C8C" w:rsidP="00034905">
            <w:pPr>
              <w:pStyle w:val="ListParagraph"/>
              <w:tabs>
                <w:tab w:val="left" w:pos="2616"/>
              </w:tabs>
              <w:spacing w:line="257" w:lineRule="auto"/>
              <w:ind w:left="28"/>
              <w:jc w:val="left"/>
              <w:rPr>
                <w:rFonts w:asciiTheme="minorHAnsi" w:hAnsiTheme="minorHAnsi" w:cstheme="minorHAnsi"/>
                <w:b/>
                <w:sz w:val="20"/>
                <w:szCs w:val="20"/>
              </w:rPr>
            </w:pPr>
            <w:r w:rsidRPr="004077BF">
              <w:rPr>
                <w:b/>
                <w:bCs/>
                <w:sz w:val="20"/>
                <w:szCs w:val="20"/>
              </w:rPr>
              <w:t>Principle D:</w:t>
            </w:r>
            <w:r w:rsidRPr="004077BF">
              <w:rPr>
                <w:sz w:val="20"/>
                <w:szCs w:val="20"/>
              </w:rPr>
              <w:t xml:space="preserve"> Determining the interventions necessary to optimise the achievement of intended outcomes.</w:t>
            </w:r>
          </w:p>
        </w:tc>
        <w:tc>
          <w:tcPr>
            <w:tcW w:w="6662" w:type="dxa"/>
          </w:tcPr>
          <w:p w14:paraId="6AAEF15E" w14:textId="77777777" w:rsidR="00AD4C8C" w:rsidRPr="00C5260A" w:rsidRDefault="00AD4C8C" w:rsidP="00034905">
            <w:pPr>
              <w:jc w:val="left"/>
              <w:rPr>
                <w:rFonts w:asciiTheme="minorHAnsi" w:hAnsiTheme="minorHAnsi" w:cstheme="minorHAnsi"/>
                <w:b/>
                <w:szCs w:val="20"/>
              </w:rPr>
            </w:pPr>
            <w:r w:rsidRPr="004077BF">
              <w:rPr>
                <w:b/>
                <w:szCs w:val="20"/>
              </w:rPr>
              <w:t xml:space="preserve">Recommendation </w:t>
            </w:r>
            <w:r>
              <w:rPr>
                <w:b/>
                <w:szCs w:val="20"/>
              </w:rPr>
              <w:t>1</w:t>
            </w:r>
            <w:r w:rsidRPr="004077BF">
              <w:rPr>
                <w:b/>
                <w:szCs w:val="20"/>
              </w:rPr>
              <w:t xml:space="preserve">: </w:t>
            </w:r>
            <w:r w:rsidRPr="004077BF">
              <w:rPr>
                <w:bCs/>
                <w:szCs w:val="20"/>
              </w:rPr>
              <w:t>To undertake a review of the collaboration agreement between Police and Fire to ensure that governance arrangements are relevant and up to date.</w:t>
            </w:r>
          </w:p>
        </w:tc>
      </w:tr>
      <w:tr w:rsidR="00AD4C8C" w:rsidRPr="00C5260A" w14:paraId="63E78FB1" w14:textId="77777777" w:rsidTr="00034905">
        <w:trPr>
          <w:trHeight w:val="991"/>
        </w:trPr>
        <w:tc>
          <w:tcPr>
            <w:tcW w:w="2694" w:type="dxa"/>
          </w:tcPr>
          <w:p w14:paraId="2E5BE078" w14:textId="77777777" w:rsidR="00AD4C8C" w:rsidRPr="00C5260A" w:rsidRDefault="00AD4C8C" w:rsidP="00034905">
            <w:pPr>
              <w:pStyle w:val="ListParagraph"/>
              <w:tabs>
                <w:tab w:val="left" w:pos="2616"/>
              </w:tabs>
              <w:spacing w:line="257" w:lineRule="auto"/>
              <w:ind w:left="28"/>
              <w:jc w:val="left"/>
              <w:rPr>
                <w:rFonts w:asciiTheme="minorHAnsi" w:hAnsiTheme="minorHAnsi" w:cstheme="minorHAnsi"/>
                <w:b/>
                <w:sz w:val="20"/>
                <w:szCs w:val="20"/>
              </w:rPr>
            </w:pPr>
            <w:r w:rsidRPr="004077BF">
              <w:rPr>
                <w:rFonts w:asciiTheme="minorHAnsi" w:hAnsiTheme="minorHAnsi" w:cstheme="minorHAnsi"/>
                <w:b/>
                <w:bCs/>
                <w:sz w:val="20"/>
                <w:szCs w:val="20"/>
              </w:rPr>
              <w:t>Principle G:</w:t>
            </w:r>
            <w:r w:rsidRPr="004077BF">
              <w:rPr>
                <w:rFonts w:asciiTheme="minorHAnsi" w:hAnsiTheme="minorHAnsi" w:cstheme="minorHAnsi"/>
                <w:sz w:val="20"/>
                <w:szCs w:val="20"/>
              </w:rPr>
              <w:t xml:space="preserve"> Implementing good practices in transparency, reporting and accountability.</w:t>
            </w:r>
          </w:p>
        </w:tc>
        <w:tc>
          <w:tcPr>
            <w:tcW w:w="6662" w:type="dxa"/>
          </w:tcPr>
          <w:p w14:paraId="15BF3882" w14:textId="77777777" w:rsidR="00AD4C8C" w:rsidRPr="00C5260A" w:rsidRDefault="00AD4C8C" w:rsidP="00034905">
            <w:pPr>
              <w:jc w:val="left"/>
              <w:rPr>
                <w:rFonts w:asciiTheme="minorHAnsi" w:hAnsiTheme="minorHAnsi" w:cstheme="minorHAnsi"/>
                <w:b/>
                <w:szCs w:val="20"/>
              </w:rPr>
            </w:pPr>
            <w:r w:rsidRPr="004077BF">
              <w:rPr>
                <w:rFonts w:asciiTheme="minorHAnsi" w:hAnsiTheme="minorHAnsi" w:cstheme="minorHAnsi"/>
                <w:b/>
                <w:szCs w:val="20"/>
              </w:rPr>
              <w:t>Recommendation 2:</w:t>
            </w:r>
            <w:r w:rsidRPr="004077BF">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AD4C8C" w:rsidRPr="00C5260A" w14:paraId="2D111573" w14:textId="77777777" w:rsidTr="00034905">
        <w:trPr>
          <w:trHeight w:val="1099"/>
        </w:trPr>
        <w:tc>
          <w:tcPr>
            <w:tcW w:w="2694" w:type="dxa"/>
          </w:tcPr>
          <w:p w14:paraId="4580698B" w14:textId="77777777" w:rsidR="00AD4C8C" w:rsidRPr="00C5260A" w:rsidRDefault="00AD4C8C" w:rsidP="00034905">
            <w:pPr>
              <w:tabs>
                <w:tab w:val="left" w:pos="2616"/>
              </w:tabs>
              <w:ind w:left="28"/>
              <w:jc w:val="left"/>
              <w:rPr>
                <w:rFonts w:asciiTheme="minorHAnsi" w:hAnsiTheme="minorHAnsi" w:cstheme="minorHAnsi"/>
                <w:b/>
                <w:szCs w:val="20"/>
              </w:rPr>
            </w:pPr>
            <w:r w:rsidRPr="004077BF">
              <w:rPr>
                <w:rFonts w:asciiTheme="minorHAnsi" w:hAnsiTheme="minorHAnsi" w:cstheme="minorHAnsi"/>
                <w:b/>
                <w:szCs w:val="20"/>
              </w:rPr>
              <w:t xml:space="preserve">Principle G: </w:t>
            </w:r>
            <w:r w:rsidRPr="004077BF">
              <w:rPr>
                <w:rFonts w:asciiTheme="minorHAnsi" w:hAnsiTheme="minorHAnsi" w:cstheme="minorHAnsi"/>
                <w:bCs/>
                <w:szCs w:val="20"/>
              </w:rPr>
              <w:t>Implementing good practices in transparency, reporting and accountability</w:t>
            </w:r>
          </w:p>
        </w:tc>
        <w:tc>
          <w:tcPr>
            <w:tcW w:w="6662" w:type="dxa"/>
          </w:tcPr>
          <w:p w14:paraId="6A5DD714" w14:textId="77777777" w:rsidR="00AD4C8C" w:rsidRPr="00C5260A" w:rsidRDefault="00AD4C8C" w:rsidP="00034905">
            <w:pPr>
              <w:jc w:val="left"/>
              <w:rPr>
                <w:rFonts w:asciiTheme="minorHAnsi" w:hAnsiTheme="minorHAnsi" w:cstheme="minorHAnsi"/>
                <w:b/>
                <w:szCs w:val="20"/>
              </w:rPr>
            </w:pPr>
            <w:r w:rsidRPr="004077BF">
              <w:rPr>
                <w:rFonts w:asciiTheme="minorHAnsi" w:hAnsiTheme="minorHAnsi" w:cstheme="minorHAnsi"/>
                <w:b/>
                <w:szCs w:val="20"/>
              </w:rPr>
              <w:t xml:space="preserve">Recommendation 3: </w:t>
            </w:r>
            <w:r w:rsidRPr="004077BF">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AD4C8C" w:rsidRPr="00C5260A" w14:paraId="286E135E" w14:textId="77777777" w:rsidTr="00034905">
        <w:trPr>
          <w:trHeight w:val="1099"/>
        </w:trPr>
        <w:tc>
          <w:tcPr>
            <w:tcW w:w="2694" w:type="dxa"/>
          </w:tcPr>
          <w:p w14:paraId="0370A7EF" w14:textId="77777777" w:rsidR="00AD4C8C" w:rsidRPr="00E40739" w:rsidRDefault="00AD4C8C" w:rsidP="00034905">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13E7366C" w14:textId="77777777" w:rsidR="00AD4C8C" w:rsidRPr="00E40739" w:rsidRDefault="00AD4C8C" w:rsidP="00034905">
            <w:pPr>
              <w:tabs>
                <w:tab w:val="left" w:pos="2616"/>
              </w:tabs>
              <w:ind w:left="28"/>
              <w:jc w:val="left"/>
              <w:rPr>
                <w:rFonts w:asciiTheme="minorHAnsi" w:hAnsiTheme="minorHAnsi" w:cstheme="minorHAnsi"/>
                <w:b/>
                <w:szCs w:val="20"/>
              </w:rPr>
            </w:pPr>
          </w:p>
        </w:tc>
        <w:tc>
          <w:tcPr>
            <w:tcW w:w="6662" w:type="dxa"/>
          </w:tcPr>
          <w:p w14:paraId="281F825C" w14:textId="77777777" w:rsidR="00AD4C8C" w:rsidRPr="00E40739" w:rsidRDefault="00AD4C8C" w:rsidP="00034905">
            <w:pPr>
              <w:jc w:val="left"/>
              <w:rPr>
                <w:rFonts w:asciiTheme="minorHAnsi" w:hAnsiTheme="minorHAnsi" w:cstheme="minorHAnsi"/>
                <w:b/>
                <w:bCs/>
                <w:szCs w:val="20"/>
              </w:rPr>
            </w:pPr>
            <w:r w:rsidRPr="00E40739">
              <w:rPr>
                <w:rFonts w:asciiTheme="minorHAnsi" w:hAnsiTheme="minorHAnsi" w:cstheme="minorHAnsi"/>
                <w:b/>
                <w:bCs/>
                <w:szCs w:val="20"/>
              </w:rPr>
              <w:t xml:space="preserve">Recommendation </w:t>
            </w:r>
            <w:r>
              <w:rPr>
                <w:rFonts w:asciiTheme="minorHAnsi" w:hAnsiTheme="minorHAnsi" w:cstheme="minorHAnsi"/>
                <w:b/>
                <w:bCs/>
                <w:szCs w:val="20"/>
              </w:rPr>
              <w:t>4:</w:t>
            </w:r>
          </w:p>
          <w:p w14:paraId="5BD8D4F1" w14:textId="77777777" w:rsidR="00AD4C8C" w:rsidRPr="00E40739" w:rsidRDefault="00AD4C8C" w:rsidP="00034905">
            <w:pPr>
              <w:jc w:val="left"/>
              <w:rPr>
                <w:rFonts w:asciiTheme="minorHAnsi" w:hAnsiTheme="minorHAnsi" w:cstheme="minorHAnsi"/>
                <w:b/>
                <w:szCs w:val="20"/>
                <w:highlight w:val="yellow"/>
              </w:rPr>
            </w:pPr>
            <w:r w:rsidRPr="00E40739">
              <w:rPr>
                <w:rFonts w:asciiTheme="minorHAnsi" w:hAnsiTheme="minorHAnsi" w:cstheme="minorHAnsi"/>
                <w:szCs w:val="20"/>
              </w:rPr>
              <w:t>Take forward the actions Identified from the self-assessment of the CIPFA Financial Management Code.</w:t>
            </w:r>
          </w:p>
        </w:tc>
      </w:tr>
    </w:tbl>
    <w:p w14:paraId="21E9D39E" w14:textId="77777777" w:rsidR="00AD4C8C" w:rsidRPr="00B21CBA" w:rsidRDefault="00AD4C8C" w:rsidP="00AD4C8C">
      <w:pPr>
        <w:rPr>
          <w:rFonts w:cs="Arial"/>
          <w:b/>
          <w:u w:val="single"/>
        </w:rPr>
      </w:pPr>
    </w:p>
    <w:p w14:paraId="22681F67" w14:textId="77777777" w:rsidR="00AD4C8C" w:rsidRPr="00B21CBA" w:rsidRDefault="00AD4C8C" w:rsidP="00AD4C8C">
      <w:pPr>
        <w:pStyle w:val="VAHeadingLevel2"/>
      </w:pPr>
      <w:r w:rsidRPr="00B21CBA">
        <w:t>Conclusion</w:t>
      </w:r>
    </w:p>
    <w:p w14:paraId="0F898571" w14:textId="77777777" w:rsidR="00AD4C8C" w:rsidRPr="002D4A52" w:rsidRDefault="00AD4C8C" w:rsidP="00AD4C8C">
      <w:r w:rsidRPr="002D4A52">
        <w:t xml:space="preserve">We propose over the coming year to take steps to address the above matters to progress the actions and further enhance our governance arrangements.  </w:t>
      </w:r>
    </w:p>
    <w:p w14:paraId="29D0FD6B" w14:textId="77777777" w:rsidR="00AD4C8C" w:rsidRPr="002D4A52" w:rsidRDefault="00AD4C8C" w:rsidP="00AD4C8C">
      <w:pPr>
        <w:rPr>
          <w:rFonts w:cs="Arial"/>
        </w:rPr>
      </w:pPr>
    </w:p>
    <w:p w14:paraId="5196C2A5" w14:textId="77777777" w:rsidR="00AD4C8C" w:rsidRPr="002D4A52" w:rsidRDefault="00AD4C8C" w:rsidP="00AD4C8C">
      <w:pPr>
        <w:rPr>
          <w:rFonts w:eastAsia="Times New Roman" w:cs="Times New Roman"/>
          <w:b/>
          <w:bCs/>
          <w:smallCaps/>
          <w:color w:val="C00000"/>
          <w:sz w:val="36"/>
        </w:rPr>
        <w:sectPr w:rsidR="00AD4C8C" w:rsidRPr="002D4A52" w:rsidSect="00A3745B">
          <w:headerReference w:type="even" r:id="rId21"/>
          <w:headerReference w:type="default" r:id="rId22"/>
          <w:footerReference w:type="even" r:id="rId23"/>
          <w:headerReference w:type="first" r:id="rId24"/>
          <w:footerReference w:type="first" r:id="rId25"/>
          <w:type w:val="continuous"/>
          <w:pgSz w:w="11900" w:h="16840"/>
          <w:pgMar w:top="1418" w:right="985" w:bottom="1418" w:left="1276" w:header="709" w:footer="397" w:gutter="0"/>
          <w:cols w:space="708"/>
          <w:docGrid w:linePitch="360"/>
        </w:sectPr>
      </w:pPr>
      <w:r w:rsidRPr="002D4A52">
        <w:t>We are satisfied that these steps will address the need for improvements that were identified in our review of effectiveness and will monitor their implementation and operation during the year and as part of our next annual review.</w:t>
      </w:r>
    </w:p>
    <w:p w14:paraId="1FB60671" w14:textId="77777777" w:rsidR="00AD4C8C" w:rsidRPr="00B21CBA" w:rsidRDefault="00AD4C8C" w:rsidP="00AD4C8C">
      <w:pPr>
        <w:rPr>
          <w:rFonts w:cs="Arial"/>
        </w:rPr>
      </w:pPr>
    </w:p>
    <w:p w14:paraId="2521D001" w14:textId="77777777" w:rsidR="00AD4C8C" w:rsidRPr="00B21CBA" w:rsidRDefault="00AD4C8C" w:rsidP="00AD4C8C">
      <w:pPr>
        <w:rPr>
          <w:rFonts w:cs="Arial"/>
        </w:rPr>
        <w:sectPr w:rsidR="00AD4C8C" w:rsidRPr="00B21CBA" w:rsidSect="008C05C9">
          <w:type w:val="continuous"/>
          <w:pgSz w:w="11900" w:h="16840"/>
          <w:pgMar w:top="1418" w:right="1418" w:bottom="1418" w:left="1418" w:header="709" w:footer="0" w:gutter="0"/>
          <w:cols w:space="708"/>
          <w:docGrid w:linePitch="360"/>
        </w:sectPr>
      </w:pPr>
    </w:p>
    <w:p w14:paraId="1D357D9F" w14:textId="77777777" w:rsidR="00AD4C8C" w:rsidRPr="00B21CBA" w:rsidRDefault="00AD4C8C" w:rsidP="00AD4C8C">
      <w:pPr>
        <w:pStyle w:val="Normal0"/>
        <w:rPr>
          <w:lang w:val="en-GB"/>
        </w:rPr>
      </w:pPr>
      <w:r w:rsidRPr="00B21CBA">
        <w:rPr>
          <w:noProof/>
          <w:lang w:val="en-GB" w:eastAsia="en-GB"/>
        </w:rPr>
        <mc:AlternateContent>
          <mc:Choice Requires="wps">
            <w:drawing>
              <wp:anchor distT="0" distB="0" distL="114300" distR="114300" simplePos="0" relativeHeight="251693065" behindDoc="0" locked="0" layoutInCell="1" allowOverlap="1" wp14:anchorId="00A17284" wp14:editId="12D082F2">
                <wp:simplePos x="0" y="0"/>
                <wp:positionH relativeFrom="column">
                  <wp:posOffset>1270</wp:posOffset>
                </wp:positionH>
                <wp:positionV relativeFrom="paragraph">
                  <wp:posOffset>44450</wp:posOffset>
                </wp:positionV>
                <wp:extent cx="5659200" cy="0"/>
                <wp:effectExtent l="0" t="0" r="3683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AF2CD" id="Straight Connector 2" o:spid="_x0000_s1026" alt="&quot;&quot;" style="position:absolute;flip:y;z-index:251693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01A34489" w14:textId="77777777" w:rsidR="00A62C11" w:rsidRPr="00AB43DB" w:rsidRDefault="00A62C11" w:rsidP="00A62C11">
      <w:pPr>
        <w:tabs>
          <w:tab w:val="left" w:pos="4253"/>
        </w:tabs>
      </w:pPr>
      <w:r>
        <w:t>Signed:</w:t>
      </w:r>
    </w:p>
    <w:p w14:paraId="6F88DBD6" w14:textId="05745168" w:rsidR="00A62C11" w:rsidRDefault="00A62C11" w:rsidP="00A62C11">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7066970D" w14:textId="77777777" w:rsidR="00A62C11" w:rsidRDefault="00A62C11" w:rsidP="00A62C11">
      <w:pPr>
        <w:pStyle w:val="Normal0"/>
        <w:rPr>
          <w:rFonts w:ascii="Verdana" w:hAnsi="Verdana"/>
          <w:sz w:val="22"/>
          <w:szCs w:val="22"/>
          <w:lang w:val="en-AU"/>
        </w:rPr>
      </w:pPr>
    </w:p>
    <w:p w14:paraId="2ABDD246" w14:textId="77777777" w:rsidR="00A62C11" w:rsidRPr="000B79EC" w:rsidRDefault="00A62C11" w:rsidP="00A62C11">
      <w:pPr>
        <w:tabs>
          <w:tab w:val="left" w:pos="4253"/>
        </w:tabs>
        <w:rPr>
          <w:b/>
          <w:bCs/>
        </w:rPr>
      </w:pPr>
      <w:r w:rsidRPr="000B79EC">
        <w:rPr>
          <w:b/>
          <w:bCs/>
        </w:rPr>
        <w:t>Nick Alexander</w:t>
      </w:r>
      <w:r w:rsidRPr="000B79EC">
        <w:rPr>
          <w:b/>
          <w:bCs/>
        </w:rPr>
        <w:tab/>
        <w:t xml:space="preserve">Ivan Balhatchet </w:t>
      </w:r>
    </w:p>
    <w:p w14:paraId="4F388758" w14:textId="77777777" w:rsidR="00A62C11" w:rsidRPr="000B79EC" w:rsidRDefault="00A62C11" w:rsidP="00A62C11">
      <w:pPr>
        <w:tabs>
          <w:tab w:val="left" w:pos="4253"/>
        </w:tabs>
        <w:rPr>
          <w:b/>
          <w:bCs/>
        </w:rPr>
      </w:pPr>
      <w:r w:rsidRPr="000B79EC">
        <w:rPr>
          <w:b/>
          <w:bCs/>
          <w:lang w:eastAsia="en-GB"/>
        </w:rPr>
        <w:t>Chief Finance Officer (s151)</w:t>
      </w:r>
      <w:r w:rsidRPr="000B79EC">
        <w:rPr>
          <w:b/>
          <w:bCs/>
          <w:lang w:eastAsia="en-GB"/>
        </w:rPr>
        <w:tab/>
      </w:r>
      <w:r w:rsidRPr="000B79EC">
        <w:rPr>
          <w:b/>
          <w:bCs/>
        </w:rPr>
        <w:t>Northamptonshire Chief Constable</w:t>
      </w:r>
    </w:p>
    <w:p w14:paraId="46AD127C" w14:textId="77777777" w:rsidR="00A62C11" w:rsidRDefault="00A62C11" w:rsidP="00A62C11">
      <w:pPr>
        <w:tabs>
          <w:tab w:val="left" w:pos="4253"/>
        </w:tabs>
      </w:pPr>
    </w:p>
    <w:p w14:paraId="78AAFEE1" w14:textId="77777777" w:rsidR="00A62C11" w:rsidRPr="00837A71" w:rsidRDefault="00A62C11" w:rsidP="00A62C11">
      <w:pPr>
        <w:tabs>
          <w:tab w:val="left" w:pos="4253"/>
        </w:tabs>
        <w:sectPr w:rsidR="00A62C11" w:rsidRPr="00837A71" w:rsidSect="00A62C11">
          <w:type w:val="continuous"/>
          <w:pgSz w:w="11900" w:h="16840"/>
          <w:pgMar w:top="1418" w:right="1418" w:bottom="1418" w:left="1134" w:header="709" w:footer="0" w:gutter="0"/>
          <w:cols w:space="708"/>
          <w:docGrid w:linePitch="360"/>
        </w:sectPr>
      </w:pPr>
      <w:r w:rsidRPr="00837A71">
        <w:t>Date:</w:t>
      </w:r>
      <w:r>
        <w:t xml:space="preserve"> 27</w:t>
      </w:r>
      <w:r w:rsidRPr="0043123C">
        <w:rPr>
          <w:vertAlign w:val="superscript"/>
        </w:rPr>
        <w:t>th</w:t>
      </w:r>
      <w:r>
        <w:t xml:space="preserve"> February 2025</w:t>
      </w:r>
      <w:r w:rsidRPr="00837A71">
        <w:tab/>
        <w:t>Date:</w:t>
      </w:r>
      <w:r>
        <w:t xml:space="preserve">  27</w:t>
      </w:r>
      <w:r w:rsidRPr="0043123C">
        <w:rPr>
          <w:vertAlign w:val="superscript"/>
        </w:rPr>
        <w:t>th</w:t>
      </w:r>
      <w:r>
        <w:t xml:space="preserve"> February 2025</w:t>
      </w:r>
    </w:p>
    <w:p w14:paraId="6F32883D" w14:textId="77777777" w:rsidR="00AD4C8C" w:rsidRPr="00B21CBA" w:rsidRDefault="00AD4C8C" w:rsidP="00AD4C8C">
      <w:pPr>
        <w:tabs>
          <w:tab w:val="left" w:pos="4253"/>
        </w:tabs>
        <w:sectPr w:rsidR="00AD4C8C" w:rsidRPr="00B21CBA" w:rsidSect="008C05C9">
          <w:type w:val="continuous"/>
          <w:pgSz w:w="11900" w:h="16840"/>
          <w:pgMar w:top="1418" w:right="1418" w:bottom="1418" w:left="1418" w:header="709" w:footer="0" w:gutter="0"/>
          <w:cols w:space="708"/>
          <w:docGrid w:linePitch="360"/>
        </w:sectPr>
      </w:pPr>
      <w:r w:rsidRPr="00B21CBA">
        <w:rPr>
          <w:noProof/>
          <w:lang w:eastAsia="en-GB"/>
        </w:rPr>
        <mc:AlternateContent>
          <mc:Choice Requires="wps">
            <w:drawing>
              <wp:anchor distT="0" distB="0" distL="114300" distR="114300" simplePos="0" relativeHeight="251692041" behindDoc="0" locked="0" layoutInCell="1" allowOverlap="1" wp14:anchorId="06D0765C" wp14:editId="74B295D3">
                <wp:simplePos x="0" y="0"/>
                <wp:positionH relativeFrom="margin">
                  <wp:align>left</wp:align>
                </wp:positionH>
                <wp:positionV relativeFrom="paragraph">
                  <wp:posOffset>14533</wp:posOffset>
                </wp:positionV>
                <wp:extent cx="565920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A1155" id="Straight Connector 28" o:spid="_x0000_s1026" alt="&quot;&quot;" style="position:absolute;flip:y;z-index:2516920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" strokecolor="black [3200]" strokeweight=".5pt">
                <v:stroke joinstyle="miter"/>
                <w10:wrap anchorx="margin"/>
              </v:line>
            </w:pict>
          </mc:Fallback>
        </mc:AlternateContent>
      </w:r>
    </w:p>
    <w:p w14:paraId="17A3AAF8" w14:textId="5C24F07C" w:rsidR="00AD4C8C" w:rsidRPr="007970EB" w:rsidRDefault="007970EB" w:rsidP="007970EB">
      <w:pPr>
        <w:spacing w:line="240" w:lineRule="auto"/>
        <w:jc w:val="left"/>
        <w:rPr>
          <w:rFonts w:asciiTheme="minorHAnsi" w:eastAsia="Times New Roman" w:hAnsiTheme="minorHAnsi" w:cs="Times New Roman"/>
          <w:b/>
          <w:bCs/>
          <w:smallCaps/>
          <w:color w:val="25316C"/>
          <w:sz w:val="36"/>
        </w:rPr>
      </w:pPr>
      <w:r>
        <w:lastRenderedPageBreak/>
        <w:br w:type="page"/>
      </w:r>
    </w:p>
    <w:p w14:paraId="11434868" w14:textId="3FF2AFA9" w:rsidR="00DA4B61" w:rsidRDefault="00401EAF" w:rsidP="00C83206">
      <w:pPr>
        <w:pStyle w:val="ChapterHeading"/>
        <w:rPr>
          <w:noProof/>
        </w:rPr>
      </w:pPr>
      <w:bookmarkStart w:id="288" w:name="_Toc191281432"/>
      <w:r w:rsidRPr="0027013B">
        <w:lastRenderedPageBreak/>
        <w:t>Annual Governance Statement (Collaboration)</w:t>
      </w:r>
      <w:bookmarkEnd w:id="288"/>
    </w:p>
    <w:p w14:paraId="4457C95F" w14:textId="0187F486" w:rsidR="00DA4B61" w:rsidRDefault="00C83206" w:rsidP="00401EAF">
      <w:pPr>
        <w:rPr>
          <w:noProof/>
        </w:rPr>
      </w:pPr>
      <w:r w:rsidRPr="00C83206">
        <w:rPr>
          <w:noProof/>
        </w:rPr>
        <w:drawing>
          <wp:inline distT="0" distB="0" distL="0" distR="0" wp14:anchorId="57BC6616" wp14:editId="71A9769A">
            <wp:extent cx="5715000" cy="8059616"/>
            <wp:effectExtent l="0" t="0" r="0" b="0"/>
            <wp:docPr id="21543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32806" name=""/>
                    <pic:cNvPicPr/>
                  </pic:nvPicPr>
                  <pic:blipFill>
                    <a:blip r:embed="rId26"/>
                    <a:stretch>
                      <a:fillRect/>
                    </a:stretch>
                  </pic:blipFill>
                  <pic:spPr>
                    <a:xfrm>
                      <a:off x="0" y="0"/>
                      <a:ext cx="5721572" cy="8068884"/>
                    </a:xfrm>
                    <a:prstGeom prst="rect">
                      <a:avLst/>
                    </a:prstGeom>
                  </pic:spPr>
                </pic:pic>
              </a:graphicData>
            </a:graphic>
          </wp:inline>
        </w:drawing>
      </w:r>
    </w:p>
    <w:p w14:paraId="10CA57C7" w14:textId="77777777" w:rsidR="00DA4B61" w:rsidRDefault="00DA4B61" w:rsidP="00401EAF">
      <w:pPr>
        <w:rPr>
          <w:noProof/>
        </w:rPr>
      </w:pPr>
    </w:p>
    <w:p w14:paraId="1EE6F401" w14:textId="5CEE95E1" w:rsidR="002522D4" w:rsidRPr="00F97B7D" w:rsidRDefault="002522D4" w:rsidP="00DD1BD6">
      <w:pPr>
        <w:pStyle w:val="ChapterHeading"/>
      </w:pPr>
      <w:bookmarkStart w:id="289" w:name="_Toc191281433"/>
      <w:r w:rsidRPr="00F97B7D">
        <w:lastRenderedPageBreak/>
        <w:t>Glossary of Terms</w:t>
      </w:r>
      <w:bookmarkEnd w:id="270"/>
      <w:bookmarkEnd w:id="289"/>
      <w:r w:rsidRPr="00F97B7D">
        <w:t xml:space="preserve"> </w:t>
      </w:r>
    </w:p>
    <w:p w14:paraId="1D2B8E7A" w14:textId="77777777" w:rsidR="002522D4" w:rsidRPr="002351FB" w:rsidRDefault="002522D4" w:rsidP="00C75713"/>
    <w:bookmarkEnd w:id="0"/>
    <w:bookmarkEnd w:id="1"/>
    <w:bookmarkEnd w:id="2"/>
    <w:bookmarkEnd w:id="258"/>
    <w:p w14:paraId="2B059612" w14:textId="77777777" w:rsidR="002351FB" w:rsidRPr="00841B80" w:rsidRDefault="002351FB" w:rsidP="002351FB">
      <w:pPr>
        <w:pStyle w:val="VAHeadingLevel2"/>
      </w:pPr>
      <w:r w:rsidRPr="002351FB">
        <w:t>Accounting Period</w:t>
      </w:r>
    </w:p>
    <w:p w14:paraId="105AE96A" w14:textId="77777777" w:rsidR="002351FB" w:rsidRPr="00841B80" w:rsidRDefault="002351FB" w:rsidP="002351FB">
      <w:r w:rsidRPr="00841B80">
        <w:t>The period of time covered by the Accounts, normally a period of twelve months commencing on 1 April.</w:t>
      </w:r>
    </w:p>
    <w:p w14:paraId="0AB935D1" w14:textId="77777777" w:rsidR="002351FB" w:rsidRPr="00841B80" w:rsidRDefault="002351FB" w:rsidP="002351FB"/>
    <w:p w14:paraId="7E525024" w14:textId="77777777" w:rsidR="002351FB" w:rsidRPr="00841B80" w:rsidRDefault="002351FB" w:rsidP="002351FB">
      <w:pPr>
        <w:pStyle w:val="VAHeadingLevel2"/>
      </w:pPr>
      <w:r w:rsidRPr="00841B80">
        <w:t>Accrual</w:t>
      </w:r>
    </w:p>
    <w:p w14:paraId="36D95E47" w14:textId="77777777" w:rsidR="002351FB" w:rsidRPr="00841B80" w:rsidRDefault="002351FB" w:rsidP="002351FB">
      <w:r w:rsidRPr="00841B80">
        <w:t>The recognition, in the correct accounting period, of income and expenditure as it is earned and incurred, rather than as cash is received or paid.</w:t>
      </w:r>
    </w:p>
    <w:p w14:paraId="4C02A488" w14:textId="77777777" w:rsidR="002351FB" w:rsidRPr="00841B80" w:rsidRDefault="002351FB" w:rsidP="002351FB">
      <w:pPr>
        <w:rPr>
          <w:bCs/>
        </w:rPr>
      </w:pPr>
    </w:p>
    <w:p w14:paraId="1C6ECDF9" w14:textId="77777777" w:rsidR="002351FB" w:rsidRPr="00841B80" w:rsidRDefault="002351FB" w:rsidP="002351FB">
      <w:pPr>
        <w:pStyle w:val="VAHeadingLevel2"/>
      </w:pPr>
      <w:r w:rsidRPr="00841B80">
        <w:t>Agency Arrangements</w:t>
      </w:r>
    </w:p>
    <w:p w14:paraId="61E097C1" w14:textId="77777777" w:rsidR="002351FB" w:rsidRPr="00841B80" w:rsidRDefault="002351FB" w:rsidP="002351FB">
      <w:pPr>
        <w:rPr>
          <w:bCs/>
        </w:rPr>
      </w:pPr>
      <w:r w:rsidRPr="00841B80">
        <w:rPr>
          <w:bCs/>
        </w:rPr>
        <w:t>Services which are performed by, or for, another OPFCC or public body where the agent is reimbursed for the cost of work done.</w:t>
      </w:r>
    </w:p>
    <w:p w14:paraId="002AC034" w14:textId="77777777" w:rsidR="002351FB" w:rsidRPr="00841B80" w:rsidRDefault="002351FB" w:rsidP="002351FB">
      <w:pPr>
        <w:rPr>
          <w:bCs/>
        </w:rPr>
      </w:pPr>
    </w:p>
    <w:p w14:paraId="031C2C63" w14:textId="77777777" w:rsidR="002351FB" w:rsidRPr="00560F43" w:rsidRDefault="002351FB" w:rsidP="002351FB">
      <w:pPr>
        <w:pStyle w:val="VAHeadingLevel2"/>
      </w:pPr>
      <w:r w:rsidRPr="00560F43">
        <w:t>Budget</w:t>
      </w:r>
    </w:p>
    <w:p w14:paraId="6ADF8CDC" w14:textId="77777777" w:rsidR="002351FB" w:rsidRPr="00560F43" w:rsidRDefault="002351FB" w:rsidP="002351FB">
      <w:pPr>
        <w:rPr>
          <w:bCs/>
        </w:rPr>
      </w:pPr>
      <w:r w:rsidRPr="00560F43">
        <w:rPr>
          <w:bCs/>
        </w:rPr>
        <w:t>A statement of the OPFCC’s plans in financial terms.  A budget is prepared and approved by the PFCC before the start of each financial year and is used to monitor actual expenditure throughout the year.</w:t>
      </w:r>
    </w:p>
    <w:p w14:paraId="1D2BB34C" w14:textId="77777777" w:rsidR="002351FB" w:rsidRPr="00560F43" w:rsidRDefault="002351FB" w:rsidP="002351FB">
      <w:pPr>
        <w:rPr>
          <w:bCs/>
        </w:rPr>
      </w:pPr>
    </w:p>
    <w:p w14:paraId="308A2714" w14:textId="77777777" w:rsidR="002351FB" w:rsidRPr="00560F43" w:rsidRDefault="002351FB" w:rsidP="002351FB">
      <w:pPr>
        <w:pStyle w:val="VAHeadingLevel2"/>
      </w:pPr>
      <w:r w:rsidRPr="00560F43">
        <w:t xml:space="preserve">Capital Expenditure </w:t>
      </w:r>
    </w:p>
    <w:p w14:paraId="3F09F425" w14:textId="77777777" w:rsidR="002351FB" w:rsidRPr="00560F43" w:rsidRDefault="002351FB" w:rsidP="002351FB">
      <w:pPr>
        <w:rPr>
          <w:bCs/>
        </w:rPr>
      </w:pPr>
      <w:r w:rsidRPr="00560F43">
        <w:rPr>
          <w:bCs/>
        </w:rPr>
        <w:t>Expenditure on the acquisition of a fixed asset or expenditure which adds value to the life or value of an existing fixed asset.</w:t>
      </w:r>
    </w:p>
    <w:p w14:paraId="7BE80D06" w14:textId="77777777" w:rsidR="002351FB" w:rsidRPr="00560F43" w:rsidRDefault="002351FB" w:rsidP="002351FB">
      <w:pPr>
        <w:rPr>
          <w:bCs/>
        </w:rPr>
      </w:pPr>
    </w:p>
    <w:p w14:paraId="10489A5D" w14:textId="77777777" w:rsidR="002351FB" w:rsidRPr="00560F43" w:rsidRDefault="002351FB" w:rsidP="002351FB">
      <w:pPr>
        <w:pStyle w:val="VAHeadingLevel2"/>
      </w:pPr>
      <w:r w:rsidRPr="00560F43">
        <w:t>Capital Financing Requirement</w:t>
      </w:r>
    </w:p>
    <w:p w14:paraId="4C56ACF0" w14:textId="1F2A77F4" w:rsidR="002351FB" w:rsidRPr="00560F43" w:rsidRDefault="002351FB" w:rsidP="002351FB">
      <w:r w:rsidRPr="00560F43">
        <w:t xml:space="preserve">The Capital Financing Requirement represents capital expenditure financed by external debt and not by capital receipts, revenue contributions, capital grants or </w:t>
      </w:r>
      <w:r w:rsidR="00A41F75" w:rsidRPr="00560F43">
        <w:t>third-party</w:t>
      </w:r>
      <w:r w:rsidRPr="00560F43">
        <w:t xml:space="preserve"> contributions at the time of spending.  It measures the OPFCC’s underlying need to borrow for a capital purpose.</w:t>
      </w:r>
    </w:p>
    <w:p w14:paraId="34355425" w14:textId="77777777" w:rsidR="002351FB" w:rsidRPr="00560F43" w:rsidRDefault="002351FB" w:rsidP="002351FB"/>
    <w:p w14:paraId="7CE9EAED" w14:textId="77777777" w:rsidR="002351FB" w:rsidRPr="00560F43" w:rsidRDefault="002351FB" w:rsidP="002351FB">
      <w:pPr>
        <w:pStyle w:val="VAHeadingLevel2"/>
      </w:pPr>
      <w:r w:rsidRPr="00560F43">
        <w:t>Capital Receipts</w:t>
      </w:r>
    </w:p>
    <w:p w14:paraId="34E67DFC" w14:textId="77777777" w:rsidR="002351FB" w:rsidRPr="00560F43" w:rsidRDefault="002351FB" w:rsidP="002351FB">
      <w:r w:rsidRPr="00560F43">
        <w:rPr>
          <w:bCs/>
        </w:rPr>
        <w:t>These are proceeds from the sale of capital assets.</w:t>
      </w:r>
    </w:p>
    <w:p w14:paraId="097BF801" w14:textId="77777777" w:rsidR="002351FB" w:rsidRPr="00560F43" w:rsidRDefault="002351FB" w:rsidP="002351FB">
      <w:pPr>
        <w:rPr>
          <w:bCs/>
        </w:rPr>
      </w:pPr>
    </w:p>
    <w:p w14:paraId="73E5EE77" w14:textId="77777777" w:rsidR="002351FB" w:rsidRPr="00560F43" w:rsidRDefault="002351FB" w:rsidP="002351FB">
      <w:pPr>
        <w:pStyle w:val="VAHeadingLevel2"/>
      </w:pPr>
      <w:r w:rsidRPr="00560F43">
        <w:t>CIPFA</w:t>
      </w:r>
    </w:p>
    <w:p w14:paraId="56FA3C99" w14:textId="77777777" w:rsidR="002351FB" w:rsidRPr="00560F43" w:rsidRDefault="002351FB" w:rsidP="002351FB">
      <w:r w:rsidRPr="00560F43">
        <w:t>The Chartered Institute of Public Finance and Accountancy.  This is the main professional body for accountants working in the public services.</w:t>
      </w:r>
    </w:p>
    <w:p w14:paraId="58F38CAD" w14:textId="77777777" w:rsidR="002351FB" w:rsidRPr="00560F43" w:rsidRDefault="002351FB" w:rsidP="002351FB"/>
    <w:p w14:paraId="1268B38C" w14:textId="77777777" w:rsidR="002351FB" w:rsidRPr="00560F43" w:rsidRDefault="002351FB" w:rsidP="002351FB">
      <w:pPr>
        <w:pStyle w:val="VAHeadingLevel2"/>
      </w:pPr>
      <w:r w:rsidRPr="00560F43">
        <w:t>Contingent Liabilities</w:t>
      </w:r>
    </w:p>
    <w:p w14:paraId="55BCCE83" w14:textId="77777777" w:rsidR="002351FB" w:rsidRPr="00560F43" w:rsidRDefault="002351FB" w:rsidP="002351FB">
      <w:r w:rsidRPr="00560F43">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474B4A76" w14:textId="77777777" w:rsidR="002351FB" w:rsidRPr="00560F43" w:rsidRDefault="002351FB" w:rsidP="002351FB"/>
    <w:p w14:paraId="2E7466A9" w14:textId="77777777" w:rsidR="002351FB" w:rsidRPr="00560F43" w:rsidRDefault="002351FB" w:rsidP="002351FB">
      <w:pPr>
        <w:pStyle w:val="VAHeadingLevel2"/>
      </w:pPr>
      <w:r w:rsidRPr="00560F43">
        <w:t>Corporate Democratic Core</w:t>
      </w:r>
    </w:p>
    <w:p w14:paraId="42933A69" w14:textId="5259EEB9" w:rsidR="002351FB" w:rsidRPr="00560F43" w:rsidRDefault="002351FB" w:rsidP="002351FB">
      <w:pPr>
        <w:rPr>
          <w:bCs/>
        </w:rPr>
      </w:pPr>
      <w:r w:rsidRPr="00560F43">
        <w:rPr>
          <w:bCs/>
        </w:rPr>
        <w:t>This includes the cost of the corporate infrastructure (</w:t>
      </w:r>
      <w:r w:rsidR="00A41F75" w:rsidRPr="00560F43">
        <w:rPr>
          <w:bCs/>
        </w:rPr>
        <w:t>e.g.,</w:t>
      </w:r>
      <w:r w:rsidRPr="00560F43">
        <w:rPr>
          <w:bCs/>
        </w:rPr>
        <w:t xml:space="preserve"> the Chief Executive and Treasury Offices, and external audit fees), and the cost of democratic representation.</w:t>
      </w:r>
    </w:p>
    <w:p w14:paraId="25349FE5" w14:textId="77777777" w:rsidR="002351FB" w:rsidRPr="00560F43" w:rsidRDefault="002351FB" w:rsidP="002351FB">
      <w:pPr>
        <w:rPr>
          <w:bCs/>
        </w:rPr>
      </w:pPr>
    </w:p>
    <w:p w14:paraId="6EE6CE2F" w14:textId="77777777" w:rsidR="002351FB" w:rsidRPr="00560F43" w:rsidRDefault="002351FB" w:rsidP="002351FB">
      <w:pPr>
        <w:pStyle w:val="VAHeadingLevel2"/>
      </w:pPr>
      <w:r w:rsidRPr="00560F43">
        <w:t>Council Tax</w:t>
      </w:r>
    </w:p>
    <w:p w14:paraId="2780D18B" w14:textId="77777777" w:rsidR="002351FB" w:rsidRPr="00560F43" w:rsidRDefault="002351FB" w:rsidP="002351FB">
      <w:pPr>
        <w:rPr>
          <w:bCs/>
        </w:rPr>
      </w:pPr>
      <w:r w:rsidRPr="00560F43">
        <w:rPr>
          <w:bCs/>
        </w:rPr>
        <w:t>The local tax levied on householders, based on the relative market values of property, which helps to fund local services.</w:t>
      </w:r>
    </w:p>
    <w:p w14:paraId="13F38DB4" w14:textId="77777777" w:rsidR="002351FB" w:rsidRPr="00560F43" w:rsidRDefault="002351FB" w:rsidP="002351FB"/>
    <w:p w14:paraId="018FDB75" w14:textId="77777777" w:rsidR="002351FB" w:rsidRPr="00560F43" w:rsidRDefault="002351FB" w:rsidP="002351FB"/>
    <w:p w14:paraId="06E2B94D" w14:textId="77777777" w:rsidR="002351FB" w:rsidRPr="00560F43" w:rsidRDefault="002351FB" w:rsidP="002351FB">
      <w:pPr>
        <w:pStyle w:val="VAHeadingLevel2"/>
      </w:pPr>
      <w:r w:rsidRPr="00560F43">
        <w:lastRenderedPageBreak/>
        <w:t xml:space="preserve">Creditors </w:t>
      </w:r>
    </w:p>
    <w:p w14:paraId="42EB6F61" w14:textId="77777777" w:rsidR="002351FB" w:rsidRPr="00560F43" w:rsidRDefault="002351FB" w:rsidP="002351FB">
      <w:pPr>
        <w:rPr>
          <w:bCs/>
        </w:rPr>
      </w:pPr>
      <w:r w:rsidRPr="00560F43">
        <w:rPr>
          <w:bCs/>
        </w:rPr>
        <w:t>Individuals or organisations to whom the OPFCC owes money.</w:t>
      </w:r>
    </w:p>
    <w:p w14:paraId="5D1CA840" w14:textId="77777777" w:rsidR="002351FB" w:rsidRPr="00560F43" w:rsidRDefault="002351FB" w:rsidP="002351FB">
      <w:pPr>
        <w:rPr>
          <w:bCs/>
        </w:rPr>
      </w:pPr>
    </w:p>
    <w:p w14:paraId="2F6F96D6" w14:textId="77777777" w:rsidR="002351FB" w:rsidRPr="00560F43" w:rsidRDefault="002351FB" w:rsidP="002351FB">
      <w:pPr>
        <w:pStyle w:val="VAHeadingLevel2"/>
      </w:pPr>
      <w:r w:rsidRPr="00560F43">
        <w:t xml:space="preserve">Current Assets and Liabilities </w:t>
      </w:r>
    </w:p>
    <w:p w14:paraId="66FA65AF" w14:textId="77777777" w:rsidR="002351FB" w:rsidRPr="00560F43" w:rsidRDefault="002351FB" w:rsidP="002351FB">
      <w:pPr>
        <w:rPr>
          <w:bCs/>
        </w:rPr>
      </w:pPr>
      <w:r w:rsidRPr="00560F43">
        <w:rPr>
          <w:bCs/>
        </w:rPr>
        <w:t>Current assets are items that can be readily converted into cash.  Current liabilities are items that are due immediately or in the short-term.</w:t>
      </w:r>
    </w:p>
    <w:p w14:paraId="2F1BD187" w14:textId="77777777" w:rsidR="002351FB" w:rsidRPr="00560F43" w:rsidRDefault="002351FB" w:rsidP="002351FB">
      <w:pPr>
        <w:rPr>
          <w:bCs/>
        </w:rPr>
      </w:pPr>
    </w:p>
    <w:p w14:paraId="5941F18C" w14:textId="77777777" w:rsidR="002351FB" w:rsidRPr="00560F43" w:rsidRDefault="002351FB" w:rsidP="002351FB">
      <w:pPr>
        <w:pStyle w:val="VAHeadingLevel2"/>
      </w:pPr>
      <w:r w:rsidRPr="00560F43">
        <w:t>Debtors</w:t>
      </w:r>
    </w:p>
    <w:p w14:paraId="51DC68F7" w14:textId="77777777" w:rsidR="002351FB" w:rsidRPr="00560F43" w:rsidRDefault="002351FB" w:rsidP="002351FB">
      <w:pPr>
        <w:rPr>
          <w:bCs/>
        </w:rPr>
      </w:pPr>
      <w:r w:rsidRPr="00560F43">
        <w:rPr>
          <w:bCs/>
        </w:rPr>
        <w:t>Individuals or organisations who owe the OPFCC money.</w:t>
      </w:r>
    </w:p>
    <w:p w14:paraId="0FB3B528" w14:textId="77777777" w:rsidR="002351FB" w:rsidRPr="00560F43" w:rsidRDefault="002351FB" w:rsidP="002351FB">
      <w:pPr>
        <w:rPr>
          <w:bCs/>
        </w:rPr>
      </w:pPr>
    </w:p>
    <w:p w14:paraId="7C3988CF" w14:textId="77777777" w:rsidR="002351FB" w:rsidRPr="00560F43" w:rsidRDefault="002351FB" w:rsidP="002351FB">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Liabilities</w:t>
      </w:r>
    </w:p>
    <w:p w14:paraId="46425FC4" w14:textId="77777777" w:rsidR="002351FB" w:rsidRPr="00560F43" w:rsidRDefault="002351FB" w:rsidP="002351FB">
      <w:r w:rsidRPr="00560F43">
        <w:t>Liabilities which by arrangement are payable beyond the next year at some point in the future or paid off by an annual sum over a period of time.</w:t>
      </w:r>
    </w:p>
    <w:p w14:paraId="7B60B1B3" w14:textId="77777777" w:rsidR="002351FB" w:rsidRPr="00560F43" w:rsidRDefault="002351FB" w:rsidP="002351FB"/>
    <w:p w14:paraId="478E1584" w14:textId="77777777" w:rsidR="002351FB" w:rsidRPr="00560F43" w:rsidRDefault="002351FB" w:rsidP="002351FB">
      <w:pPr>
        <w:pStyle w:val="VAHeadingLevel2"/>
        <w:rPr>
          <w:rFonts w:eastAsiaTheme="minorHAnsi"/>
        </w:rPr>
      </w:pPr>
      <w:r w:rsidRPr="00560F43">
        <w:rPr>
          <w:rFonts w:eastAsiaTheme="minorHAnsi"/>
        </w:rPr>
        <w:t>Earmarked Reserves</w:t>
      </w:r>
    </w:p>
    <w:p w14:paraId="30DC3B9A" w14:textId="77777777" w:rsidR="002351FB" w:rsidRPr="00560F43" w:rsidRDefault="002351FB" w:rsidP="002351FB">
      <w:r w:rsidRPr="00560F43">
        <w:t>Monies set aside that are intended to be used for a specific revenue or capital purpose.</w:t>
      </w:r>
    </w:p>
    <w:p w14:paraId="0BE743D6" w14:textId="77777777" w:rsidR="002351FB" w:rsidRPr="00560F43" w:rsidRDefault="002351FB" w:rsidP="002351FB"/>
    <w:p w14:paraId="422227C2" w14:textId="77777777" w:rsidR="002351FB" w:rsidRPr="00560F43" w:rsidRDefault="002351FB" w:rsidP="002351FB">
      <w:pPr>
        <w:pStyle w:val="VAHeadingLevel2"/>
      </w:pPr>
      <w:r w:rsidRPr="00560F43">
        <w:t>Employee Costs</w:t>
      </w:r>
    </w:p>
    <w:p w14:paraId="335C0E1A" w14:textId="77777777" w:rsidR="002351FB" w:rsidRPr="00560F43" w:rsidRDefault="002351FB" w:rsidP="002351FB">
      <w:r w:rsidRPr="00560F43">
        <w:t>The salaries and wages of employees together with national insurance, superannuation and all other pay-related allowances.  Training expenses and professional fees are also included.</w:t>
      </w:r>
    </w:p>
    <w:p w14:paraId="6D95C001" w14:textId="77777777" w:rsidR="002351FB" w:rsidRPr="00560F43" w:rsidRDefault="002351FB" w:rsidP="002351FB"/>
    <w:p w14:paraId="24F3C7EC" w14:textId="77777777" w:rsidR="002351FB" w:rsidRPr="00560F43" w:rsidRDefault="002351FB" w:rsidP="002351FB">
      <w:pPr>
        <w:pStyle w:val="VAHeadingLevel2"/>
      </w:pPr>
      <w:r w:rsidRPr="00560F43">
        <w:t>Finance Lease</w:t>
      </w:r>
    </w:p>
    <w:p w14:paraId="37496F65" w14:textId="77777777" w:rsidR="002351FB" w:rsidRPr="00560F43" w:rsidRDefault="002351FB" w:rsidP="002351FB">
      <w:r w:rsidRPr="00560F43">
        <w:t>A finance lease normally involves payment by a lessee to a lessor of the full cost of the asset, together with a return on the finance provided by the lessor.  The lessee has substantially all the risks and rewards associated with the ownership of an asset, other than legal title.</w:t>
      </w:r>
    </w:p>
    <w:p w14:paraId="1743342F" w14:textId="77777777" w:rsidR="002351FB" w:rsidRPr="00560F43" w:rsidRDefault="002351FB" w:rsidP="002351FB">
      <w:pPr>
        <w:pStyle w:val="VAHeadingLevel2"/>
      </w:pPr>
    </w:p>
    <w:p w14:paraId="0835B549" w14:textId="77777777" w:rsidR="002351FB" w:rsidRPr="00560F43" w:rsidRDefault="002351FB" w:rsidP="002351FB">
      <w:pPr>
        <w:pStyle w:val="VAHeadingLevel2"/>
      </w:pPr>
      <w:r w:rsidRPr="00560F43">
        <w:t>International Financial Reporting Standards (IFRS)</w:t>
      </w:r>
    </w:p>
    <w:p w14:paraId="0F786C91" w14:textId="77777777" w:rsidR="002351FB" w:rsidRPr="00560F43" w:rsidRDefault="002351FB" w:rsidP="002351FB">
      <w:r w:rsidRPr="00560F43">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19E9AF40" w14:textId="77777777" w:rsidR="002351FB" w:rsidRPr="00560F43" w:rsidRDefault="002351FB" w:rsidP="002351FB">
      <w:pPr>
        <w:pStyle w:val="VAHeadingLevel2"/>
      </w:pPr>
    </w:p>
    <w:p w14:paraId="34F4E30C" w14:textId="77777777" w:rsidR="002351FB" w:rsidRPr="00560F43" w:rsidRDefault="002351FB" w:rsidP="002351FB">
      <w:pPr>
        <w:pStyle w:val="VAHeadingLevel2"/>
      </w:pPr>
      <w:r w:rsidRPr="00560F43">
        <w:t>Fixed Assets</w:t>
      </w:r>
    </w:p>
    <w:p w14:paraId="31B71110" w14:textId="77777777" w:rsidR="002351FB" w:rsidRPr="00560F43" w:rsidRDefault="002351FB" w:rsidP="002351FB">
      <w:r w:rsidRPr="00560F43">
        <w:t>These consist of: -</w:t>
      </w:r>
    </w:p>
    <w:p w14:paraId="57165426" w14:textId="77777777" w:rsidR="002351FB" w:rsidRPr="00560F43" w:rsidRDefault="002351FB" w:rsidP="002351FB">
      <w:pPr>
        <w:pStyle w:val="RedBullet"/>
      </w:pPr>
      <w:r w:rsidRPr="00560F43">
        <w:t>Tangible:  These are assets that yield benefits to the OPFCC for a period of more than one year (e.g. buildings and equipment).</w:t>
      </w:r>
    </w:p>
    <w:p w14:paraId="0EA71EA2" w14:textId="77777777" w:rsidR="002351FB" w:rsidRPr="00560F43" w:rsidRDefault="002351FB" w:rsidP="002351FB">
      <w:pPr>
        <w:pStyle w:val="RedBullet"/>
      </w:pPr>
      <w:r w:rsidRPr="00560F43">
        <w:t xml:space="preserve">Intangible:  Under IAS 38 (Goodwill and Intangible Assets), intangible assets are those that do not have physical substance but are identifiable (e.g. software and software licences). </w:t>
      </w:r>
    </w:p>
    <w:p w14:paraId="3C4EE4C0" w14:textId="77777777" w:rsidR="002351FB" w:rsidRPr="00560F43" w:rsidRDefault="002351FB" w:rsidP="002351FB">
      <w:pPr>
        <w:rPr>
          <w:bCs/>
        </w:rPr>
      </w:pPr>
    </w:p>
    <w:p w14:paraId="39AA608F" w14:textId="77777777" w:rsidR="002351FB" w:rsidRPr="00560F43" w:rsidRDefault="002351FB" w:rsidP="002351FB">
      <w:pPr>
        <w:pStyle w:val="VAHeadingLevel2"/>
      </w:pPr>
      <w:r w:rsidRPr="00560F43">
        <w:t>Formula Grant Distribution System</w:t>
      </w:r>
    </w:p>
    <w:p w14:paraId="58471A60" w14:textId="77777777" w:rsidR="002351FB" w:rsidRPr="00560F43" w:rsidRDefault="002351FB" w:rsidP="002351FB">
      <w:pPr>
        <w:rPr>
          <w:bCs/>
        </w:rPr>
      </w:pPr>
      <w:r w:rsidRPr="00560F43">
        <w:rPr>
          <w:bCs/>
        </w:rPr>
        <w:t>A mechanism by which Central Government determines how much Revenue Support Grant, Home Office Police Grant and Business Rates each local OPFCC should receive in a given year to provide a common level of service.  For the police service it is principally based on the resident and daytime populations, plus relevant socio-economic characteristics, for the area covered by an OPFCC.</w:t>
      </w:r>
    </w:p>
    <w:p w14:paraId="3ACBB934" w14:textId="77777777" w:rsidR="002351FB" w:rsidRPr="00560F43" w:rsidRDefault="002351FB" w:rsidP="002351FB">
      <w:pPr>
        <w:rPr>
          <w:bCs/>
        </w:rPr>
      </w:pPr>
    </w:p>
    <w:p w14:paraId="348CE20C" w14:textId="77777777" w:rsidR="002351FB" w:rsidRPr="008F71D8" w:rsidRDefault="002351FB" w:rsidP="002351FB">
      <w:pPr>
        <w:rPr>
          <w:bCs/>
          <w:highlight w:val="yellow"/>
        </w:rPr>
      </w:pPr>
    </w:p>
    <w:p w14:paraId="1BC8BE41" w14:textId="77777777" w:rsidR="002351FB" w:rsidRPr="008F71D8" w:rsidRDefault="002351FB" w:rsidP="002351FB">
      <w:pPr>
        <w:rPr>
          <w:bCs/>
          <w:highlight w:val="yellow"/>
        </w:rPr>
      </w:pPr>
    </w:p>
    <w:p w14:paraId="7F37798F" w14:textId="77777777" w:rsidR="002351FB" w:rsidRPr="00560F43" w:rsidRDefault="002351FB" w:rsidP="002351FB">
      <w:pPr>
        <w:pStyle w:val="VAHeadingLevel2"/>
      </w:pPr>
      <w:r w:rsidRPr="00560F43">
        <w:lastRenderedPageBreak/>
        <w:t>IAS 19 Retirement Benefits</w:t>
      </w:r>
    </w:p>
    <w:p w14:paraId="0E3F5AC3" w14:textId="77777777" w:rsidR="002351FB" w:rsidRPr="00560F43" w:rsidRDefault="002351FB" w:rsidP="002351FB">
      <w:pPr>
        <w:rPr>
          <w:bCs/>
        </w:rPr>
      </w:pPr>
      <w:r w:rsidRPr="00560F43">
        <w:rPr>
          <w:bCs/>
        </w:rPr>
        <w:t>An accounting standard that requires the recognition of long-term commitments made to employees in respect of retirement benefits in the year in which they are earned.</w:t>
      </w:r>
    </w:p>
    <w:p w14:paraId="2F89AF67" w14:textId="77777777" w:rsidR="002351FB" w:rsidRPr="00560F43" w:rsidRDefault="002351FB" w:rsidP="002351FB">
      <w:pPr>
        <w:rPr>
          <w:bCs/>
        </w:rPr>
      </w:pPr>
    </w:p>
    <w:p w14:paraId="501ABD9C" w14:textId="77777777" w:rsidR="002351FB" w:rsidRPr="00560F43" w:rsidRDefault="002351FB" w:rsidP="002351FB">
      <w:pPr>
        <w:pStyle w:val="VAHeadingLevel2"/>
      </w:pPr>
      <w:r w:rsidRPr="00560F43">
        <w:t>Impairment</w:t>
      </w:r>
    </w:p>
    <w:p w14:paraId="2CE8F68B" w14:textId="77777777" w:rsidR="002351FB" w:rsidRPr="00560F43" w:rsidRDefault="002351FB" w:rsidP="002351FB">
      <w:r w:rsidRPr="00560F43">
        <w:rPr>
          <w:bCs/>
        </w:rPr>
        <w:t>A reduction in value in an asset caused by a general fall in prices, obsolescence or a clear consumption of economic benefit.</w:t>
      </w:r>
    </w:p>
    <w:p w14:paraId="0047096B" w14:textId="77777777" w:rsidR="002351FB" w:rsidRPr="00560F43" w:rsidRDefault="002351FB" w:rsidP="002351FB">
      <w:pPr>
        <w:rPr>
          <w:bCs/>
        </w:rPr>
      </w:pPr>
    </w:p>
    <w:p w14:paraId="4040F5F5" w14:textId="77777777" w:rsidR="002351FB" w:rsidRPr="00560F43" w:rsidRDefault="002351FB" w:rsidP="002351FB">
      <w:pPr>
        <w:pStyle w:val="VAHeadingLevel2"/>
      </w:pPr>
      <w:r w:rsidRPr="00560F43">
        <w:t>Interest Income</w:t>
      </w:r>
    </w:p>
    <w:p w14:paraId="172898AA" w14:textId="77777777" w:rsidR="002351FB" w:rsidRPr="00560F43" w:rsidRDefault="002351FB" w:rsidP="002351FB">
      <w:pPr>
        <w:rPr>
          <w:bCs/>
        </w:rPr>
      </w:pPr>
      <w:r w:rsidRPr="00560F43">
        <w:rPr>
          <w:bCs/>
        </w:rPr>
        <w:t>The money earned from the investment of surplus cash.</w:t>
      </w:r>
    </w:p>
    <w:p w14:paraId="0B757FC3" w14:textId="77777777" w:rsidR="002351FB" w:rsidRPr="00560F43" w:rsidRDefault="002351FB" w:rsidP="002351FB">
      <w:pPr>
        <w:rPr>
          <w:bCs/>
        </w:rPr>
      </w:pPr>
    </w:p>
    <w:p w14:paraId="35B312B0" w14:textId="77777777" w:rsidR="002351FB" w:rsidRPr="00560F43" w:rsidRDefault="002351FB" w:rsidP="002351FB">
      <w:pPr>
        <w:pStyle w:val="VAHeadingLevel2"/>
      </w:pPr>
      <w:r w:rsidRPr="00560F43">
        <w:t>Net Book Value</w:t>
      </w:r>
    </w:p>
    <w:p w14:paraId="31E0C247" w14:textId="77777777" w:rsidR="002351FB" w:rsidRPr="00560F43" w:rsidRDefault="002351FB" w:rsidP="002351FB">
      <w:pPr>
        <w:rPr>
          <w:bCs/>
        </w:rPr>
      </w:pPr>
      <w:r w:rsidRPr="00560F43">
        <w:rPr>
          <w:bCs/>
        </w:rPr>
        <w:t>The amount at which fixed assets are included in the balance sheet, i.e. their historical cost or current values less the cumulative amounts provided for depreciation.</w:t>
      </w:r>
    </w:p>
    <w:p w14:paraId="1689FD8E" w14:textId="77777777" w:rsidR="002351FB" w:rsidRPr="00560F43" w:rsidRDefault="002351FB" w:rsidP="002351FB">
      <w:pPr>
        <w:rPr>
          <w:bCs/>
        </w:rPr>
      </w:pPr>
    </w:p>
    <w:p w14:paraId="46D0E94E" w14:textId="77777777" w:rsidR="002351FB" w:rsidRPr="00560F43" w:rsidRDefault="002351FB" w:rsidP="002351FB">
      <w:pPr>
        <w:pStyle w:val="VAHeadingLevel2"/>
      </w:pPr>
      <w:r w:rsidRPr="00560F43">
        <w:t>Non-Distributed Costs</w:t>
      </w:r>
    </w:p>
    <w:p w14:paraId="5793426E" w14:textId="77777777" w:rsidR="002351FB" w:rsidRPr="00560F43" w:rsidRDefault="002351FB" w:rsidP="002351FB">
      <w:pPr>
        <w:rPr>
          <w:bCs/>
        </w:rPr>
      </w:pPr>
      <w:r w:rsidRPr="00560F43">
        <w:rPr>
          <w:bCs/>
        </w:rPr>
        <w:t>This consists of charges for police officers and police staff early retirements.</w:t>
      </w:r>
    </w:p>
    <w:p w14:paraId="476861C8" w14:textId="77777777" w:rsidR="002351FB" w:rsidRPr="00560F43" w:rsidRDefault="002351FB" w:rsidP="002351FB">
      <w:pPr>
        <w:rPr>
          <w:bCs/>
        </w:rPr>
      </w:pPr>
    </w:p>
    <w:p w14:paraId="0A7C1E1C" w14:textId="77777777" w:rsidR="002351FB" w:rsidRPr="00560F43" w:rsidRDefault="002351FB" w:rsidP="002351FB">
      <w:pPr>
        <w:pStyle w:val="VAHeadingLevel2"/>
      </w:pPr>
      <w:r w:rsidRPr="00560F43">
        <w:t>Operating Lease</w:t>
      </w:r>
    </w:p>
    <w:p w14:paraId="569BD397" w14:textId="77777777" w:rsidR="002351FB" w:rsidRPr="00560F43" w:rsidRDefault="002351FB" w:rsidP="002351FB">
      <w:pPr>
        <w:rPr>
          <w:bCs/>
        </w:rPr>
      </w:pPr>
      <w:r w:rsidRPr="00560F43">
        <w:rPr>
          <w:bCs/>
        </w:rPr>
        <w:t>An operating lease involves the lessee paying a rental for the hire of an asset for a period of time that is substantially less than its useful economic life.  The lessor retains most of the risks and rewards of ownership.</w:t>
      </w:r>
    </w:p>
    <w:p w14:paraId="33112345" w14:textId="77777777" w:rsidR="002351FB" w:rsidRPr="00560F43" w:rsidRDefault="002351FB" w:rsidP="002351FB">
      <w:pPr>
        <w:rPr>
          <w:bCs/>
        </w:rPr>
      </w:pPr>
    </w:p>
    <w:p w14:paraId="3382D89F" w14:textId="77777777" w:rsidR="002351FB" w:rsidRPr="00560F43" w:rsidRDefault="002351FB" w:rsidP="002351FB">
      <w:pPr>
        <w:pStyle w:val="VAHeadingLevel2"/>
      </w:pPr>
      <w:r w:rsidRPr="00560F43">
        <w:t>Outturn</w:t>
      </w:r>
    </w:p>
    <w:p w14:paraId="3DBD1B56" w14:textId="77777777" w:rsidR="002351FB" w:rsidRPr="00560F43" w:rsidRDefault="002351FB" w:rsidP="002351FB">
      <w:pPr>
        <w:rPr>
          <w:bCs/>
        </w:rPr>
      </w:pPr>
      <w:r w:rsidRPr="00560F43">
        <w:rPr>
          <w:bCs/>
        </w:rPr>
        <w:t>The actual amount spent in the financial year.</w:t>
      </w:r>
    </w:p>
    <w:p w14:paraId="1ACE8856" w14:textId="77777777" w:rsidR="002351FB" w:rsidRPr="00560F43" w:rsidRDefault="002351FB" w:rsidP="002351FB">
      <w:pPr>
        <w:rPr>
          <w:bCs/>
        </w:rPr>
      </w:pPr>
    </w:p>
    <w:p w14:paraId="005119C5" w14:textId="77777777" w:rsidR="002351FB" w:rsidRPr="00560F43" w:rsidRDefault="002351FB" w:rsidP="002351FB">
      <w:pPr>
        <w:pStyle w:val="VAHeadingLevel2"/>
      </w:pPr>
      <w:r w:rsidRPr="00560F43">
        <w:t>Payments in Advance</w:t>
      </w:r>
    </w:p>
    <w:p w14:paraId="42565BD4" w14:textId="77777777" w:rsidR="002351FB" w:rsidRPr="00560F43" w:rsidRDefault="002351FB" w:rsidP="002351FB">
      <w:pPr>
        <w:rPr>
          <w:bCs/>
        </w:rPr>
      </w:pPr>
      <w:r w:rsidRPr="00560F43">
        <w:rPr>
          <w:bCs/>
        </w:rPr>
        <w:t>These represent payments made prior to supplies and services received.</w:t>
      </w:r>
    </w:p>
    <w:p w14:paraId="060DB5E1" w14:textId="77777777" w:rsidR="002351FB" w:rsidRPr="00560F43" w:rsidRDefault="002351FB" w:rsidP="002351FB">
      <w:pPr>
        <w:rPr>
          <w:bCs/>
        </w:rPr>
      </w:pPr>
    </w:p>
    <w:p w14:paraId="57071CC7" w14:textId="77777777" w:rsidR="002351FB" w:rsidRPr="00560F43" w:rsidRDefault="002351FB" w:rsidP="002351FB">
      <w:pPr>
        <w:pStyle w:val="VAHeadingLevel2"/>
      </w:pPr>
      <w:r w:rsidRPr="00560F43">
        <w:t>Pension – Defined Benefit Scheme</w:t>
      </w:r>
    </w:p>
    <w:p w14:paraId="46E7E64B" w14:textId="77777777" w:rsidR="002351FB" w:rsidRPr="00560F43" w:rsidRDefault="002351FB" w:rsidP="002351FB">
      <w:pPr>
        <w:rPr>
          <w:bCs/>
        </w:rPr>
      </w:pPr>
      <w:r w:rsidRPr="00560F43">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497AA995" w14:textId="77777777" w:rsidR="002351FB" w:rsidRPr="00560F43" w:rsidRDefault="002351FB" w:rsidP="002351FB">
      <w:pPr>
        <w:rPr>
          <w:bCs/>
        </w:rPr>
      </w:pPr>
    </w:p>
    <w:p w14:paraId="01C886E9" w14:textId="77777777" w:rsidR="002351FB" w:rsidRPr="00560F43" w:rsidRDefault="002351FB" w:rsidP="002351FB">
      <w:pPr>
        <w:pStyle w:val="VAHeadingLevel2"/>
      </w:pPr>
      <w:r w:rsidRPr="00560F43">
        <w:t>Pension Assets – Expected Rate of Return</w:t>
      </w:r>
    </w:p>
    <w:p w14:paraId="04EC3A97" w14:textId="77777777" w:rsidR="002351FB" w:rsidRPr="00560F43" w:rsidRDefault="002351FB" w:rsidP="002351FB">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75907132" w14:textId="77777777" w:rsidR="002351FB" w:rsidRPr="00560F43" w:rsidRDefault="002351FB" w:rsidP="002351FB">
      <w:pPr>
        <w:rPr>
          <w:bCs/>
        </w:rPr>
      </w:pPr>
    </w:p>
    <w:p w14:paraId="415380CB" w14:textId="77777777" w:rsidR="002351FB" w:rsidRPr="00560F43" w:rsidRDefault="002351FB" w:rsidP="002351FB">
      <w:pPr>
        <w:pStyle w:val="VAHeadingLevel2"/>
      </w:pPr>
      <w:r w:rsidRPr="00560F43">
        <w:t>Pension – Interest Costs</w:t>
      </w:r>
    </w:p>
    <w:p w14:paraId="3B80BD32" w14:textId="77777777" w:rsidR="002351FB" w:rsidRPr="00560F43" w:rsidRDefault="002351FB" w:rsidP="002351FB">
      <w:pPr>
        <w:rPr>
          <w:bCs/>
        </w:rPr>
      </w:pPr>
      <w:r w:rsidRPr="00560F43">
        <w:rPr>
          <w:bCs/>
        </w:rPr>
        <w:t>For a defined benefit scheme, the expected increase during the period in the present value of the scheme liabilities because the benefits are one period closer to settle.</w:t>
      </w:r>
    </w:p>
    <w:p w14:paraId="54E6EBA6" w14:textId="77777777" w:rsidR="002351FB" w:rsidRPr="00560F43" w:rsidRDefault="002351FB" w:rsidP="002351FB">
      <w:pPr>
        <w:rPr>
          <w:bCs/>
        </w:rPr>
      </w:pPr>
    </w:p>
    <w:p w14:paraId="39EB19E5" w14:textId="77777777" w:rsidR="002351FB" w:rsidRPr="00560F43" w:rsidRDefault="002351FB" w:rsidP="002351FB">
      <w:pPr>
        <w:pStyle w:val="VAHeadingLevel2"/>
      </w:pPr>
      <w:r w:rsidRPr="00560F43">
        <w:t>Pension – Past Service Costs</w:t>
      </w:r>
    </w:p>
    <w:p w14:paraId="0B4D30D3" w14:textId="77777777" w:rsidR="002351FB" w:rsidRPr="00560F43" w:rsidRDefault="002351FB" w:rsidP="002351FB">
      <w:pPr>
        <w:rPr>
          <w:bCs/>
        </w:rPr>
      </w:pPr>
      <w:r w:rsidRPr="00560F43">
        <w:rPr>
          <w:bCs/>
        </w:rPr>
        <w:t xml:space="preserve">In a defined benefit scheme, the increase in the present value of the scheme liabilities related to employee service in prior periods arising in the current period as a result of the introduction of, or improvement to, retirement benefits.  </w:t>
      </w:r>
    </w:p>
    <w:p w14:paraId="2B56BED5" w14:textId="77777777" w:rsidR="002351FB" w:rsidRPr="00560F43" w:rsidRDefault="002351FB" w:rsidP="002351FB"/>
    <w:p w14:paraId="39E3C35A" w14:textId="77777777" w:rsidR="002351FB" w:rsidRPr="00560F43" w:rsidRDefault="002351FB" w:rsidP="002351FB">
      <w:pPr>
        <w:pStyle w:val="VAHeadingLevel2"/>
      </w:pPr>
      <w:r w:rsidRPr="00560F43">
        <w:lastRenderedPageBreak/>
        <w:t>Pension Fund</w:t>
      </w:r>
    </w:p>
    <w:p w14:paraId="71CA2298" w14:textId="77777777" w:rsidR="002351FB" w:rsidRPr="00560F43" w:rsidRDefault="002351FB" w:rsidP="002351FB">
      <w:pPr>
        <w:rPr>
          <w:bCs/>
        </w:rPr>
      </w:pPr>
      <w:r w:rsidRPr="00560F43">
        <w:rPr>
          <w:bCs/>
        </w:rPr>
        <w:t>A fund which makes pension payments on retirement of its participants.</w:t>
      </w:r>
    </w:p>
    <w:p w14:paraId="729E0552" w14:textId="77777777" w:rsidR="002351FB" w:rsidRPr="00560F43" w:rsidRDefault="002351FB" w:rsidP="002351FB">
      <w:pPr>
        <w:rPr>
          <w:bCs/>
        </w:rPr>
      </w:pPr>
    </w:p>
    <w:p w14:paraId="333F0E68" w14:textId="77777777" w:rsidR="002351FB" w:rsidRPr="00560F43" w:rsidRDefault="002351FB" w:rsidP="002351FB">
      <w:pPr>
        <w:pStyle w:val="VAHeadingLevel2"/>
      </w:pPr>
      <w:r w:rsidRPr="00560F43">
        <w:t>Pensions Top-Up Grant (PTUG)</w:t>
      </w:r>
    </w:p>
    <w:p w14:paraId="151869C0" w14:textId="77777777" w:rsidR="002351FB" w:rsidRPr="00560F43" w:rsidRDefault="002351FB" w:rsidP="002351FB">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49DA68A" w14:textId="77777777" w:rsidR="002351FB" w:rsidRPr="00560F43" w:rsidRDefault="002351FB" w:rsidP="002351FB">
      <w:pPr>
        <w:rPr>
          <w:bCs/>
        </w:rPr>
      </w:pPr>
    </w:p>
    <w:p w14:paraId="0F0AFA64" w14:textId="77777777" w:rsidR="002351FB" w:rsidRPr="00560F43" w:rsidRDefault="002351FB" w:rsidP="002351FB">
      <w:pPr>
        <w:pStyle w:val="VAHeadingLevel2"/>
      </w:pPr>
      <w:r w:rsidRPr="00560F43">
        <w:t>Precept</w:t>
      </w:r>
    </w:p>
    <w:p w14:paraId="33348447" w14:textId="228B7323" w:rsidR="002351FB" w:rsidRPr="00560F43" w:rsidRDefault="002351FB" w:rsidP="002351FB">
      <w:pPr>
        <w:rPr>
          <w:bCs/>
        </w:rPr>
      </w:pPr>
      <w:r w:rsidRPr="00560F43">
        <w:rPr>
          <w:bCs/>
        </w:rPr>
        <w:t xml:space="preserve">The method by which the OPFCC obtains the income it requires from council tax via the collection Authorities (i.e. the </w:t>
      </w:r>
      <w:r w:rsidR="00122294">
        <w:rPr>
          <w:bCs/>
        </w:rPr>
        <w:t>unitary</w:t>
      </w:r>
      <w:r w:rsidRPr="00560F43">
        <w:rPr>
          <w:bCs/>
        </w:rPr>
        <w:t xml:space="preserve"> councils in Northamptonshire).</w:t>
      </w:r>
    </w:p>
    <w:p w14:paraId="00C3693F" w14:textId="77777777" w:rsidR="002351FB" w:rsidRPr="00560F43" w:rsidRDefault="002351FB" w:rsidP="002351FB">
      <w:pPr>
        <w:rPr>
          <w:bCs/>
        </w:rPr>
      </w:pPr>
    </w:p>
    <w:p w14:paraId="63A93402" w14:textId="77777777" w:rsidR="002351FB" w:rsidRPr="00560F43" w:rsidRDefault="002351FB" w:rsidP="002351FB">
      <w:pPr>
        <w:pStyle w:val="VAHeadingLevel2"/>
      </w:pPr>
      <w:r w:rsidRPr="00560F43">
        <w:t>Provision</w:t>
      </w:r>
    </w:p>
    <w:p w14:paraId="6D3D0B50" w14:textId="77777777" w:rsidR="002351FB" w:rsidRPr="00560F43" w:rsidRDefault="002351FB" w:rsidP="002351FB">
      <w:pPr>
        <w:rPr>
          <w:bCs/>
        </w:rPr>
      </w:pPr>
      <w:r w:rsidRPr="00560F43">
        <w:rPr>
          <w:bCs/>
        </w:rPr>
        <w:t>An amount set aside to provide for a liability which is likely to be incurred but the exact amount and the date on which it will arise is uncertain.</w:t>
      </w:r>
    </w:p>
    <w:p w14:paraId="59E7F884" w14:textId="77777777" w:rsidR="002351FB" w:rsidRPr="00560F43" w:rsidRDefault="002351FB" w:rsidP="002351FB"/>
    <w:p w14:paraId="3335D4EB" w14:textId="77777777" w:rsidR="002351FB" w:rsidRPr="00560F43" w:rsidRDefault="002351FB" w:rsidP="002351FB">
      <w:pPr>
        <w:pStyle w:val="VAHeadingLevel2"/>
      </w:pPr>
      <w:r w:rsidRPr="00560F43">
        <w:t>Prudential Code</w:t>
      </w:r>
    </w:p>
    <w:p w14:paraId="3336039A" w14:textId="77777777" w:rsidR="002351FB" w:rsidRPr="00560F43" w:rsidRDefault="002351FB" w:rsidP="002351FB">
      <w:pPr>
        <w:rPr>
          <w:bCs/>
        </w:rPr>
      </w:pPr>
      <w:r w:rsidRPr="00560F43">
        <w:rPr>
          <w:bCs/>
        </w:rPr>
        <w:t>The code developed by CIPFA that sets out a framework for self-regulation of capital spending, in effect allowing OPFCC’s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3A3508AE" w14:textId="77777777" w:rsidR="002351FB" w:rsidRPr="00560F43" w:rsidRDefault="002351FB" w:rsidP="002351FB">
      <w:pPr>
        <w:rPr>
          <w:bCs/>
        </w:rPr>
      </w:pPr>
    </w:p>
    <w:p w14:paraId="1F9ADDF8" w14:textId="77777777" w:rsidR="002351FB" w:rsidRPr="00560F43" w:rsidRDefault="002351FB" w:rsidP="002351FB">
      <w:pPr>
        <w:pStyle w:val="VAHeadingLevel2"/>
      </w:pPr>
      <w:r w:rsidRPr="00560F43">
        <w:t>Public Works Loan Board (PWLB)</w:t>
      </w:r>
    </w:p>
    <w:p w14:paraId="13423602" w14:textId="77777777" w:rsidR="002351FB" w:rsidRPr="00560F43" w:rsidRDefault="002351FB" w:rsidP="002351FB">
      <w:pPr>
        <w:rPr>
          <w:bCs/>
        </w:rPr>
      </w:pPr>
      <w:r w:rsidRPr="00560F43">
        <w:rPr>
          <w:bCs/>
        </w:rPr>
        <w:t>A government agency which provides longer-term loans to Local OPFCC’s at interest rates only slightly higher than those at which the government itself can borrow.</w:t>
      </w:r>
    </w:p>
    <w:p w14:paraId="6E1EA611" w14:textId="77777777" w:rsidR="002351FB" w:rsidRPr="00560F43" w:rsidRDefault="002351FB" w:rsidP="002351FB">
      <w:pPr>
        <w:rPr>
          <w:bCs/>
        </w:rPr>
      </w:pPr>
    </w:p>
    <w:p w14:paraId="28D5D4FC" w14:textId="77777777" w:rsidR="002351FB" w:rsidRPr="00560F43" w:rsidRDefault="002351FB" w:rsidP="002351FB">
      <w:pPr>
        <w:pStyle w:val="VAHeadingLevel2"/>
      </w:pPr>
      <w:r w:rsidRPr="00560F43">
        <w:t>Receipts in Advance</w:t>
      </w:r>
    </w:p>
    <w:p w14:paraId="2E58964C" w14:textId="77777777" w:rsidR="002351FB" w:rsidRPr="00560F43" w:rsidRDefault="002351FB" w:rsidP="002351FB">
      <w:pPr>
        <w:rPr>
          <w:bCs/>
        </w:rPr>
      </w:pPr>
      <w:r w:rsidRPr="00560F43">
        <w:rPr>
          <w:bCs/>
        </w:rPr>
        <w:t>These represent income received prior to supplies and services being provided by the OPFCC.</w:t>
      </w:r>
    </w:p>
    <w:p w14:paraId="178AB7C8" w14:textId="77777777" w:rsidR="002351FB" w:rsidRPr="00560F43" w:rsidRDefault="002351FB" w:rsidP="002351FB">
      <w:pPr>
        <w:rPr>
          <w:bCs/>
        </w:rPr>
      </w:pPr>
    </w:p>
    <w:p w14:paraId="3FB922C9" w14:textId="77777777" w:rsidR="002351FB" w:rsidRPr="00560F43" w:rsidRDefault="002351FB" w:rsidP="002351FB">
      <w:pPr>
        <w:pStyle w:val="VAHeadingLevel2"/>
      </w:pPr>
      <w:r w:rsidRPr="00560F43">
        <w:t>Receipts and Payments</w:t>
      </w:r>
    </w:p>
    <w:p w14:paraId="3C785C86" w14:textId="77777777" w:rsidR="002351FB" w:rsidRPr="00560F43" w:rsidRDefault="002351FB" w:rsidP="002351FB">
      <w:pPr>
        <w:rPr>
          <w:bCs/>
        </w:rPr>
      </w:pPr>
      <w:r w:rsidRPr="00560F43">
        <w:rPr>
          <w:bCs/>
        </w:rPr>
        <w:t>Amounts actually paid or received in a given accounting period irrespective of the period for which they are due.</w:t>
      </w:r>
    </w:p>
    <w:p w14:paraId="708262E8" w14:textId="77777777" w:rsidR="002351FB" w:rsidRPr="00560F43" w:rsidRDefault="002351FB" w:rsidP="002351FB">
      <w:pPr>
        <w:rPr>
          <w:bCs/>
        </w:rPr>
      </w:pPr>
    </w:p>
    <w:p w14:paraId="55196381" w14:textId="77777777" w:rsidR="002351FB" w:rsidRPr="00560F43" w:rsidRDefault="002351FB" w:rsidP="002351FB">
      <w:pPr>
        <w:pStyle w:val="VAHeadingLevel2"/>
      </w:pPr>
      <w:r w:rsidRPr="00560F43">
        <w:t>Retirement Benefits</w:t>
      </w:r>
    </w:p>
    <w:p w14:paraId="4A0B2434" w14:textId="77777777" w:rsidR="002351FB" w:rsidRPr="00560F43" w:rsidRDefault="002351FB" w:rsidP="002351FB">
      <w:pPr>
        <w:rPr>
          <w:bCs/>
        </w:rPr>
      </w:pPr>
      <w:r w:rsidRPr="00560F43">
        <w:rPr>
          <w:bCs/>
        </w:rPr>
        <w:t>All forms of consideration given by an employer in exchange for services rendered by employees that are payable after the completion of employment.</w:t>
      </w:r>
    </w:p>
    <w:p w14:paraId="2878BEA7" w14:textId="77777777" w:rsidR="002351FB" w:rsidRPr="00560F43" w:rsidRDefault="002351FB" w:rsidP="002351FB">
      <w:pPr>
        <w:rPr>
          <w:bCs/>
        </w:rPr>
      </w:pPr>
    </w:p>
    <w:p w14:paraId="3B36C564" w14:textId="77777777" w:rsidR="002351FB" w:rsidRPr="00560F43" w:rsidRDefault="002351FB" w:rsidP="002351FB">
      <w:pPr>
        <w:pStyle w:val="VAHeadingLevel2"/>
      </w:pPr>
      <w:r w:rsidRPr="00560F43">
        <w:t>Revenue Contributions</w:t>
      </w:r>
    </w:p>
    <w:p w14:paraId="3F3F5410" w14:textId="77777777" w:rsidR="002351FB" w:rsidRPr="00302182" w:rsidRDefault="002351FB" w:rsidP="002351FB">
      <w:pPr>
        <w:rPr>
          <w:bCs/>
        </w:rPr>
      </w:pPr>
      <w:r w:rsidRPr="00560F43">
        <w:rPr>
          <w:bCs/>
        </w:rPr>
        <w:t>Capital Expenditure funded from the Revenue Account which reduces the requirement to borrow.</w:t>
      </w:r>
    </w:p>
    <w:p w14:paraId="7B88AF45" w14:textId="77777777" w:rsidR="005C7F0A" w:rsidRDefault="005C7F0A">
      <w:pPr>
        <w:spacing w:line="240" w:lineRule="auto"/>
        <w:jc w:val="left"/>
        <w:rPr>
          <w:rFonts w:asciiTheme="minorHAnsi" w:eastAsia="Times New Roman" w:hAnsiTheme="minorHAnsi" w:cs="Times New Roman"/>
          <w:color w:val="18235B"/>
          <w:sz w:val="24"/>
        </w:rPr>
      </w:pPr>
      <w:r>
        <w:rPr>
          <w:bCs/>
        </w:rPr>
        <w:br w:type="page"/>
      </w:r>
    </w:p>
    <w:p w14:paraId="45B8D284" w14:textId="70512A0F" w:rsidR="005C7F0A" w:rsidRDefault="005C7F0A" w:rsidP="005C7F0A">
      <w:pPr>
        <w:pStyle w:val="ChapterHeading"/>
      </w:pPr>
      <w:bookmarkStart w:id="290" w:name="_Toc46991594"/>
      <w:bookmarkStart w:id="291" w:name="_Toc191281434"/>
      <w:r>
        <w:lastRenderedPageBreak/>
        <w:t>Audit Report</w:t>
      </w:r>
      <w:bookmarkEnd w:id="290"/>
      <w:bookmarkEnd w:id="291"/>
    </w:p>
    <w:p w14:paraId="590F7F11" w14:textId="7BDF799B" w:rsidR="003D06FE" w:rsidRPr="003D06FE" w:rsidRDefault="003D06FE" w:rsidP="003D06FE">
      <w:pPr>
        <w:rPr>
          <w:b/>
          <w:bCs/>
        </w:rPr>
      </w:pPr>
    </w:p>
    <w:p w14:paraId="428A9C1F" w14:textId="46D52073" w:rsidR="003D06FE" w:rsidRPr="003D06FE" w:rsidRDefault="003D06FE" w:rsidP="003D06FE">
      <w:pPr>
        <w:spacing w:line="240" w:lineRule="auto"/>
        <w:jc w:val="left"/>
        <w:rPr>
          <w:rFonts w:asciiTheme="minorHAnsi" w:eastAsia="Times New Roman" w:hAnsiTheme="minorHAnsi" w:cs="Times New Roman"/>
          <w:b/>
          <w:bCs/>
          <w:smallCaps/>
          <w:color w:val="25316C"/>
          <w:sz w:val="32"/>
          <w:szCs w:val="32"/>
        </w:rPr>
      </w:pPr>
      <w:r w:rsidRPr="003D06FE">
        <w:rPr>
          <w:rFonts w:asciiTheme="minorHAnsi" w:eastAsia="Times New Roman" w:hAnsiTheme="minorHAnsi" w:cs="Times New Roman"/>
          <w:b/>
          <w:bCs/>
          <w:smallCaps/>
          <w:color w:val="25316C"/>
          <w:sz w:val="32"/>
          <w:szCs w:val="32"/>
        </w:rPr>
        <w:t>Independent auditor's report to the Chief Constable for Northamptonshire</w:t>
      </w:r>
    </w:p>
    <w:p w14:paraId="6D85B010" w14:textId="77777777" w:rsidR="003D06FE" w:rsidRDefault="003D06FE" w:rsidP="003D06FE">
      <w:pPr>
        <w:rPr>
          <w:b/>
          <w:bCs/>
        </w:rPr>
      </w:pPr>
    </w:p>
    <w:p w14:paraId="5A942F25" w14:textId="6D6C4450" w:rsidR="003D06FE" w:rsidRPr="003D06FE" w:rsidRDefault="003D06FE" w:rsidP="003D06FE">
      <w:pPr>
        <w:rPr>
          <w:b/>
          <w:bCs/>
          <w:color w:val="1F3864" w:themeColor="accent5" w:themeShade="80"/>
        </w:rPr>
      </w:pPr>
      <w:r w:rsidRPr="003D06FE">
        <w:rPr>
          <w:b/>
          <w:bCs/>
          <w:color w:val="1F3864" w:themeColor="accent5" w:themeShade="80"/>
        </w:rPr>
        <w:t>Report on the audit of the financial statements</w:t>
      </w:r>
    </w:p>
    <w:p w14:paraId="390430F6" w14:textId="77777777" w:rsidR="003D06FE" w:rsidRPr="003D06FE" w:rsidRDefault="003D06FE" w:rsidP="003D06FE">
      <w:pPr>
        <w:rPr>
          <w:b/>
          <w:bCs/>
          <w:color w:val="1F3864" w:themeColor="accent5" w:themeShade="80"/>
        </w:rPr>
      </w:pPr>
    </w:p>
    <w:p w14:paraId="01E18F23" w14:textId="3CC05185" w:rsidR="003D06FE" w:rsidRDefault="003D06FE" w:rsidP="003D06FE">
      <w:pPr>
        <w:rPr>
          <w:b/>
          <w:bCs/>
          <w:color w:val="1F3864" w:themeColor="accent5" w:themeShade="80"/>
        </w:rPr>
      </w:pPr>
      <w:r w:rsidRPr="003D06FE">
        <w:rPr>
          <w:b/>
          <w:bCs/>
          <w:color w:val="1F3864" w:themeColor="accent5" w:themeShade="80"/>
        </w:rPr>
        <w:t>Disclaimer of opinion</w:t>
      </w:r>
    </w:p>
    <w:p w14:paraId="76E3F9E9" w14:textId="77777777" w:rsidR="003D06FE" w:rsidRPr="003D06FE" w:rsidRDefault="003D06FE" w:rsidP="003D06FE">
      <w:pPr>
        <w:rPr>
          <w:b/>
          <w:bCs/>
          <w:color w:val="1F3864" w:themeColor="accent5" w:themeShade="80"/>
        </w:rPr>
      </w:pPr>
    </w:p>
    <w:p w14:paraId="453CEC62" w14:textId="77777777" w:rsidR="003D06FE" w:rsidRPr="003D06FE" w:rsidRDefault="003D06FE" w:rsidP="003D06FE">
      <w:r w:rsidRPr="003D06FE">
        <w:t>We were engaged to audit the financial statements of the Chief Constable for Northamptonshire (the ‘Chief Constable’) for the year ended 31 March 2024, which comprise the Movement in Reserves Statement, the Comprehensive Income and Expenditure Statement, the Balance Sheet, the Cash Flow Statement and notes to the financial statements, including a summary of significant accounting policies, and include the police pension fund financial statements comprising the Police Pension Fund Account, Net Asset Statement and notes to the Police Pension Fund Account. The financial reporting framework that has been applied in their preparation is applicable law and the CIPFA/LASAAC Code of Practice on Local Authority Accounting in the United Kingdom 2023/24.</w:t>
      </w:r>
    </w:p>
    <w:p w14:paraId="4D454E0F" w14:textId="77777777" w:rsidR="003D06FE" w:rsidRPr="003D06FE" w:rsidRDefault="003D06FE" w:rsidP="003D06FE">
      <w:r w:rsidRPr="003D06FE">
        <w:t>We do not express an opinion on the accompanying financial statements of the Chief Constable. Because of the significance of the matters described in the basis for disclaimer of opinion section of our report, we have not been able to obtain sufficient appropriate audit evidence to provide a basis for an audit opinion on these financial statements.</w:t>
      </w:r>
    </w:p>
    <w:p w14:paraId="76D079DA" w14:textId="77777777" w:rsidR="003D06FE" w:rsidRPr="003D06FE" w:rsidRDefault="003D06FE" w:rsidP="003D06FE"/>
    <w:p w14:paraId="36DF8952" w14:textId="77777777" w:rsidR="003D06FE" w:rsidRPr="003D06FE" w:rsidRDefault="003D06FE" w:rsidP="003D06FE">
      <w:pPr>
        <w:rPr>
          <w:b/>
          <w:bCs/>
          <w:color w:val="1F3864" w:themeColor="accent5" w:themeShade="80"/>
        </w:rPr>
      </w:pPr>
      <w:r w:rsidRPr="003D06FE">
        <w:rPr>
          <w:b/>
          <w:bCs/>
          <w:color w:val="1F3864" w:themeColor="accent5" w:themeShade="80"/>
        </w:rPr>
        <w:t>Basis for disclaimer of opinion</w:t>
      </w:r>
    </w:p>
    <w:p w14:paraId="02FD496F" w14:textId="77777777" w:rsidR="003D06FE" w:rsidRPr="003D06FE" w:rsidRDefault="003D06FE" w:rsidP="003D06FE">
      <w:pPr>
        <w:rPr>
          <w:b/>
          <w:bCs/>
        </w:rPr>
      </w:pPr>
    </w:p>
    <w:p w14:paraId="38A3E2A2" w14:textId="77777777" w:rsidR="003D06FE" w:rsidRPr="003D06FE" w:rsidRDefault="003D06FE" w:rsidP="003D06FE">
      <w:r w:rsidRPr="003D06FE">
        <w:t>The Accounts and Audit (Amendment) Regulations 2024 (the ‘Regulations’) require the Chief Constable to publish audited financial statements for the year ended 31 March 2024 by 28 February 2025 (the ‘backstop date’). The backstop date has been put in law with the purpose of clearing the backlog of historical financial statements.</w:t>
      </w:r>
    </w:p>
    <w:p w14:paraId="023A4483" w14:textId="77777777" w:rsidR="003D06FE" w:rsidRPr="003D06FE" w:rsidRDefault="003D06FE" w:rsidP="003D06FE">
      <w:r w:rsidRPr="003D06FE">
        <w:t>As a result of the limitations imposed by the previous backstop date, 13 December 2024, we were unable to obtain sufficient appropriate audit evidence that the corresponding figures included in the financial statements for the year ended 31 March 2024 were free from material misstatement. We were therefore unable to obtain sufficient appropriate audit evidence over the corresponding figures or whether there was any consequential effect on the Chief Constable’s Comprehensive Income and Expenditure Statement for the year ended 31 March 2024 for the same reason.</w:t>
      </w:r>
    </w:p>
    <w:p w14:paraId="3FF87E87" w14:textId="6551B5E8" w:rsidR="003D06FE" w:rsidRPr="003D06FE" w:rsidRDefault="003D06FE" w:rsidP="003D06FE">
      <w:r w:rsidRPr="003D06FE">
        <w:t>Furthermore due to the limitations imposed by the backstop date, we have been unable to obtain sufficient appropriate audit evidence over the Chief Constable’s opening balances reported in the financial statements for the year ended 31 March 2024. Consequently, we have been unable to satisfy ourselves over the in-year movements in the net pension liability. This has also resulted in uncertainty over the closing balance of the net pension liability of £1,055 million as at 31 March 2024. Similarly, we have not been able to obtain assurance over the Chief Constable’s closing reserves balance of£1,057 million as at 31 March 2024, also due to the uncertainty over their opening amount.</w:t>
      </w:r>
    </w:p>
    <w:p w14:paraId="3B1ACAA0" w14:textId="77777777" w:rsidR="003D06FE" w:rsidRDefault="003D06FE" w:rsidP="003D06FE">
      <w:r w:rsidRPr="003D06FE">
        <w:t>We have concluded that the possible effects of these matters on the financial statements could be both material and pervasive. We have therefore issued a disclaimer of opinion on the financial statements. This enables the Chief Constable to comply with the requirement of the Regulations to publish the financial statements for the year ended 31 March 2024 by the backstop date.</w:t>
      </w:r>
    </w:p>
    <w:p w14:paraId="0B2783C1" w14:textId="77777777" w:rsidR="003D06FE" w:rsidRDefault="003D06FE" w:rsidP="003D06FE"/>
    <w:p w14:paraId="535C5C39" w14:textId="77777777" w:rsidR="003D06FE" w:rsidRDefault="003D06FE" w:rsidP="003D06FE"/>
    <w:p w14:paraId="66E47462" w14:textId="77777777" w:rsidR="003D06FE" w:rsidRPr="003D06FE" w:rsidRDefault="003D06FE" w:rsidP="003D06FE"/>
    <w:p w14:paraId="0DDC1DD7" w14:textId="77777777" w:rsidR="003D06FE" w:rsidRPr="003D06FE" w:rsidRDefault="003D06FE" w:rsidP="003D06FE"/>
    <w:p w14:paraId="5071800B" w14:textId="77777777" w:rsidR="003D06FE" w:rsidRPr="003D06FE" w:rsidRDefault="003D06FE" w:rsidP="003D06FE">
      <w:pPr>
        <w:rPr>
          <w:b/>
          <w:bCs/>
          <w:color w:val="1F3864" w:themeColor="accent5" w:themeShade="80"/>
        </w:rPr>
      </w:pPr>
      <w:r w:rsidRPr="003D06FE">
        <w:rPr>
          <w:b/>
          <w:bCs/>
          <w:color w:val="1F3864" w:themeColor="accent5" w:themeShade="80"/>
        </w:rPr>
        <w:lastRenderedPageBreak/>
        <w:t>Other information we are required to report on by exception under the Code of Audit Practice</w:t>
      </w:r>
    </w:p>
    <w:p w14:paraId="1DB921B6" w14:textId="77777777" w:rsidR="003D06FE" w:rsidRPr="003D06FE" w:rsidRDefault="003D06FE" w:rsidP="003D06FE">
      <w:pPr>
        <w:rPr>
          <w:b/>
          <w:bCs/>
        </w:rPr>
      </w:pPr>
    </w:p>
    <w:p w14:paraId="2D4A1604" w14:textId="77777777" w:rsidR="003D06FE" w:rsidRPr="003D06FE" w:rsidRDefault="003D06FE" w:rsidP="003D06FE">
      <w:r w:rsidRPr="003D06FE">
        <w:t>Because of the significance of the matters described in the basis for disclaimer of opinion section of our report, we have been unable to consider whether the Annual Governance Statements do not comply with the requirements of the CIPFA/LASAAC Code of Practice on Local Authority Accounting in the United Kingdom 2023/24, or is misleading or inconsistent with the information of which we are aware from our audit. We are not required to consider whether the Annual Governance Statements address all risks and controls or that risks are satisfactorily addressed by internal controls.</w:t>
      </w:r>
    </w:p>
    <w:p w14:paraId="55616770" w14:textId="77777777" w:rsidR="003D06FE" w:rsidRPr="003D06FE" w:rsidRDefault="003D06FE" w:rsidP="003D06FE"/>
    <w:p w14:paraId="16E3D989" w14:textId="77777777" w:rsidR="003D06FE" w:rsidRDefault="003D06FE" w:rsidP="003D06FE">
      <w:pPr>
        <w:rPr>
          <w:b/>
          <w:bCs/>
          <w:color w:val="1F3864" w:themeColor="accent5" w:themeShade="80"/>
        </w:rPr>
      </w:pPr>
      <w:r w:rsidRPr="003D06FE">
        <w:rPr>
          <w:b/>
          <w:bCs/>
          <w:color w:val="1F3864" w:themeColor="accent5" w:themeShade="80"/>
        </w:rPr>
        <w:t>Opinion on other matters required by the Code of Audit Practice</w:t>
      </w:r>
    </w:p>
    <w:p w14:paraId="2A9A75FF" w14:textId="77777777" w:rsidR="003D06FE" w:rsidRPr="003D06FE" w:rsidRDefault="003D06FE" w:rsidP="003D06FE">
      <w:pPr>
        <w:rPr>
          <w:b/>
          <w:bCs/>
          <w:color w:val="1F3864" w:themeColor="accent5" w:themeShade="80"/>
        </w:rPr>
      </w:pPr>
    </w:p>
    <w:p w14:paraId="3E1D26CD" w14:textId="77777777" w:rsidR="003D06FE" w:rsidRPr="003D06FE" w:rsidRDefault="003D06FE" w:rsidP="003D06FE">
      <w:r w:rsidRPr="003D06FE">
        <w:t>The Chief Finance Officer is responsible for the other information. The other information comprises the information included in the Statement of Accounts, other than the Chief Constable’s financial statements and our auditor’s report thereon. Because of the significance of the matters described in the basis for disclaimer of opinion section of our report, we have been unable to form an opinion, whether based on the work undertaken in the course of the audit of the financial statements and our knowledge of the Chief Constable gained through our work in relation to the Chief Constable’s arrangements for securing economy, efficiency and effectiveness in its use of resources, whether the other information published together with the financial statements in the Statement of Accounts for the financial year for which the financial</w:t>
      </w:r>
    </w:p>
    <w:p w14:paraId="660A7BB8" w14:textId="77777777" w:rsidR="003D06FE" w:rsidRDefault="003D06FE" w:rsidP="003D06FE">
      <w:r w:rsidRPr="003D06FE">
        <w:t>statements are prepared is consistent with the financial statements.</w:t>
      </w:r>
    </w:p>
    <w:p w14:paraId="1BE197FA" w14:textId="77777777" w:rsidR="003D06FE" w:rsidRDefault="003D06FE" w:rsidP="003D06FE"/>
    <w:p w14:paraId="7A171203" w14:textId="3B392F8A" w:rsidR="003D06FE" w:rsidRDefault="003D06FE" w:rsidP="003D06FE">
      <w:pPr>
        <w:rPr>
          <w:b/>
          <w:bCs/>
        </w:rPr>
      </w:pPr>
      <w:r w:rsidRPr="003D06FE">
        <w:rPr>
          <w:b/>
          <w:bCs/>
          <w:color w:val="1F3864" w:themeColor="accent5" w:themeShade="80"/>
        </w:rPr>
        <w:t>Matters on which we are required to report by exception</w:t>
      </w:r>
    </w:p>
    <w:p w14:paraId="2F400210" w14:textId="77777777" w:rsidR="003D06FE" w:rsidRPr="003D06FE" w:rsidRDefault="003D06FE" w:rsidP="003D06FE">
      <w:pPr>
        <w:rPr>
          <w:b/>
          <w:bCs/>
        </w:rPr>
      </w:pPr>
    </w:p>
    <w:p w14:paraId="621AE4F0" w14:textId="77777777" w:rsidR="003D06FE" w:rsidRPr="003D06FE" w:rsidRDefault="003D06FE" w:rsidP="003D06FE">
      <w:r w:rsidRPr="003D06FE">
        <w:t>Under the Code of Audit Practice, we are required to report to you if:</w:t>
      </w:r>
    </w:p>
    <w:p w14:paraId="3CCDC219" w14:textId="77777777" w:rsidR="003D06FE" w:rsidRPr="003D06FE" w:rsidRDefault="003D06FE" w:rsidP="002C018B">
      <w:pPr>
        <w:numPr>
          <w:ilvl w:val="0"/>
          <w:numId w:val="11"/>
        </w:numPr>
      </w:pPr>
      <w:r w:rsidRPr="003D06FE">
        <w:t>we issue a report in the public interest under section 24 of the Local Audit and Accountability Act 2014 in the course of, or at the conclusion of the audit; or</w:t>
      </w:r>
    </w:p>
    <w:p w14:paraId="3C9C1D09" w14:textId="77777777" w:rsidR="003D06FE" w:rsidRPr="003D06FE" w:rsidRDefault="003D06FE" w:rsidP="002C018B">
      <w:pPr>
        <w:numPr>
          <w:ilvl w:val="0"/>
          <w:numId w:val="11"/>
        </w:numPr>
      </w:pPr>
      <w:r w:rsidRPr="003D06FE">
        <w:t>we make a written recommendation to the Chief Constable under section 24 of the Local Audit and Accountability Act 2014 in the course of, or at the conclusion of the audit; or</w:t>
      </w:r>
    </w:p>
    <w:p w14:paraId="4C12C7F2" w14:textId="77777777" w:rsidR="003D06FE" w:rsidRPr="003D06FE" w:rsidRDefault="003D06FE" w:rsidP="002C018B">
      <w:pPr>
        <w:numPr>
          <w:ilvl w:val="0"/>
          <w:numId w:val="11"/>
        </w:numPr>
      </w:pPr>
      <w:r w:rsidRPr="003D06FE">
        <w:t>we make an application to the court for a declaration that an item of account is contrary to law under Section 28 of the Local Audit and Accountability Act 2014 in the course of, or at the conclusion of the audit; or;</w:t>
      </w:r>
    </w:p>
    <w:p w14:paraId="078D7B6A" w14:textId="77777777" w:rsidR="003D06FE" w:rsidRPr="003D06FE" w:rsidRDefault="003D06FE" w:rsidP="002C018B">
      <w:pPr>
        <w:numPr>
          <w:ilvl w:val="0"/>
          <w:numId w:val="11"/>
        </w:numPr>
      </w:pPr>
      <w:r w:rsidRPr="003D06FE">
        <w:t>we issue an advisory notice under Section 29 of the Local Audit and Accountability Act 2014 in the course of, or at the conclusion of the audit; or</w:t>
      </w:r>
    </w:p>
    <w:p w14:paraId="59C44595" w14:textId="77777777" w:rsidR="003D06FE" w:rsidRPr="003D06FE" w:rsidRDefault="003D06FE" w:rsidP="002C018B">
      <w:pPr>
        <w:numPr>
          <w:ilvl w:val="0"/>
          <w:numId w:val="11"/>
        </w:numPr>
      </w:pPr>
      <w:r w:rsidRPr="003D06FE">
        <w:t>we make an application for judicial review under Section 31 of the Local Audit and Accountability Act 2014, in the course of, or at the conclusion of the audit.</w:t>
      </w:r>
    </w:p>
    <w:p w14:paraId="59AE482F" w14:textId="77777777" w:rsidR="003D06FE" w:rsidRPr="003D06FE" w:rsidRDefault="003D06FE" w:rsidP="003D06FE">
      <w:r w:rsidRPr="003D06FE">
        <w:t>We have nothing to report in respect of the above matters.</w:t>
      </w:r>
    </w:p>
    <w:p w14:paraId="0E1411DD" w14:textId="77777777" w:rsidR="003D06FE" w:rsidRPr="003D06FE" w:rsidRDefault="003D06FE" w:rsidP="003D06FE"/>
    <w:p w14:paraId="32FDF625" w14:textId="77777777" w:rsidR="003D06FE" w:rsidRDefault="003D06FE" w:rsidP="003D06FE">
      <w:pPr>
        <w:rPr>
          <w:b/>
          <w:bCs/>
        </w:rPr>
      </w:pPr>
      <w:r w:rsidRPr="003D06FE">
        <w:rPr>
          <w:b/>
          <w:bCs/>
          <w:color w:val="1F3864" w:themeColor="accent5" w:themeShade="80"/>
        </w:rPr>
        <w:t>Responsibilities of the Chief Constable and the Chief Finance Officer</w:t>
      </w:r>
    </w:p>
    <w:p w14:paraId="0B3B538D" w14:textId="77777777" w:rsidR="003D06FE" w:rsidRPr="003D06FE" w:rsidRDefault="003D06FE" w:rsidP="003D06FE">
      <w:pPr>
        <w:rPr>
          <w:b/>
          <w:bCs/>
        </w:rPr>
      </w:pPr>
    </w:p>
    <w:p w14:paraId="53D8BF62" w14:textId="77777777" w:rsidR="003D06FE" w:rsidRPr="003D06FE" w:rsidRDefault="003D06FE" w:rsidP="003D06FE">
      <w:r w:rsidRPr="003D06FE">
        <w:t>As explained more fully in the Statement of Responsibilities, the Chief Constable is required to make arrangements for the proper administration of its financial affairs and to secure that one of its officers has the responsibility for the administration of those affairs. That officer is the Chief Finance Officer. The Chief Finance Officer is responsible for the preparation of the Statement of Accounts, which includes the financial statements, in accordance with proper practices as set out in the CIPFA/LASAAC Code of Practice on Local Authority Accounting in the United Kingdom 2023/24, for being satisfied that they give a true and fair view, and for such internal control as the Chief Finance Officer determines is necessary to enable the preparation of financial statements that are free from material misstatement, whether due to fraud or error.</w:t>
      </w:r>
    </w:p>
    <w:p w14:paraId="3D32F98E" w14:textId="77777777" w:rsidR="003D06FE" w:rsidRPr="003D06FE" w:rsidRDefault="003D06FE" w:rsidP="003D06FE">
      <w:r w:rsidRPr="003D06FE">
        <w:t>In preparing the financial statements, the Chief Finance Officer is responsible for assessing the Chief Constable’s ability to continue as a going concern, disclosing, as applicable, matters related to going concern and using the going concern basis of accounting unless they have been informed by the relevant national body of the intention to dissolve the Chief Constable without the transfer of its services to another public sector entity.</w:t>
      </w:r>
    </w:p>
    <w:p w14:paraId="679C8617" w14:textId="77777777" w:rsidR="003D06FE" w:rsidRPr="003D06FE" w:rsidRDefault="003D06FE" w:rsidP="003D06FE"/>
    <w:p w14:paraId="7AD10176" w14:textId="77777777" w:rsidR="003D06FE" w:rsidRDefault="003D06FE" w:rsidP="003D06FE">
      <w:pPr>
        <w:rPr>
          <w:b/>
          <w:bCs/>
        </w:rPr>
      </w:pPr>
      <w:r w:rsidRPr="003D06FE">
        <w:rPr>
          <w:b/>
          <w:bCs/>
          <w:color w:val="1F3864" w:themeColor="accent5" w:themeShade="80"/>
        </w:rPr>
        <w:t>Auditor’s responsibilities for the audit of the financial statements</w:t>
      </w:r>
    </w:p>
    <w:p w14:paraId="07998A22" w14:textId="77777777" w:rsidR="003D06FE" w:rsidRPr="003D06FE" w:rsidRDefault="003D06FE" w:rsidP="003D06FE">
      <w:pPr>
        <w:rPr>
          <w:b/>
          <w:bCs/>
        </w:rPr>
      </w:pPr>
    </w:p>
    <w:p w14:paraId="3F31F54B" w14:textId="77777777" w:rsidR="003D06FE" w:rsidRPr="003D06FE" w:rsidRDefault="003D06FE" w:rsidP="003D06FE">
      <w:r w:rsidRPr="003D06FE">
        <w:t>Our responsibility is to conduct an audit of the Chief Constable’s financial statements in accordance with International Standards on Auditing (UK) and to issue an auditor’s report. However, because of the matters described in the basis for disclaimer of opinion section of our report, we were not able to obtain sufficient appropriate audit evidence to provide a basis for an audit opinion on those financial statements.</w:t>
      </w:r>
    </w:p>
    <w:p w14:paraId="7A9C0799" w14:textId="77777777" w:rsidR="003D06FE" w:rsidRPr="003D06FE" w:rsidRDefault="003D06FE" w:rsidP="003D06FE">
      <w:r w:rsidRPr="003D06FE">
        <w:t>We are independent of the Chief Constable in accordance with the ethical requirements that are relevant to our audit of the financial statements in the UK, including the FRC’s Ethical Standard, and we have fulfilled our other ethical responsibilities in accordance with these requirements.</w:t>
      </w:r>
    </w:p>
    <w:p w14:paraId="4EDC721D" w14:textId="77777777" w:rsidR="003D06FE" w:rsidRDefault="003D06FE" w:rsidP="003D06FE"/>
    <w:p w14:paraId="7A12B459" w14:textId="77777777" w:rsidR="003D06FE" w:rsidRPr="002C018B" w:rsidRDefault="003D06FE" w:rsidP="003D06FE">
      <w:pPr>
        <w:rPr>
          <w:b/>
          <w:bCs/>
          <w:color w:val="1F3864" w:themeColor="accent5" w:themeShade="80"/>
        </w:rPr>
      </w:pPr>
      <w:r w:rsidRPr="003D06FE">
        <w:rPr>
          <w:b/>
          <w:bCs/>
          <w:color w:val="1F3864" w:themeColor="accent5" w:themeShade="80"/>
        </w:rPr>
        <w:t>Explanation as to what extent the audit was considered capable of detecting irregularities, including fraud</w:t>
      </w:r>
    </w:p>
    <w:p w14:paraId="21A52007" w14:textId="77777777" w:rsidR="003D06FE" w:rsidRPr="003D06FE" w:rsidRDefault="003D06FE" w:rsidP="003D06FE">
      <w:pPr>
        <w:rPr>
          <w:b/>
          <w:bCs/>
        </w:rPr>
      </w:pPr>
    </w:p>
    <w:p w14:paraId="3A9DB72A" w14:textId="77777777" w:rsidR="003D06FE" w:rsidRPr="003D06FE" w:rsidRDefault="003D06FE" w:rsidP="003D06FE">
      <w:r w:rsidRPr="003D06FE">
        <w:t>Irregularities, including fraud, are instances of non-compliance with laws and regulations. We design procedures in line with our responsibilities, outlined above, to detect material misstatements in respect of irregularities, including fraud.</w:t>
      </w:r>
    </w:p>
    <w:p w14:paraId="4F889169" w14:textId="77777777" w:rsidR="003D06FE" w:rsidRPr="003D06FE" w:rsidRDefault="003D06FE" w:rsidP="003D06FE">
      <w:r w:rsidRPr="003D06FE">
        <w:t>Owing to the inherent limitations of an audit, there is an unavoidable risk that material misstatements in the financial statements may not be detected, even though the audit is properly planned and performed in accordance with the ISAs (UK).</w:t>
      </w:r>
    </w:p>
    <w:p w14:paraId="453F4A1A" w14:textId="77777777" w:rsidR="003D06FE" w:rsidRPr="003D06FE" w:rsidRDefault="003D06FE" w:rsidP="003D06FE">
      <w:r w:rsidRPr="003D06FE">
        <w:t>The audit was defective in its ability to detect irregularities, including fraud, on the basis that we were unable to obtain sufficient appropriate audit evidence due to the matters described in the basis for disclaimer of opinion section of our report.</w:t>
      </w:r>
    </w:p>
    <w:p w14:paraId="31759C14" w14:textId="77777777" w:rsidR="003D06FE" w:rsidRDefault="003D06FE" w:rsidP="003D06FE">
      <w:pPr>
        <w:rPr>
          <w:b/>
          <w:bCs/>
        </w:rPr>
      </w:pPr>
    </w:p>
    <w:p w14:paraId="101D4E7D" w14:textId="56CA7EF7" w:rsidR="003D06FE" w:rsidRPr="002C018B" w:rsidRDefault="003D06FE" w:rsidP="003D06FE">
      <w:pPr>
        <w:rPr>
          <w:b/>
          <w:bCs/>
          <w:color w:val="1F3864" w:themeColor="accent5" w:themeShade="80"/>
        </w:rPr>
      </w:pPr>
      <w:r w:rsidRPr="003D06FE">
        <w:rPr>
          <w:b/>
          <w:bCs/>
          <w:color w:val="1F3864" w:themeColor="accent5" w:themeShade="80"/>
        </w:rPr>
        <w:t>Report on other legal and regulatory requirements – the Chief Constable’s arrangements for securing economy, efficiency and effectiveness in its use of resources</w:t>
      </w:r>
    </w:p>
    <w:p w14:paraId="15BA6209" w14:textId="77777777" w:rsidR="003D06FE" w:rsidRPr="003D06FE" w:rsidRDefault="003D06FE" w:rsidP="003D06FE">
      <w:pPr>
        <w:rPr>
          <w:b/>
          <w:bCs/>
          <w:color w:val="1F3864" w:themeColor="accent5" w:themeShade="80"/>
        </w:rPr>
      </w:pPr>
    </w:p>
    <w:p w14:paraId="4F58DC6A" w14:textId="77777777" w:rsidR="003D06FE" w:rsidRPr="002C018B" w:rsidRDefault="003D06FE" w:rsidP="003D06FE">
      <w:pPr>
        <w:rPr>
          <w:b/>
          <w:bCs/>
          <w:color w:val="1F3864" w:themeColor="accent5" w:themeShade="80"/>
        </w:rPr>
      </w:pPr>
      <w:r w:rsidRPr="003D06FE">
        <w:rPr>
          <w:b/>
          <w:bCs/>
          <w:color w:val="1F3864" w:themeColor="accent5" w:themeShade="80"/>
        </w:rPr>
        <w:t>Matter on which we are required to report by exception – the Chief Constable’s arrangements for securing economy, efficiency and effectiveness in its use of resources</w:t>
      </w:r>
    </w:p>
    <w:p w14:paraId="4BFF0798" w14:textId="77777777" w:rsidR="003D06FE" w:rsidRPr="003D06FE" w:rsidRDefault="003D06FE" w:rsidP="003D06FE">
      <w:pPr>
        <w:rPr>
          <w:b/>
          <w:bCs/>
        </w:rPr>
      </w:pPr>
    </w:p>
    <w:p w14:paraId="1F0CA188" w14:textId="77777777" w:rsidR="003D06FE" w:rsidRPr="003D06FE" w:rsidRDefault="003D06FE" w:rsidP="003D06FE">
      <w:r w:rsidRPr="003D06FE">
        <w:t>Under the Code of Audit Practice, we are required to report to you if, in our opinion, we have not been able to satisfy ourselves that the Chief Constable has made proper arrangements for securing economy, efficiency and effectiveness in its use of resources for the year ended 31 March 2024.</w:t>
      </w:r>
    </w:p>
    <w:p w14:paraId="429D9BC6" w14:textId="77777777" w:rsidR="003D06FE" w:rsidRPr="003D06FE" w:rsidRDefault="003D06FE" w:rsidP="003D06FE">
      <w:r w:rsidRPr="003D06FE">
        <w:t>We have nothing to report in respect of the above matter.</w:t>
      </w:r>
    </w:p>
    <w:p w14:paraId="336DCBB4" w14:textId="77777777" w:rsidR="003D06FE" w:rsidRPr="003D06FE" w:rsidRDefault="003D06FE" w:rsidP="003D06FE"/>
    <w:p w14:paraId="162C8AE4" w14:textId="77777777" w:rsidR="003D06FE" w:rsidRPr="002C018B" w:rsidRDefault="003D06FE" w:rsidP="003D06FE">
      <w:pPr>
        <w:rPr>
          <w:b/>
          <w:bCs/>
          <w:color w:val="1F3864" w:themeColor="accent5" w:themeShade="80"/>
        </w:rPr>
      </w:pPr>
      <w:r w:rsidRPr="003D06FE">
        <w:rPr>
          <w:b/>
          <w:bCs/>
          <w:color w:val="1F3864" w:themeColor="accent5" w:themeShade="80"/>
        </w:rPr>
        <w:t>Responsibilities of the Chief Constable</w:t>
      </w:r>
    </w:p>
    <w:p w14:paraId="6DC107F2" w14:textId="77777777" w:rsidR="003D06FE" w:rsidRPr="003D06FE" w:rsidRDefault="003D06FE" w:rsidP="003D06FE">
      <w:pPr>
        <w:rPr>
          <w:b/>
          <w:bCs/>
        </w:rPr>
      </w:pPr>
    </w:p>
    <w:p w14:paraId="45D8FFC8" w14:textId="77777777" w:rsidR="003D06FE" w:rsidRPr="003D06FE" w:rsidRDefault="003D06FE" w:rsidP="003D06FE">
      <w:r w:rsidRPr="003D06FE">
        <w:t>The Chief Constable is responsible for putting in place proper arrangements for securing economy, efficiency and effectiveness in its use of resources.</w:t>
      </w:r>
    </w:p>
    <w:p w14:paraId="30D962EA" w14:textId="77777777" w:rsidR="003D06FE" w:rsidRPr="003D06FE" w:rsidRDefault="003D06FE" w:rsidP="003D06FE"/>
    <w:p w14:paraId="1EB47AE2" w14:textId="77777777" w:rsidR="003D06FE" w:rsidRPr="002C018B" w:rsidRDefault="003D06FE" w:rsidP="003D06FE">
      <w:pPr>
        <w:rPr>
          <w:b/>
          <w:bCs/>
          <w:color w:val="1F3864" w:themeColor="accent5" w:themeShade="80"/>
        </w:rPr>
      </w:pPr>
      <w:r w:rsidRPr="003D06FE">
        <w:rPr>
          <w:b/>
          <w:bCs/>
          <w:color w:val="1F3864" w:themeColor="accent5" w:themeShade="80"/>
        </w:rPr>
        <w:t>Auditor’s responsibilities for the review of the Chief Constable’s arrangements for securing economy, efficiency and effectiveness in its use of resources</w:t>
      </w:r>
    </w:p>
    <w:p w14:paraId="32025814" w14:textId="77777777" w:rsidR="003D06FE" w:rsidRPr="003D06FE" w:rsidRDefault="003D06FE" w:rsidP="003D06FE">
      <w:pPr>
        <w:rPr>
          <w:b/>
          <w:bCs/>
        </w:rPr>
      </w:pPr>
    </w:p>
    <w:p w14:paraId="0CDAFBB5" w14:textId="77777777" w:rsidR="003D06FE" w:rsidRPr="003D06FE" w:rsidRDefault="003D06FE" w:rsidP="003D06FE">
      <w:r w:rsidRPr="003D06FE">
        <w:t>We are required under Section 20(1)(c) of the Local Audit and Accountability Act 2014 to be satisfied that the Chief Constable has made proper arrangements for securing economy, efficiency and effectiveness in its use of resources. We are not required to consider, nor have we considered, whether all aspects of the Chief Constable's arrangements for securing economy, efficiency and effectiveness in its use of resources are operating effectively.</w:t>
      </w:r>
    </w:p>
    <w:p w14:paraId="47F70CCB" w14:textId="77777777" w:rsidR="003D06FE" w:rsidRPr="003D06FE" w:rsidRDefault="003D06FE" w:rsidP="003D06FE">
      <w:r w:rsidRPr="003D06FE">
        <w:t>We undertake our review in accordance with the Code of Audit Practice, having regard to the guidance issued by the Comptroller and Auditor General in November 2024. This guidance sets out the arrangements that fall within the scope of ‘proper arrangements’. When reporting on these arrangements, the Code of Audit Practice requires auditors to structure their commentary on arrangements under three specified reporting criteria:</w:t>
      </w:r>
    </w:p>
    <w:p w14:paraId="6BB2B0DE" w14:textId="77777777" w:rsidR="003D06FE" w:rsidRPr="003D06FE" w:rsidRDefault="003D06FE" w:rsidP="002C018B">
      <w:pPr>
        <w:numPr>
          <w:ilvl w:val="0"/>
          <w:numId w:val="10"/>
        </w:numPr>
      </w:pPr>
      <w:r w:rsidRPr="003D06FE">
        <w:lastRenderedPageBreak/>
        <w:t>Financial sustainability: how the Chief Constable plans and manages its resources to ensure it can continue to deliver its services;</w:t>
      </w:r>
    </w:p>
    <w:p w14:paraId="41382EC8" w14:textId="77777777" w:rsidR="003D06FE" w:rsidRPr="003D06FE" w:rsidRDefault="003D06FE" w:rsidP="002C018B">
      <w:pPr>
        <w:numPr>
          <w:ilvl w:val="0"/>
          <w:numId w:val="10"/>
        </w:numPr>
      </w:pPr>
      <w:r w:rsidRPr="003D06FE">
        <w:t>Governance: how the Chief Constable ensures that it makes informed decisions and properly manages its risks; and</w:t>
      </w:r>
    </w:p>
    <w:p w14:paraId="23678B7F" w14:textId="77777777" w:rsidR="003D06FE" w:rsidRPr="003D06FE" w:rsidRDefault="003D06FE" w:rsidP="002C018B">
      <w:pPr>
        <w:numPr>
          <w:ilvl w:val="0"/>
          <w:numId w:val="10"/>
        </w:numPr>
      </w:pPr>
      <w:r w:rsidRPr="003D06FE">
        <w:t>Improving economy, efficiency and effectiveness: how the Chief Constable uses information about its costs and performance to improve the way it manages and delivers its services.</w:t>
      </w:r>
    </w:p>
    <w:p w14:paraId="565F3CA2" w14:textId="77777777" w:rsidR="003D06FE" w:rsidRPr="003D06FE" w:rsidRDefault="003D06FE" w:rsidP="003D06FE">
      <w:r w:rsidRPr="003D06FE">
        <w:t>We document our understanding of the arrangements the Chief Constable has in place for each of these three specified reporting criteria, gathering sufficient evidence to support our risk assessment and commentary in our Auditor’s Annual Report. In undertaking our work, we consider whether there is evidence to suggest that there are significant weaknesses in arrangements.</w:t>
      </w:r>
    </w:p>
    <w:p w14:paraId="1EA60738" w14:textId="77777777" w:rsidR="003D06FE" w:rsidRPr="003D06FE" w:rsidRDefault="003D06FE" w:rsidP="003D06FE"/>
    <w:p w14:paraId="626FA631" w14:textId="77777777" w:rsidR="003D06FE" w:rsidRPr="002C018B" w:rsidRDefault="003D06FE" w:rsidP="003D06FE">
      <w:pPr>
        <w:rPr>
          <w:b/>
          <w:bCs/>
          <w:color w:val="1F3864" w:themeColor="accent5" w:themeShade="80"/>
        </w:rPr>
      </w:pPr>
      <w:r w:rsidRPr="003D06FE">
        <w:rPr>
          <w:b/>
          <w:bCs/>
          <w:color w:val="1F3864" w:themeColor="accent5" w:themeShade="80"/>
        </w:rPr>
        <w:t>Report on other legal and regulatory requirements – Delay in certification of completion of the audit</w:t>
      </w:r>
    </w:p>
    <w:p w14:paraId="71A9A109" w14:textId="77777777" w:rsidR="003D06FE" w:rsidRPr="003D06FE" w:rsidRDefault="003D06FE" w:rsidP="003D06FE">
      <w:pPr>
        <w:rPr>
          <w:b/>
          <w:bCs/>
        </w:rPr>
      </w:pPr>
    </w:p>
    <w:p w14:paraId="70477E23" w14:textId="77777777" w:rsidR="003D06FE" w:rsidRPr="003D06FE" w:rsidRDefault="003D06FE" w:rsidP="003D06FE">
      <w:r w:rsidRPr="003D06FE">
        <w:t>We cannot formally conclude the audit and issue an audit certificate for the Chief Constable for Northamptonshire for the year ended 31 March 2024 in accordance with the requirements of the Local Audit and Accountability Act 2014 and the Code of Audit Practice until we have completed the work necessary in relation to consolidation returns, including Whole of Government Accounts (WGA), and the National Audit Office has concluded their work in respect of WGA for the year ended 31 March 2024. We are satisfied that this work does not have a material effect on the financial statements for the year ended 31 March 2024.</w:t>
      </w:r>
    </w:p>
    <w:p w14:paraId="01BF0AD7" w14:textId="77777777" w:rsidR="003D06FE" w:rsidRPr="003D06FE" w:rsidRDefault="003D06FE" w:rsidP="003D06FE"/>
    <w:p w14:paraId="190F92FB" w14:textId="77777777" w:rsidR="003D06FE" w:rsidRPr="002C018B" w:rsidRDefault="003D06FE" w:rsidP="003D06FE">
      <w:pPr>
        <w:rPr>
          <w:b/>
          <w:bCs/>
          <w:color w:val="1F3864" w:themeColor="accent5" w:themeShade="80"/>
        </w:rPr>
      </w:pPr>
      <w:r w:rsidRPr="003D06FE">
        <w:rPr>
          <w:b/>
          <w:bCs/>
          <w:color w:val="1F3864" w:themeColor="accent5" w:themeShade="80"/>
        </w:rPr>
        <w:t>Use of our report</w:t>
      </w:r>
    </w:p>
    <w:p w14:paraId="2A6F4815" w14:textId="77777777" w:rsidR="003D06FE" w:rsidRPr="003D06FE" w:rsidRDefault="003D06FE" w:rsidP="003D06FE">
      <w:pPr>
        <w:rPr>
          <w:b/>
          <w:bCs/>
        </w:rPr>
      </w:pPr>
    </w:p>
    <w:p w14:paraId="1C823D34" w14:textId="4343C7C4" w:rsidR="003D06FE" w:rsidRDefault="003D06FE" w:rsidP="003D06FE">
      <w:r w:rsidRPr="003D06FE">
        <w:t>This report is made solely to the Chief Constable, as a body, in accordance with Part 5 of the Local Audit and Accountability Act 2014 and as set out in paragraph 85 of the Statement of Responsibilities of Auditors and Audited Bodies published by Public Sector Audit Appointments Limited. Our audit work has been undertaken so that we might state to the Chief Constable those matters we are required to state to the Chief Constable in an auditor's report and for n</w:t>
      </w:r>
      <w:r>
        <w:t xml:space="preserve">o </w:t>
      </w:r>
      <w:r w:rsidRPr="003D06FE">
        <w:t>other purpose. To the fullest extent permitted by law, we do not accept or assume responsibility to anyone other than the Chief Constable as a body, for our audit work, for this report, or for the opinions we have formed.</w:t>
      </w:r>
    </w:p>
    <w:p w14:paraId="77A68D77" w14:textId="225F4E24" w:rsidR="003D06FE" w:rsidRPr="003D06FE" w:rsidRDefault="003D06FE" w:rsidP="003D06FE"/>
    <w:p w14:paraId="4B72A45E" w14:textId="5957C409" w:rsidR="003D06FE" w:rsidRPr="003D06FE" w:rsidRDefault="003D06FE" w:rsidP="003D06FE">
      <w:pPr>
        <w:rPr>
          <w:b/>
          <w:bCs/>
          <w:i/>
          <w:iCs/>
          <w:color w:val="1F3864" w:themeColor="accent5" w:themeShade="80"/>
        </w:rPr>
      </w:pPr>
      <w:r w:rsidRPr="003D06FE">
        <w:rPr>
          <w:b/>
          <w:bCs/>
          <w:i/>
          <w:iCs/>
          <w:color w:val="1F3864" w:themeColor="accent5" w:themeShade="80"/>
        </w:rPr>
        <w:t>Laurelin Griffiths</w:t>
      </w:r>
    </w:p>
    <w:p w14:paraId="081897FF" w14:textId="77777777" w:rsidR="003D06FE" w:rsidRPr="003D06FE" w:rsidRDefault="003D06FE" w:rsidP="003D06FE">
      <w:pPr>
        <w:rPr>
          <w:b/>
          <w:bCs/>
          <w:i/>
          <w:iCs/>
        </w:rPr>
      </w:pPr>
    </w:p>
    <w:p w14:paraId="328BD00E" w14:textId="77777777" w:rsidR="003D06FE" w:rsidRPr="003D06FE" w:rsidRDefault="003D06FE" w:rsidP="003D06FE">
      <w:r w:rsidRPr="003D06FE">
        <w:t>Laurelin Griffiths, Key Audit Partner</w:t>
      </w:r>
    </w:p>
    <w:p w14:paraId="38B96854" w14:textId="77777777" w:rsidR="003D06FE" w:rsidRPr="003D06FE" w:rsidRDefault="003D06FE" w:rsidP="003D06FE">
      <w:r w:rsidRPr="003D06FE">
        <w:t>for and on behalf of Grant Thornton UK LLP, Local Auditor</w:t>
      </w:r>
    </w:p>
    <w:p w14:paraId="3BE41DAE" w14:textId="77777777" w:rsidR="003D06FE" w:rsidRPr="003D06FE" w:rsidRDefault="003D06FE" w:rsidP="003D06FE">
      <w:r w:rsidRPr="003D06FE">
        <w:t>Birmingham</w:t>
      </w:r>
    </w:p>
    <w:p w14:paraId="39537AC5" w14:textId="77777777" w:rsidR="003D06FE" w:rsidRPr="003D06FE" w:rsidRDefault="003D06FE" w:rsidP="003D06FE">
      <w:r w:rsidRPr="003D06FE">
        <w:t>27 February 2025</w:t>
      </w:r>
    </w:p>
    <w:p w14:paraId="2E490E74" w14:textId="0FACD2D0" w:rsidR="006413E1" w:rsidRDefault="006413E1" w:rsidP="00051975"/>
    <w:p w14:paraId="74202E94" w14:textId="11A7ECBD" w:rsidR="00557A65" w:rsidRDefault="00557A65" w:rsidP="00051975"/>
    <w:p w14:paraId="6B3D7462" w14:textId="5E793BD7" w:rsidR="00470014" w:rsidRDefault="00470014" w:rsidP="00470014">
      <w:pPr>
        <w:pStyle w:val="Footer"/>
      </w:pPr>
    </w:p>
    <w:p w14:paraId="7231C3A2" w14:textId="7A2B07CC" w:rsidR="00557A65" w:rsidRDefault="00557A65" w:rsidP="00051975"/>
    <w:p w14:paraId="5FD71751" w14:textId="3B8A636C" w:rsidR="00557A65" w:rsidRDefault="00557A65" w:rsidP="00051975"/>
    <w:p w14:paraId="5F10694D" w14:textId="37DB2991" w:rsidR="00557A65" w:rsidRDefault="00557A65" w:rsidP="00051975"/>
    <w:p w14:paraId="2EC76FB2" w14:textId="1944FC14" w:rsidR="00557A65" w:rsidRDefault="00557A65" w:rsidP="00051975"/>
    <w:p w14:paraId="1FB5C47A" w14:textId="77777777" w:rsidR="003D06FE" w:rsidRDefault="003D06FE" w:rsidP="00051975"/>
    <w:p w14:paraId="6264336B" w14:textId="77777777" w:rsidR="003D06FE" w:rsidRDefault="003D06FE" w:rsidP="00051975"/>
    <w:p w14:paraId="1C201B9C" w14:textId="1C01CB3A" w:rsidR="00557A65" w:rsidRDefault="00557A65" w:rsidP="00051975"/>
    <w:p w14:paraId="43E790D5" w14:textId="03CD0507" w:rsidR="00557A65" w:rsidRDefault="00557A65" w:rsidP="00051975"/>
    <w:p w14:paraId="58013CA2" w14:textId="5C11D09C" w:rsidR="00557A65" w:rsidRDefault="00557A65" w:rsidP="00051975"/>
    <w:p w14:paraId="41154F0F" w14:textId="3758BBDC" w:rsidR="00557A65" w:rsidRDefault="00557A65" w:rsidP="00051975"/>
    <w:p w14:paraId="72CE0AC2" w14:textId="657FBA39" w:rsidR="00557A65" w:rsidRDefault="00557A65" w:rsidP="00051975"/>
    <w:p w14:paraId="7017FF63" w14:textId="63C271E0" w:rsidR="00557A65" w:rsidRDefault="00557A65" w:rsidP="00051975"/>
    <w:p w14:paraId="0C934BE6" w14:textId="76B4F1C1" w:rsidR="00557A65" w:rsidRDefault="00557A65" w:rsidP="00051975"/>
    <w:p w14:paraId="0DBA308A" w14:textId="14CED3D5" w:rsidR="00557A65" w:rsidRDefault="00557A65" w:rsidP="00051975"/>
    <w:p w14:paraId="78C86E24" w14:textId="71348F3A" w:rsidR="00557A65" w:rsidRDefault="00557A65" w:rsidP="00051975"/>
    <w:p w14:paraId="0AA0DEC5" w14:textId="1BE23172" w:rsidR="00557A65" w:rsidRDefault="00557A65" w:rsidP="00051975"/>
    <w:p w14:paraId="7AD628C3" w14:textId="1BCD4DF5" w:rsidR="00557A65" w:rsidRDefault="00557A65" w:rsidP="00051975"/>
    <w:p w14:paraId="21CB08B7" w14:textId="400DC353" w:rsidR="00557A65" w:rsidRDefault="00557A65" w:rsidP="00051975"/>
    <w:p w14:paraId="565C0963" w14:textId="5FA5BBE2" w:rsidR="00557A65" w:rsidRDefault="00557A65" w:rsidP="00051975"/>
    <w:p w14:paraId="07503DB2" w14:textId="3A41E516" w:rsidR="00557A65" w:rsidRDefault="00557A65" w:rsidP="00051975"/>
    <w:p w14:paraId="4C72B53A" w14:textId="748F886C" w:rsidR="00557A65" w:rsidRDefault="00557A65" w:rsidP="00051975"/>
    <w:p w14:paraId="660D515B" w14:textId="5B8F08AC" w:rsidR="00557A65" w:rsidRDefault="000C5015" w:rsidP="00051975">
      <w:r>
        <w:rPr>
          <w:noProof/>
        </w:rPr>
        <w:drawing>
          <wp:anchor distT="0" distB="0" distL="114300" distR="114300" simplePos="0" relativeHeight="251684873" behindDoc="0" locked="0" layoutInCell="1" allowOverlap="1" wp14:anchorId="11FA7C74" wp14:editId="017FE80F">
            <wp:simplePos x="0" y="0"/>
            <wp:positionH relativeFrom="page">
              <wp:align>right</wp:align>
            </wp:positionH>
            <wp:positionV relativeFrom="margin">
              <wp:posOffset>7713345</wp:posOffset>
            </wp:positionV>
            <wp:extent cx="3108960" cy="2050415"/>
            <wp:effectExtent l="0" t="0" r="0" b="698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DEC3" w14:textId="377E5FA2" w:rsidR="00557A65" w:rsidRDefault="00557A65" w:rsidP="00051975"/>
    <w:p w14:paraId="4FB47782" w14:textId="7FCDC00A" w:rsidR="00557A65" w:rsidRDefault="00557A65" w:rsidP="00051975"/>
    <w:p w14:paraId="5BA55199" w14:textId="301126DD" w:rsidR="00557A65" w:rsidRDefault="00557A65" w:rsidP="00051975"/>
    <w:p w14:paraId="37D83E0E" w14:textId="7DD15DF3" w:rsidR="00557A65" w:rsidRDefault="00557A65" w:rsidP="00051975"/>
    <w:p w14:paraId="38D35575" w14:textId="4F8FAF5D" w:rsidR="005C7F0A" w:rsidRPr="00C10B0A" w:rsidRDefault="003D06FE" w:rsidP="00C10B0A">
      <w:pPr>
        <w:spacing w:line="240" w:lineRule="auto"/>
        <w:jc w:val="left"/>
      </w:pPr>
      <w:r>
        <w:rPr>
          <w:noProof/>
        </w:rPr>
        <w:drawing>
          <wp:anchor distT="0" distB="0" distL="114300" distR="114300" simplePos="0" relativeHeight="251664393" behindDoc="0" locked="0" layoutInCell="1" allowOverlap="1" wp14:anchorId="13521698" wp14:editId="65998AE5">
            <wp:simplePos x="0" y="0"/>
            <wp:positionH relativeFrom="margin">
              <wp:posOffset>-954405</wp:posOffset>
            </wp:positionH>
            <wp:positionV relativeFrom="margin">
              <wp:posOffset>4421505</wp:posOffset>
            </wp:positionV>
            <wp:extent cx="7609840" cy="372300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sectPr w:rsidR="005C7F0A" w:rsidRPr="00C10B0A" w:rsidSect="00C10B0A">
      <w:headerReference w:type="even" r:id="rId28"/>
      <w:footerReference w:type="even" r:id="rId29"/>
      <w:headerReference w:type="first" r:id="rId30"/>
      <w:footerReference w:type="first" r:id="rId31"/>
      <w:pgSz w:w="11900" w:h="16840"/>
      <w:pgMar w:top="141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A4FD3" w14:textId="77777777" w:rsidR="00931A62" w:rsidRDefault="00931A62">
      <w:r>
        <w:separator/>
      </w:r>
    </w:p>
  </w:endnote>
  <w:endnote w:type="continuationSeparator" w:id="0">
    <w:p w14:paraId="72677AD9" w14:textId="77777777" w:rsidR="00931A62" w:rsidRDefault="00931A62">
      <w:r>
        <w:continuationSeparator/>
      </w:r>
    </w:p>
  </w:endnote>
  <w:endnote w:type="continuationNotice" w:id="1">
    <w:p w14:paraId="7A7B27E1" w14:textId="77777777" w:rsidR="00931A62" w:rsidRDefault="00931A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D167" w14:textId="7A895F14" w:rsidR="00B57879" w:rsidRPr="00B57879" w:rsidRDefault="00B57879" w:rsidP="008C2A87">
    <w:pPr>
      <w:tabs>
        <w:tab w:val="center" w:pos="4513"/>
        <w:tab w:val="right" w:pos="9026"/>
      </w:tabs>
      <w:spacing w:line="240" w:lineRule="auto"/>
      <w:rPr>
        <w:rFonts w:eastAsia="Calibri" w:cs="Times New Roman"/>
        <w:color w:val="auto"/>
        <w:sz w:val="24"/>
      </w:rPr>
    </w:pPr>
    <w:r w:rsidRPr="00B57879">
      <w:rPr>
        <w:rFonts w:eastAsia="Calibri" w:cs="Times New Roman"/>
        <w:noProof/>
        <w:color w:val="FFFFFF" w:themeColor="background1"/>
        <w:sz w:val="24"/>
      </w:rPr>
      <w:drawing>
        <wp:anchor distT="0" distB="0" distL="114300" distR="114300" simplePos="0" relativeHeight="251657216" behindDoc="0" locked="0" layoutInCell="1" allowOverlap="1" wp14:anchorId="1260107F" wp14:editId="4E5F5FE4">
          <wp:simplePos x="0" y="0"/>
          <wp:positionH relativeFrom="column">
            <wp:posOffset>3709035</wp:posOffset>
          </wp:positionH>
          <wp:positionV relativeFrom="paragraph">
            <wp:posOffset>-81915</wp:posOffset>
          </wp:positionV>
          <wp:extent cx="2138045" cy="315595"/>
          <wp:effectExtent l="0" t="0" r="0" b="0"/>
          <wp:wrapSquare wrapText="bothSides"/>
          <wp:docPr id="806011092" name="Picture 806011092" descr="Northamptonshire Police footer wit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amptonshire Police footer with badge"/>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color w:val="202348"/>
        <w:sz w:val="22"/>
        <w:szCs w:val="22"/>
      </w:rPr>
      <w:tab/>
    </w:r>
    <w:r w:rsidRPr="00B57879">
      <w:rPr>
        <w:rFonts w:eastAsia="Calibri" w:cs="Times New Roman"/>
        <w:color w:val="202348"/>
        <w:sz w:val="22"/>
        <w:szCs w:val="22"/>
      </w:rPr>
      <w:fldChar w:fldCharType="begin"/>
    </w:r>
    <w:r w:rsidRPr="00B57879">
      <w:rPr>
        <w:rFonts w:eastAsia="Calibri" w:cs="Times New Roman"/>
        <w:color w:val="202348"/>
        <w:sz w:val="22"/>
        <w:szCs w:val="22"/>
      </w:rPr>
      <w:instrText xml:space="preserve"> PAGE   \* MERGEFORMAT </w:instrText>
    </w:r>
    <w:r w:rsidRPr="00B57879">
      <w:rPr>
        <w:rFonts w:eastAsia="Calibri" w:cs="Times New Roman"/>
        <w:color w:val="202348"/>
        <w:sz w:val="22"/>
        <w:szCs w:val="22"/>
      </w:rPr>
      <w:fldChar w:fldCharType="separate"/>
    </w:r>
    <w:r w:rsidRPr="00B57879">
      <w:rPr>
        <w:rFonts w:eastAsia="Calibri" w:cs="Times New Roman"/>
        <w:noProof/>
        <w:color w:val="202348"/>
        <w:sz w:val="22"/>
        <w:szCs w:val="22"/>
      </w:rPr>
      <w:t>1</w:t>
    </w:r>
    <w:r w:rsidRPr="00B57879">
      <w:rPr>
        <w:rFonts w:eastAsia="Calibri" w:cs="Times New Roman"/>
        <w:noProof/>
        <w:color w:val="202348"/>
        <w:sz w:val="22"/>
        <w:szCs w:val="22"/>
      </w:rPr>
      <w:fldChar w:fldCharType="end"/>
    </w:r>
  </w:p>
  <w:p w14:paraId="3B60F9B9" w14:textId="0FD44594" w:rsidR="00037DF2" w:rsidRDefault="00037DF2" w:rsidP="00B57879">
    <w:pPr>
      <w:tabs>
        <w:tab w:val="center" w:pos="4513"/>
        <w:tab w:val="right" w:pos="9026"/>
      </w:tabs>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0911" w14:textId="77777777" w:rsidR="00AD4C8C" w:rsidRDefault="00AD4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2A78" w14:textId="77777777" w:rsidR="00AD4C8C" w:rsidRDefault="00AD4C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37F8" w14:textId="77777777" w:rsidR="0027013B" w:rsidRDefault="0027013B">
    <w:pPr>
      <w:pStyle w:val="Footer"/>
    </w:pPr>
  </w:p>
  <w:p w14:paraId="5BA40368" w14:textId="77777777" w:rsidR="005C68DA" w:rsidRDefault="005C68D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4B4E" w14:textId="77777777" w:rsidR="0027013B" w:rsidRDefault="00270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D9458" w14:textId="77777777" w:rsidR="00931A62" w:rsidRDefault="00931A62">
      <w:r>
        <w:separator/>
      </w:r>
    </w:p>
  </w:footnote>
  <w:footnote w:type="continuationSeparator" w:id="0">
    <w:p w14:paraId="326E1E28" w14:textId="77777777" w:rsidR="00931A62" w:rsidRDefault="00931A62">
      <w:r>
        <w:continuationSeparator/>
      </w:r>
    </w:p>
  </w:footnote>
  <w:footnote w:type="continuationNotice" w:id="1">
    <w:p w14:paraId="7F6EE46B" w14:textId="77777777" w:rsidR="00931A62" w:rsidRDefault="00931A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2E14" w14:textId="60B40ED9" w:rsidR="0027013B" w:rsidRDefault="00B57879" w:rsidP="002522D4">
    <w:pPr>
      <w:pStyle w:val="Header"/>
      <w:jc w:val="right"/>
    </w:pPr>
    <w:r w:rsidRPr="00B57879">
      <w:rPr>
        <w:noProof/>
      </w:rPr>
      <w:drawing>
        <wp:anchor distT="0" distB="0" distL="114300" distR="114300" simplePos="0" relativeHeight="251658240" behindDoc="0" locked="0" layoutInCell="1" allowOverlap="1" wp14:anchorId="76AA7724" wp14:editId="65850E5C">
          <wp:simplePos x="0" y="0"/>
          <wp:positionH relativeFrom="column">
            <wp:posOffset>5563870</wp:posOffset>
          </wp:positionH>
          <wp:positionV relativeFrom="paragraph">
            <wp:posOffset>-262255</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037365637" name="Picture 1037365637" descr="Northamptonshire Pol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rthamptonshire Police Badge"/>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27013B">
      <w:rPr>
        <w:noProof/>
        <w:lang w:eastAsia="en-GB"/>
      </w:rPr>
      <mc:AlternateContent>
        <mc:Choice Requires="wps">
          <w:drawing>
            <wp:anchor distT="0" distB="0" distL="114300" distR="114300" simplePos="0" relativeHeight="251654144" behindDoc="0" locked="0" layoutInCell="0" allowOverlap="1" wp14:anchorId="3C94892E" wp14:editId="43D8A1E3">
              <wp:simplePos x="0" y="0"/>
              <wp:positionH relativeFrom="page">
                <wp:posOffset>-11875</wp:posOffset>
              </wp:positionH>
              <wp:positionV relativeFrom="topMargin">
                <wp:posOffset>261257</wp:posOffset>
              </wp:positionV>
              <wp:extent cx="5675795" cy="427355"/>
              <wp:effectExtent l="0"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50FEE5F6" w14:textId="39C3165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45E9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5DC8F026" w14:textId="7C3152D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443841">
                            <w:rPr>
                              <w:b/>
                              <w:color w:val="FFFFFF" w:themeColor="background1"/>
                              <w14:numForm w14:val="lining"/>
                            </w:rPr>
                            <w:t>3</w:t>
                          </w:r>
                          <w:r>
                            <w:rPr>
                              <w:b/>
                              <w:color w:val="FFFFFF" w:themeColor="background1"/>
                              <w14:numForm w14:val="lining"/>
                            </w:rPr>
                            <w:t>/2</w:t>
                          </w:r>
                          <w:r w:rsidR="00443841">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C94892E" id="_x0000_t202" coordsize="21600,21600" o:spt="202" path="m,l,21600r21600,l21600,xe">
              <v:stroke joinstyle="miter"/>
              <v:path gradientshapeok="t" o:connecttype="rect"/>
            </v:shapetype>
            <v:shape id="Text Box 20" o:spid="_x0000_s1026" type="#_x0000_t202" style="position:absolute;left:0;text-align:left;margin-left:-.95pt;margin-top:20.5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I6QEAAKw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" o:allowincell="f" fillcolor="#009" stroked="f">
              <v:textbox inset=",0,,0">
                <w:txbxContent>
                  <w:p w14:paraId="50FEE5F6" w14:textId="39C3165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45E9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5DC8F026" w14:textId="7C3152D6"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443841">
                      <w:rPr>
                        <w:b/>
                        <w:color w:val="FFFFFF" w:themeColor="background1"/>
                        <w14:numForm w14:val="lining"/>
                      </w:rPr>
                      <w:t>3</w:t>
                    </w:r>
                    <w:r>
                      <w:rPr>
                        <w:b/>
                        <w:color w:val="FFFFFF" w:themeColor="background1"/>
                        <w14:numForm w14:val="lining"/>
                      </w:rPr>
                      <w:t>/2</w:t>
                    </w:r>
                    <w:r w:rsidR="00443841">
                      <w:rPr>
                        <w:b/>
                        <w:color w:val="FFFFFF" w:themeColor="background1"/>
                        <w14:numForm w14:val="lining"/>
                      </w:rPr>
                      <w:t>4</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1A6B" w14:textId="27C8AD1A" w:rsidR="009301E0" w:rsidRDefault="00B71294" w:rsidP="002522D4">
    <w:pPr>
      <w:pStyle w:val="Header"/>
      <w:jc w:val="right"/>
    </w:pPr>
    <w:r w:rsidRPr="00B57879">
      <w:rPr>
        <w:noProof/>
      </w:rPr>
      <w:drawing>
        <wp:anchor distT="0" distB="0" distL="114300" distR="114300" simplePos="0" relativeHeight="251659264" behindDoc="0" locked="0" layoutInCell="1" allowOverlap="1" wp14:anchorId="58A57D16" wp14:editId="5C649A94">
          <wp:simplePos x="0" y="0"/>
          <wp:positionH relativeFrom="column">
            <wp:posOffset>5546785</wp:posOffset>
          </wp:positionH>
          <wp:positionV relativeFrom="paragraph">
            <wp:posOffset>-268234</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395460123" name="Picture 1395460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9301E0">
      <w:rPr>
        <w:noProof/>
        <w:lang w:eastAsia="en-GB"/>
      </w:rPr>
      <mc:AlternateContent>
        <mc:Choice Requires="wps">
          <w:drawing>
            <wp:anchor distT="0" distB="0" distL="114300" distR="114300" simplePos="0" relativeHeight="251656192" behindDoc="0" locked="0" layoutInCell="0" allowOverlap="1" wp14:anchorId="39636484" wp14:editId="5867F902">
              <wp:simplePos x="0" y="0"/>
              <wp:positionH relativeFrom="page">
                <wp:posOffset>-11875</wp:posOffset>
              </wp:positionH>
              <wp:positionV relativeFrom="topMargin">
                <wp:posOffset>261257</wp:posOffset>
              </wp:positionV>
              <wp:extent cx="5675795" cy="42735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42E6DFAD" w14:textId="2E74A81B"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45E9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317B8B69"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BF5D0D">
                            <w:rPr>
                              <w:b/>
                              <w:color w:val="FFFFFF" w:themeColor="background1"/>
                              <w14:numForm w14:val="lining"/>
                            </w:rPr>
                            <w:t>3</w:t>
                          </w:r>
                          <w:r>
                            <w:rPr>
                              <w:b/>
                              <w:color w:val="FFFFFF" w:themeColor="background1"/>
                              <w14:numForm w14:val="lining"/>
                            </w:rPr>
                            <w:t>/2</w:t>
                          </w:r>
                          <w:r w:rsidR="00BF5D0D">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9636484" id="_x0000_t202" coordsize="21600,21600" o:spt="202" path="m,l,21600r21600,l21600,xe">
              <v:stroke joinstyle="miter"/>
              <v:path gradientshapeok="t" o:connecttype="rect"/>
            </v:shapetype>
            <v:shape id="Text Box 33" o:spid="_x0000_s1027" type="#_x0000_t202" style="position:absolute;left:0;text-align:left;margin-left:-.95pt;margin-top:20.55pt;width:446.9pt;height:3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67AEAALM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" o:allowincell="f" fillcolor="#009" stroked="f">
              <v:textbox inset=",0,,0">
                <w:txbxContent>
                  <w:p w14:paraId="42E6DFAD" w14:textId="2E74A81B" w:rsidR="009301E0" w:rsidRDefault="009301E0" w:rsidP="006C5958">
                    <w:pPr>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945E9C">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2E1FC139" w14:textId="317B8B69" w:rsidR="009301E0" w:rsidRPr="00D57C79" w:rsidRDefault="009301E0" w:rsidP="006C5958">
                    <w:pPr>
                      <w:ind w:left="851"/>
                      <w:rPr>
                        <w:b/>
                        <w:color w:val="FFFFFF" w:themeColor="background1"/>
                        <w14:numForm w14:val="lining"/>
                      </w:rPr>
                    </w:pPr>
                    <w:r>
                      <w:rPr>
                        <w:b/>
                        <w:color w:val="FFFFFF" w:themeColor="background1"/>
                        <w14:numForm w14:val="lining"/>
                      </w:rPr>
                      <w:t>ANNUAL STATEMENT OF ACCOUNTS – 202</w:t>
                    </w:r>
                    <w:r w:rsidR="00BF5D0D">
                      <w:rPr>
                        <w:b/>
                        <w:color w:val="FFFFFF" w:themeColor="background1"/>
                        <w14:numForm w14:val="lining"/>
                      </w:rPr>
                      <w:t>3</w:t>
                    </w:r>
                    <w:r>
                      <w:rPr>
                        <w:b/>
                        <w:color w:val="FFFFFF" w:themeColor="background1"/>
                        <w14:numForm w14:val="lining"/>
                      </w:rPr>
                      <w:t>/2</w:t>
                    </w:r>
                    <w:r w:rsidR="00BF5D0D">
                      <w:rPr>
                        <w:b/>
                        <w:color w:val="FFFFFF" w:themeColor="background1"/>
                        <w14:numForm w14:val="lining"/>
                      </w:rPr>
                      <w:t>4</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7FF1" w14:textId="77777777" w:rsidR="00AD4C8C" w:rsidRDefault="00AD4C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CCE1" w14:textId="77777777" w:rsidR="00AD4C8C" w:rsidRDefault="00AD4C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019F" w14:textId="77777777" w:rsidR="00AD4C8C" w:rsidRDefault="00AD4C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540F" w14:textId="77777777" w:rsidR="0027013B" w:rsidRDefault="0027013B">
    <w:pPr>
      <w:pStyle w:val="Header"/>
    </w:pPr>
  </w:p>
  <w:p w14:paraId="20A21B45" w14:textId="77777777" w:rsidR="005C68DA" w:rsidRDefault="005C68D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11D2" w14:textId="77777777" w:rsidR="0027013B" w:rsidRDefault="00270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83" w:hanging="284"/>
      </w:pPr>
      <w:rPr>
        <w:rFonts w:ascii="Symbol" w:hAnsi="Symbol" w:cs="Symbol"/>
        <w:b w:val="0"/>
        <w:bCs w:val="0"/>
        <w:i w:val="0"/>
        <w:iCs w:val="0"/>
        <w:spacing w:val="0"/>
        <w:w w:val="100"/>
        <w:sz w:val="18"/>
        <w:szCs w:val="18"/>
      </w:rPr>
    </w:lvl>
    <w:lvl w:ilvl="1">
      <w:numFmt w:val="bullet"/>
      <w:lvlText w:val="•"/>
      <w:lvlJc w:val="left"/>
      <w:pPr>
        <w:ind w:left="1338" w:hanging="284"/>
      </w:pPr>
    </w:lvl>
    <w:lvl w:ilvl="2">
      <w:numFmt w:val="bullet"/>
      <w:lvlText w:val="•"/>
      <w:lvlJc w:val="left"/>
      <w:pPr>
        <w:ind w:left="2297" w:hanging="284"/>
      </w:pPr>
    </w:lvl>
    <w:lvl w:ilvl="3">
      <w:numFmt w:val="bullet"/>
      <w:lvlText w:val="•"/>
      <w:lvlJc w:val="left"/>
      <w:pPr>
        <w:ind w:left="3255" w:hanging="284"/>
      </w:pPr>
    </w:lvl>
    <w:lvl w:ilvl="4">
      <w:numFmt w:val="bullet"/>
      <w:lvlText w:val="•"/>
      <w:lvlJc w:val="left"/>
      <w:pPr>
        <w:ind w:left="4214" w:hanging="284"/>
      </w:pPr>
    </w:lvl>
    <w:lvl w:ilvl="5">
      <w:numFmt w:val="bullet"/>
      <w:lvlText w:val="•"/>
      <w:lvlJc w:val="left"/>
      <w:pPr>
        <w:ind w:left="5173" w:hanging="284"/>
      </w:pPr>
    </w:lvl>
    <w:lvl w:ilvl="6">
      <w:numFmt w:val="bullet"/>
      <w:lvlText w:val="•"/>
      <w:lvlJc w:val="left"/>
      <w:pPr>
        <w:ind w:left="6131" w:hanging="284"/>
      </w:pPr>
    </w:lvl>
    <w:lvl w:ilvl="7">
      <w:numFmt w:val="bullet"/>
      <w:lvlText w:val="•"/>
      <w:lvlJc w:val="left"/>
      <w:pPr>
        <w:ind w:left="7090" w:hanging="284"/>
      </w:pPr>
    </w:lvl>
    <w:lvl w:ilvl="8">
      <w:numFmt w:val="bullet"/>
      <w:lvlText w:val="•"/>
      <w:lvlJc w:val="left"/>
      <w:pPr>
        <w:ind w:left="8049" w:hanging="284"/>
      </w:pPr>
    </w:lvl>
  </w:abstractNum>
  <w:abstractNum w:abstractNumId="1" w15:restartNumberingAfterBreak="0">
    <w:nsid w:val="00000403"/>
    <w:multiLevelType w:val="multilevel"/>
    <w:tmpl w:val="FFFFFFFF"/>
    <w:lvl w:ilvl="0">
      <w:numFmt w:val="bullet"/>
      <w:lvlText w:val=""/>
      <w:lvlJc w:val="left"/>
      <w:pPr>
        <w:ind w:left="820" w:hanging="360"/>
      </w:pPr>
      <w:rPr>
        <w:rFonts w:ascii="Symbol" w:hAnsi="Symbol" w:cs="Symbol"/>
        <w:b w:val="0"/>
        <w:bCs w:val="0"/>
        <w:i w:val="0"/>
        <w:iCs w:val="0"/>
        <w:spacing w:val="0"/>
        <w:w w:val="100"/>
        <w:sz w:val="18"/>
        <w:szCs w:val="18"/>
      </w:rPr>
    </w:lvl>
    <w:lvl w:ilvl="1">
      <w:numFmt w:val="bullet"/>
      <w:lvlText w:val="•"/>
      <w:lvlJc w:val="left"/>
      <w:pPr>
        <w:ind w:left="1734" w:hanging="360"/>
      </w:pPr>
    </w:lvl>
    <w:lvl w:ilvl="2">
      <w:numFmt w:val="bullet"/>
      <w:lvlText w:val="•"/>
      <w:lvlJc w:val="left"/>
      <w:pPr>
        <w:ind w:left="2649" w:hanging="360"/>
      </w:pPr>
    </w:lvl>
    <w:lvl w:ilvl="3">
      <w:numFmt w:val="bullet"/>
      <w:lvlText w:val="•"/>
      <w:lvlJc w:val="left"/>
      <w:pPr>
        <w:ind w:left="3563"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7" w:hanging="360"/>
      </w:pPr>
    </w:lvl>
    <w:lvl w:ilvl="7">
      <w:numFmt w:val="bullet"/>
      <w:lvlText w:val="•"/>
      <w:lvlJc w:val="left"/>
      <w:pPr>
        <w:ind w:left="7222" w:hanging="360"/>
      </w:pPr>
    </w:lvl>
    <w:lvl w:ilvl="8">
      <w:numFmt w:val="bullet"/>
      <w:lvlText w:val="•"/>
      <w:lvlJc w:val="left"/>
      <w:pPr>
        <w:ind w:left="8137" w:hanging="360"/>
      </w:pPr>
    </w:lvl>
  </w:abstractNum>
  <w:abstractNum w:abstractNumId="2" w15:restartNumberingAfterBreak="0">
    <w:nsid w:val="0FF271B6"/>
    <w:multiLevelType w:val="hybridMultilevel"/>
    <w:tmpl w:val="14CAE656"/>
    <w:lvl w:ilvl="0" w:tplc="1F208B32">
      <w:start w:val="1"/>
      <w:numFmt w:val="bullet"/>
      <w:pStyle w:val="Bullets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155AF"/>
    <w:multiLevelType w:val="hybridMultilevel"/>
    <w:tmpl w:val="9E6C4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AF256D"/>
    <w:multiLevelType w:val="hybridMultilevel"/>
    <w:tmpl w:val="0E52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8" w15:restartNumberingAfterBreak="0">
    <w:nsid w:val="4E5A23BF"/>
    <w:multiLevelType w:val="hybridMultilevel"/>
    <w:tmpl w:val="26D884C8"/>
    <w:lvl w:ilvl="0" w:tplc="9672F99A">
      <w:start w:val="1"/>
      <w:numFmt w:val="bullet"/>
      <w:pStyle w:val="Red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79312B"/>
    <w:multiLevelType w:val="hybridMultilevel"/>
    <w:tmpl w:val="1CC07D2C"/>
    <w:lvl w:ilvl="0" w:tplc="8A4AAA26">
      <w:start w:val="1"/>
      <w:numFmt w:val="bullet"/>
      <w:pStyle w:val="Firebullet"/>
      <w:lvlText w:val=""/>
      <w:lvlJc w:val="left"/>
      <w:pPr>
        <w:ind w:left="72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45952196">
    <w:abstractNumId w:val="7"/>
  </w:num>
  <w:num w:numId="2" w16cid:durableId="514854560">
    <w:abstractNumId w:val="8"/>
  </w:num>
  <w:num w:numId="3" w16cid:durableId="222327395">
    <w:abstractNumId w:val="4"/>
  </w:num>
  <w:num w:numId="4" w16cid:durableId="1368218360">
    <w:abstractNumId w:val="9"/>
  </w:num>
  <w:num w:numId="5" w16cid:durableId="700324298">
    <w:abstractNumId w:val="2"/>
  </w:num>
  <w:num w:numId="6" w16cid:durableId="832796509">
    <w:abstractNumId w:val="6"/>
  </w:num>
  <w:num w:numId="7" w16cid:durableId="1169830873">
    <w:abstractNumId w:val="3"/>
  </w:num>
  <w:num w:numId="8" w16cid:durableId="675621799">
    <w:abstractNumId w:val="10"/>
  </w:num>
  <w:num w:numId="9" w16cid:durableId="1172178354">
    <w:abstractNumId w:val="5"/>
  </w:num>
  <w:num w:numId="10" w16cid:durableId="1414667357">
    <w:abstractNumId w:val="1"/>
  </w:num>
  <w:num w:numId="11" w16cid:durableId="136736845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A2D"/>
    <w:rsid w:val="00000F2B"/>
    <w:rsid w:val="00007E18"/>
    <w:rsid w:val="0001346B"/>
    <w:rsid w:val="0001495B"/>
    <w:rsid w:val="000165B0"/>
    <w:rsid w:val="00016F4E"/>
    <w:rsid w:val="00024099"/>
    <w:rsid w:val="00024283"/>
    <w:rsid w:val="00027331"/>
    <w:rsid w:val="000300BF"/>
    <w:rsid w:val="000323BF"/>
    <w:rsid w:val="00032CCC"/>
    <w:rsid w:val="000342AE"/>
    <w:rsid w:val="000353A7"/>
    <w:rsid w:val="00035909"/>
    <w:rsid w:val="00037536"/>
    <w:rsid w:val="00037DF2"/>
    <w:rsid w:val="000438F2"/>
    <w:rsid w:val="00044CA4"/>
    <w:rsid w:val="00045D27"/>
    <w:rsid w:val="00046494"/>
    <w:rsid w:val="00047E3A"/>
    <w:rsid w:val="000508BD"/>
    <w:rsid w:val="00051975"/>
    <w:rsid w:val="00052327"/>
    <w:rsid w:val="0005436D"/>
    <w:rsid w:val="00054718"/>
    <w:rsid w:val="00056497"/>
    <w:rsid w:val="000573DD"/>
    <w:rsid w:val="00057A48"/>
    <w:rsid w:val="00062327"/>
    <w:rsid w:val="00063B8B"/>
    <w:rsid w:val="000737CA"/>
    <w:rsid w:val="00073906"/>
    <w:rsid w:val="00075725"/>
    <w:rsid w:val="00082174"/>
    <w:rsid w:val="00083390"/>
    <w:rsid w:val="000842EA"/>
    <w:rsid w:val="00084B76"/>
    <w:rsid w:val="000873E5"/>
    <w:rsid w:val="00087660"/>
    <w:rsid w:val="00087C2E"/>
    <w:rsid w:val="00087EEB"/>
    <w:rsid w:val="00090587"/>
    <w:rsid w:val="00090967"/>
    <w:rsid w:val="00091A57"/>
    <w:rsid w:val="00091B0B"/>
    <w:rsid w:val="00091D9C"/>
    <w:rsid w:val="00093D87"/>
    <w:rsid w:val="000A4F4F"/>
    <w:rsid w:val="000A75C9"/>
    <w:rsid w:val="000A796E"/>
    <w:rsid w:val="000B0738"/>
    <w:rsid w:val="000B12AC"/>
    <w:rsid w:val="000B13D4"/>
    <w:rsid w:val="000B23BC"/>
    <w:rsid w:val="000B2433"/>
    <w:rsid w:val="000B41D3"/>
    <w:rsid w:val="000B4E1E"/>
    <w:rsid w:val="000B5590"/>
    <w:rsid w:val="000B5DEF"/>
    <w:rsid w:val="000B6D5E"/>
    <w:rsid w:val="000B731D"/>
    <w:rsid w:val="000B79EC"/>
    <w:rsid w:val="000C0FFE"/>
    <w:rsid w:val="000C5015"/>
    <w:rsid w:val="000C70A3"/>
    <w:rsid w:val="000D0ECE"/>
    <w:rsid w:val="000D3A81"/>
    <w:rsid w:val="000D76BC"/>
    <w:rsid w:val="000D7E80"/>
    <w:rsid w:val="000E08D0"/>
    <w:rsid w:val="000E09C1"/>
    <w:rsid w:val="000E306D"/>
    <w:rsid w:val="000E64A7"/>
    <w:rsid w:val="000E6B0C"/>
    <w:rsid w:val="000F2209"/>
    <w:rsid w:val="000F2606"/>
    <w:rsid w:val="000F43C9"/>
    <w:rsid w:val="000F43E7"/>
    <w:rsid w:val="000F5BAE"/>
    <w:rsid w:val="000F7E38"/>
    <w:rsid w:val="00101F62"/>
    <w:rsid w:val="00105BBE"/>
    <w:rsid w:val="00105FDE"/>
    <w:rsid w:val="00107B8C"/>
    <w:rsid w:val="00110B9E"/>
    <w:rsid w:val="0011138E"/>
    <w:rsid w:val="00112A66"/>
    <w:rsid w:val="00113ACE"/>
    <w:rsid w:val="00114CE8"/>
    <w:rsid w:val="00117E9F"/>
    <w:rsid w:val="00120234"/>
    <w:rsid w:val="001202C3"/>
    <w:rsid w:val="0012073E"/>
    <w:rsid w:val="00121F0A"/>
    <w:rsid w:val="00122294"/>
    <w:rsid w:val="001224B6"/>
    <w:rsid w:val="00125499"/>
    <w:rsid w:val="00130091"/>
    <w:rsid w:val="00132757"/>
    <w:rsid w:val="00133329"/>
    <w:rsid w:val="0013618E"/>
    <w:rsid w:val="0013672D"/>
    <w:rsid w:val="0014060C"/>
    <w:rsid w:val="00142C56"/>
    <w:rsid w:val="001436BF"/>
    <w:rsid w:val="00144778"/>
    <w:rsid w:val="00146822"/>
    <w:rsid w:val="00151BDF"/>
    <w:rsid w:val="00152532"/>
    <w:rsid w:val="00153DF2"/>
    <w:rsid w:val="00154ABE"/>
    <w:rsid w:val="00155219"/>
    <w:rsid w:val="00155E21"/>
    <w:rsid w:val="00160D13"/>
    <w:rsid w:val="00161E23"/>
    <w:rsid w:val="00164386"/>
    <w:rsid w:val="0016630F"/>
    <w:rsid w:val="00166707"/>
    <w:rsid w:val="00166BA7"/>
    <w:rsid w:val="001702FB"/>
    <w:rsid w:val="001710B8"/>
    <w:rsid w:val="00175090"/>
    <w:rsid w:val="00175729"/>
    <w:rsid w:val="00176A4E"/>
    <w:rsid w:val="00177041"/>
    <w:rsid w:val="00183FD8"/>
    <w:rsid w:val="00185DC6"/>
    <w:rsid w:val="001933B0"/>
    <w:rsid w:val="00193CDE"/>
    <w:rsid w:val="00194237"/>
    <w:rsid w:val="0019491D"/>
    <w:rsid w:val="00196601"/>
    <w:rsid w:val="00197378"/>
    <w:rsid w:val="001A0AF0"/>
    <w:rsid w:val="001A19C7"/>
    <w:rsid w:val="001A21B4"/>
    <w:rsid w:val="001A2C5C"/>
    <w:rsid w:val="001A6D41"/>
    <w:rsid w:val="001A73D0"/>
    <w:rsid w:val="001B2F64"/>
    <w:rsid w:val="001B63EB"/>
    <w:rsid w:val="001B7116"/>
    <w:rsid w:val="001C0314"/>
    <w:rsid w:val="001C09C4"/>
    <w:rsid w:val="001C269B"/>
    <w:rsid w:val="001C2C9E"/>
    <w:rsid w:val="001C5C21"/>
    <w:rsid w:val="001C68EA"/>
    <w:rsid w:val="001C7399"/>
    <w:rsid w:val="001C77DA"/>
    <w:rsid w:val="001D13EF"/>
    <w:rsid w:val="001D2682"/>
    <w:rsid w:val="001D2D0F"/>
    <w:rsid w:val="001D3A64"/>
    <w:rsid w:val="001D4146"/>
    <w:rsid w:val="001D45D4"/>
    <w:rsid w:val="001D5E17"/>
    <w:rsid w:val="001D66EB"/>
    <w:rsid w:val="001E06F5"/>
    <w:rsid w:val="001E111C"/>
    <w:rsid w:val="001E4580"/>
    <w:rsid w:val="001E5F6D"/>
    <w:rsid w:val="001E665B"/>
    <w:rsid w:val="001F665F"/>
    <w:rsid w:val="001F6DA7"/>
    <w:rsid w:val="001F6DDF"/>
    <w:rsid w:val="0020027D"/>
    <w:rsid w:val="00201CC1"/>
    <w:rsid w:val="00202270"/>
    <w:rsid w:val="00202427"/>
    <w:rsid w:val="00203CD6"/>
    <w:rsid w:val="002107AF"/>
    <w:rsid w:val="00210D0D"/>
    <w:rsid w:val="002113F6"/>
    <w:rsid w:val="00211463"/>
    <w:rsid w:val="00211A1C"/>
    <w:rsid w:val="00211B3D"/>
    <w:rsid w:val="0021309D"/>
    <w:rsid w:val="0021310E"/>
    <w:rsid w:val="002149F8"/>
    <w:rsid w:val="00214F54"/>
    <w:rsid w:val="00216209"/>
    <w:rsid w:val="002164E0"/>
    <w:rsid w:val="0021656B"/>
    <w:rsid w:val="00216F2D"/>
    <w:rsid w:val="002232EA"/>
    <w:rsid w:val="00224B94"/>
    <w:rsid w:val="0022509A"/>
    <w:rsid w:val="0022781C"/>
    <w:rsid w:val="0022798F"/>
    <w:rsid w:val="00230CEB"/>
    <w:rsid w:val="002319EA"/>
    <w:rsid w:val="0023225D"/>
    <w:rsid w:val="002334D9"/>
    <w:rsid w:val="002349EB"/>
    <w:rsid w:val="00234C78"/>
    <w:rsid w:val="002351FB"/>
    <w:rsid w:val="00236333"/>
    <w:rsid w:val="0024602B"/>
    <w:rsid w:val="002462D5"/>
    <w:rsid w:val="00247C93"/>
    <w:rsid w:val="0025100D"/>
    <w:rsid w:val="002517CD"/>
    <w:rsid w:val="002522D4"/>
    <w:rsid w:val="00252A62"/>
    <w:rsid w:val="0025594C"/>
    <w:rsid w:val="00255E54"/>
    <w:rsid w:val="0025680F"/>
    <w:rsid w:val="002575CB"/>
    <w:rsid w:val="002607F4"/>
    <w:rsid w:val="00261B82"/>
    <w:rsid w:val="00262298"/>
    <w:rsid w:val="00262B98"/>
    <w:rsid w:val="00265B39"/>
    <w:rsid w:val="00266806"/>
    <w:rsid w:val="00267920"/>
    <w:rsid w:val="0027013B"/>
    <w:rsid w:val="002718CB"/>
    <w:rsid w:val="002720C6"/>
    <w:rsid w:val="002746BF"/>
    <w:rsid w:val="002763B9"/>
    <w:rsid w:val="002776F9"/>
    <w:rsid w:val="00277EF1"/>
    <w:rsid w:val="00280277"/>
    <w:rsid w:val="00282F25"/>
    <w:rsid w:val="002836D0"/>
    <w:rsid w:val="0028492C"/>
    <w:rsid w:val="00285AAD"/>
    <w:rsid w:val="002864CB"/>
    <w:rsid w:val="00290296"/>
    <w:rsid w:val="00295700"/>
    <w:rsid w:val="00297773"/>
    <w:rsid w:val="002A3DB3"/>
    <w:rsid w:val="002A63FF"/>
    <w:rsid w:val="002A7B57"/>
    <w:rsid w:val="002B0D1F"/>
    <w:rsid w:val="002B121F"/>
    <w:rsid w:val="002B1571"/>
    <w:rsid w:val="002B2195"/>
    <w:rsid w:val="002B6791"/>
    <w:rsid w:val="002C018B"/>
    <w:rsid w:val="002C2234"/>
    <w:rsid w:val="002C25FB"/>
    <w:rsid w:val="002C32D7"/>
    <w:rsid w:val="002D22B8"/>
    <w:rsid w:val="002D3CCC"/>
    <w:rsid w:val="002D47CD"/>
    <w:rsid w:val="002D4EEF"/>
    <w:rsid w:val="002D6171"/>
    <w:rsid w:val="002E108A"/>
    <w:rsid w:val="002E119B"/>
    <w:rsid w:val="002E1208"/>
    <w:rsid w:val="002E1C9B"/>
    <w:rsid w:val="002E59F2"/>
    <w:rsid w:val="002E5B09"/>
    <w:rsid w:val="002E7BE8"/>
    <w:rsid w:val="002F005B"/>
    <w:rsid w:val="002F049C"/>
    <w:rsid w:val="002F0EED"/>
    <w:rsid w:val="002F11AF"/>
    <w:rsid w:val="002F1730"/>
    <w:rsid w:val="002F1871"/>
    <w:rsid w:val="002F2034"/>
    <w:rsid w:val="002F788E"/>
    <w:rsid w:val="002F7C4C"/>
    <w:rsid w:val="00302182"/>
    <w:rsid w:val="00302289"/>
    <w:rsid w:val="003049C5"/>
    <w:rsid w:val="003075C1"/>
    <w:rsid w:val="0030774C"/>
    <w:rsid w:val="00310E16"/>
    <w:rsid w:val="00311794"/>
    <w:rsid w:val="003129F3"/>
    <w:rsid w:val="003154DD"/>
    <w:rsid w:val="00315A76"/>
    <w:rsid w:val="003218E9"/>
    <w:rsid w:val="003219BE"/>
    <w:rsid w:val="00323C68"/>
    <w:rsid w:val="00327904"/>
    <w:rsid w:val="00332C42"/>
    <w:rsid w:val="00334CD3"/>
    <w:rsid w:val="00335550"/>
    <w:rsid w:val="00336E57"/>
    <w:rsid w:val="00340477"/>
    <w:rsid w:val="00344F22"/>
    <w:rsid w:val="00345807"/>
    <w:rsid w:val="0034584A"/>
    <w:rsid w:val="00346E0A"/>
    <w:rsid w:val="00347402"/>
    <w:rsid w:val="0035206A"/>
    <w:rsid w:val="00354E03"/>
    <w:rsid w:val="00357288"/>
    <w:rsid w:val="00362772"/>
    <w:rsid w:val="00362FD7"/>
    <w:rsid w:val="003700EC"/>
    <w:rsid w:val="003738E7"/>
    <w:rsid w:val="00376004"/>
    <w:rsid w:val="0038149E"/>
    <w:rsid w:val="00381D10"/>
    <w:rsid w:val="003836F0"/>
    <w:rsid w:val="003840F2"/>
    <w:rsid w:val="00384D8C"/>
    <w:rsid w:val="00387A57"/>
    <w:rsid w:val="00390763"/>
    <w:rsid w:val="00390D3D"/>
    <w:rsid w:val="003912B8"/>
    <w:rsid w:val="00392A6E"/>
    <w:rsid w:val="00397A3A"/>
    <w:rsid w:val="003A445D"/>
    <w:rsid w:val="003A523F"/>
    <w:rsid w:val="003A705E"/>
    <w:rsid w:val="003B4988"/>
    <w:rsid w:val="003B7A85"/>
    <w:rsid w:val="003C09E9"/>
    <w:rsid w:val="003C1215"/>
    <w:rsid w:val="003C16E7"/>
    <w:rsid w:val="003C1837"/>
    <w:rsid w:val="003C2227"/>
    <w:rsid w:val="003C4B58"/>
    <w:rsid w:val="003C4EA4"/>
    <w:rsid w:val="003C58DF"/>
    <w:rsid w:val="003C6B62"/>
    <w:rsid w:val="003D06FE"/>
    <w:rsid w:val="003D38CF"/>
    <w:rsid w:val="003E1253"/>
    <w:rsid w:val="003E1E0C"/>
    <w:rsid w:val="003E22B0"/>
    <w:rsid w:val="003E3F40"/>
    <w:rsid w:val="003E58EF"/>
    <w:rsid w:val="003E7A2F"/>
    <w:rsid w:val="003F3273"/>
    <w:rsid w:val="003F3A88"/>
    <w:rsid w:val="003F3C2B"/>
    <w:rsid w:val="003F3F57"/>
    <w:rsid w:val="003F6B7B"/>
    <w:rsid w:val="003F6F6A"/>
    <w:rsid w:val="003F7B21"/>
    <w:rsid w:val="004011CF"/>
    <w:rsid w:val="00401EAF"/>
    <w:rsid w:val="004024D0"/>
    <w:rsid w:val="004044F8"/>
    <w:rsid w:val="0040784A"/>
    <w:rsid w:val="004111A4"/>
    <w:rsid w:val="004119E9"/>
    <w:rsid w:val="004135DD"/>
    <w:rsid w:val="00413957"/>
    <w:rsid w:val="00413EB6"/>
    <w:rsid w:val="00414CC9"/>
    <w:rsid w:val="00414CFA"/>
    <w:rsid w:val="004159DD"/>
    <w:rsid w:val="004231FF"/>
    <w:rsid w:val="00423AB3"/>
    <w:rsid w:val="00423B5F"/>
    <w:rsid w:val="004258F7"/>
    <w:rsid w:val="00425E87"/>
    <w:rsid w:val="00430473"/>
    <w:rsid w:val="00430DF5"/>
    <w:rsid w:val="004323F4"/>
    <w:rsid w:val="004328A9"/>
    <w:rsid w:val="0043308A"/>
    <w:rsid w:val="0043342A"/>
    <w:rsid w:val="00433E65"/>
    <w:rsid w:val="0043793E"/>
    <w:rsid w:val="00437B7C"/>
    <w:rsid w:val="0044084F"/>
    <w:rsid w:val="00443841"/>
    <w:rsid w:val="0044408E"/>
    <w:rsid w:val="00446BD0"/>
    <w:rsid w:val="00453B24"/>
    <w:rsid w:val="00454C73"/>
    <w:rsid w:val="00454CDF"/>
    <w:rsid w:val="00456222"/>
    <w:rsid w:val="00460A5D"/>
    <w:rsid w:val="00465B1E"/>
    <w:rsid w:val="00470014"/>
    <w:rsid w:val="004720F6"/>
    <w:rsid w:val="004725E6"/>
    <w:rsid w:val="00475C4C"/>
    <w:rsid w:val="004766F5"/>
    <w:rsid w:val="00477EC8"/>
    <w:rsid w:val="00480920"/>
    <w:rsid w:val="004817AF"/>
    <w:rsid w:val="00486CE7"/>
    <w:rsid w:val="0049402C"/>
    <w:rsid w:val="00494EFA"/>
    <w:rsid w:val="00495FFF"/>
    <w:rsid w:val="004A2AE8"/>
    <w:rsid w:val="004A3733"/>
    <w:rsid w:val="004A3865"/>
    <w:rsid w:val="004A5641"/>
    <w:rsid w:val="004A68F2"/>
    <w:rsid w:val="004B3DE4"/>
    <w:rsid w:val="004B6BDB"/>
    <w:rsid w:val="004C1CEF"/>
    <w:rsid w:val="004C2E82"/>
    <w:rsid w:val="004C37D2"/>
    <w:rsid w:val="004C6E7F"/>
    <w:rsid w:val="004C7AC3"/>
    <w:rsid w:val="004D0023"/>
    <w:rsid w:val="004D0F00"/>
    <w:rsid w:val="004D2C9A"/>
    <w:rsid w:val="004D57AC"/>
    <w:rsid w:val="004D7014"/>
    <w:rsid w:val="004D766A"/>
    <w:rsid w:val="004E15D4"/>
    <w:rsid w:val="004E3267"/>
    <w:rsid w:val="004E400E"/>
    <w:rsid w:val="004E5450"/>
    <w:rsid w:val="004E58DC"/>
    <w:rsid w:val="004E5CDE"/>
    <w:rsid w:val="004F0EA3"/>
    <w:rsid w:val="004F227C"/>
    <w:rsid w:val="004F43C3"/>
    <w:rsid w:val="004F45B4"/>
    <w:rsid w:val="004F47FE"/>
    <w:rsid w:val="004F4BEB"/>
    <w:rsid w:val="004F54FD"/>
    <w:rsid w:val="004F5525"/>
    <w:rsid w:val="004F5793"/>
    <w:rsid w:val="004F7E1B"/>
    <w:rsid w:val="00502B14"/>
    <w:rsid w:val="0050526D"/>
    <w:rsid w:val="005131FA"/>
    <w:rsid w:val="005178BA"/>
    <w:rsid w:val="0052280B"/>
    <w:rsid w:val="00527164"/>
    <w:rsid w:val="00530462"/>
    <w:rsid w:val="00534D1C"/>
    <w:rsid w:val="005350C0"/>
    <w:rsid w:val="00535CA2"/>
    <w:rsid w:val="005371F5"/>
    <w:rsid w:val="00537A0A"/>
    <w:rsid w:val="00540D97"/>
    <w:rsid w:val="00541F0D"/>
    <w:rsid w:val="0054288A"/>
    <w:rsid w:val="005433C7"/>
    <w:rsid w:val="00543AF2"/>
    <w:rsid w:val="00550492"/>
    <w:rsid w:val="00551A14"/>
    <w:rsid w:val="00551CBB"/>
    <w:rsid w:val="005556D8"/>
    <w:rsid w:val="00555800"/>
    <w:rsid w:val="00555E86"/>
    <w:rsid w:val="0055758F"/>
    <w:rsid w:val="00557A65"/>
    <w:rsid w:val="005606EE"/>
    <w:rsid w:val="00561211"/>
    <w:rsid w:val="00562FE9"/>
    <w:rsid w:val="0056338F"/>
    <w:rsid w:val="0056422E"/>
    <w:rsid w:val="005671DE"/>
    <w:rsid w:val="00571C52"/>
    <w:rsid w:val="00576EFE"/>
    <w:rsid w:val="0057725B"/>
    <w:rsid w:val="005774AD"/>
    <w:rsid w:val="00580B2E"/>
    <w:rsid w:val="005813FF"/>
    <w:rsid w:val="0058193A"/>
    <w:rsid w:val="00583002"/>
    <w:rsid w:val="00586C36"/>
    <w:rsid w:val="00586FCC"/>
    <w:rsid w:val="00590CCA"/>
    <w:rsid w:val="00592859"/>
    <w:rsid w:val="00595D46"/>
    <w:rsid w:val="0059684C"/>
    <w:rsid w:val="005A1550"/>
    <w:rsid w:val="005A4F99"/>
    <w:rsid w:val="005A5B25"/>
    <w:rsid w:val="005B09C7"/>
    <w:rsid w:val="005B17BA"/>
    <w:rsid w:val="005B2B95"/>
    <w:rsid w:val="005B4D7B"/>
    <w:rsid w:val="005B5660"/>
    <w:rsid w:val="005B61BE"/>
    <w:rsid w:val="005B79F6"/>
    <w:rsid w:val="005C4922"/>
    <w:rsid w:val="005C5D09"/>
    <w:rsid w:val="005C68DA"/>
    <w:rsid w:val="005C711D"/>
    <w:rsid w:val="005C7293"/>
    <w:rsid w:val="005C7F0A"/>
    <w:rsid w:val="005D0B4A"/>
    <w:rsid w:val="005D27AD"/>
    <w:rsid w:val="005D3878"/>
    <w:rsid w:val="005D454C"/>
    <w:rsid w:val="005D57C1"/>
    <w:rsid w:val="005D7B0E"/>
    <w:rsid w:val="005E0C40"/>
    <w:rsid w:val="005E0EF1"/>
    <w:rsid w:val="005E1309"/>
    <w:rsid w:val="005E1F64"/>
    <w:rsid w:val="005E1F7E"/>
    <w:rsid w:val="005E55B9"/>
    <w:rsid w:val="005E5716"/>
    <w:rsid w:val="005E5AAD"/>
    <w:rsid w:val="005E5C3A"/>
    <w:rsid w:val="005E71DA"/>
    <w:rsid w:val="005F17BF"/>
    <w:rsid w:val="005F20F8"/>
    <w:rsid w:val="005F41F0"/>
    <w:rsid w:val="005F426E"/>
    <w:rsid w:val="005F464D"/>
    <w:rsid w:val="005F467D"/>
    <w:rsid w:val="005F6BD0"/>
    <w:rsid w:val="005F7261"/>
    <w:rsid w:val="005F7E23"/>
    <w:rsid w:val="00600C2A"/>
    <w:rsid w:val="0060155C"/>
    <w:rsid w:val="00602EAF"/>
    <w:rsid w:val="00604814"/>
    <w:rsid w:val="00604860"/>
    <w:rsid w:val="00605514"/>
    <w:rsid w:val="00611D8B"/>
    <w:rsid w:val="00611DD2"/>
    <w:rsid w:val="00613D05"/>
    <w:rsid w:val="006164DC"/>
    <w:rsid w:val="00617872"/>
    <w:rsid w:val="006226A7"/>
    <w:rsid w:val="00625672"/>
    <w:rsid w:val="00632465"/>
    <w:rsid w:val="00632C2B"/>
    <w:rsid w:val="00634566"/>
    <w:rsid w:val="00634708"/>
    <w:rsid w:val="00636A47"/>
    <w:rsid w:val="00636A9E"/>
    <w:rsid w:val="00637873"/>
    <w:rsid w:val="006406C9"/>
    <w:rsid w:val="006413E1"/>
    <w:rsid w:val="006416D6"/>
    <w:rsid w:val="006428D2"/>
    <w:rsid w:val="00643069"/>
    <w:rsid w:val="00643D17"/>
    <w:rsid w:val="00643E9B"/>
    <w:rsid w:val="00644591"/>
    <w:rsid w:val="006447B0"/>
    <w:rsid w:val="00645551"/>
    <w:rsid w:val="00646AF7"/>
    <w:rsid w:val="006477AB"/>
    <w:rsid w:val="00647F8D"/>
    <w:rsid w:val="00653D20"/>
    <w:rsid w:val="006551FC"/>
    <w:rsid w:val="006554EB"/>
    <w:rsid w:val="0066477A"/>
    <w:rsid w:val="00665B34"/>
    <w:rsid w:val="00665B7A"/>
    <w:rsid w:val="0067007D"/>
    <w:rsid w:val="00670807"/>
    <w:rsid w:val="00672660"/>
    <w:rsid w:val="00674F74"/>
    <w:rsid w:val="0067706C"/>
    <w:rsid w:val="00680AC2"/>
    <w:rsid w:val="00686A77"/>
    <w:rsid w:val="006907B9"/>
    <w:rsid w:val="00693EBE"/>
    <w:rsid w:val="00694896"/>
    <w:rsid w:val="006951BE"/>
    <w:rsid w:val="00697411"/>
    <w:rsid w:val="006A00B6"/>
    <w:rsid w:val="006A0F27"/>
    <w:rsid w:val="006A28FA"/>
    <w:rsid w:val="006A3BCA"/>
    <w:rsid w:val="006A444B"/>
    <w:rsid w:val="006A59DA"/>
    <w:rsid w:val="006A5AA6"/>
    <w:rsid w:val="006A6C47"/>
    <w:rsid w:val="006B0531"/>
    <w:rsid w:val="006B2D58"/>
    <w:rsid w:val="006B422E"/>
    <w:rsid w:val="006B46A4"/>
    <w:rsid w:val="006B5375"/>
    <w:rsid w:val="006C05D1"/>
    <w:rsid w:val="006C2039"/>
    <w:rsid w:val="006C26BE"/>
    <w:rsid w:val="006C2E16"/>
    <w:rsid w:val="006C57FC"/>
    <w:rsid w:val="006C5958"/>
    <w:rsid w:val="006C5C7B"/>
    <w:rsid w:val="006D0983"/>
    <w:rsid w:val="006D1DF4"/>
    <w:rsid w:val="006D1FB8"/>
    <w:rsid w:val="006D36EA"/>
    <w:rsid w:val="006D48BF"/>
    <w:rsid w:val="006D53D8"/>
    <w:rsid w:val="006D689D"/>
    <w:rsid w:val="006E06AC"/>
    <w:rsid w:val="006E0CD0"/>
    <w:rsid w:val="006E7F8A"/>
    <w:rsid w:val="006F01B1"/>
    <w:rsid w:val="006F07CF"/>
    <w:rsid w:val="006F14A4"/>
    <w:rsid w:val="006F4080"/>
    <w:rsid w:val="006F4C62"/>
    <w:rsid w:val="006F5943"/>
    <w:rsid w:val="006F5DC3"/>
    <w:rsid w:val="007002A7"/>
    <w:rsid w:val="00702709"/>
    <w:rsid w:val="007047A1"/>
    <w:rsid w:val="00705BDF"/>
    <w:rsid w:val="00706F2D"/>
    <w:rsid w:val="00707FB8"/>
    <w:rsid w:val="00710D5B"/>
    <w:rsid w:val="00710E3A"/>
    <w:rsid w:val="00711A9A"/>
    <w:rsid w:val="00713268"/>
    <w:rsid w:val="00714802"/>
    <w:rsid w:val="00717BC1"/>
    <w:rsid w:val="00720070"/>
    <w:rsid w:val="00720292"/>
    <w:rsid w:val="0072396E"/>
    <w:rsid w:val="00725DD4"/>
    <w:rsid w:val="00727D07"/>
    <w:rsid w:val="007302FC"/>
    <w:rsid w:val="00731BBC"/>
    <w:rsid w:val="00732847"/>
    <w:rsid w:val="00732927"/>
    <w:rsid w:val="007360EE"/>
    <w:rsid w:val="00736435"/>
    <w:rsid w:val="00740B9C"/>
    <w:rsid w:val="007425E7"/>
    <w:rsid w:val="00742691"/>
    <w:rsid w:val="007448DB"/>
    <w:rsid w:val="00744CAB"/>
    <w:rsid w:val="00751213"/>
    <w:rsid w:val="00751D51"/>
    <w:rsid w:val="00752353"/>
    <w:rsid w:val="007576D0"/>
    <w:rsid w:val="00761411"/>
    <w:rsid w:val="00763469"/>
    <w:rsid w:val="00765136"/>
    <w:rsid w:val="0076590A"/>
    <w:rsid w:val="0076600A"/>
    <w:rsid w:val="00766FBD"/>
    <w:rsid w:val="00770D9E"/>
    <w:rsid w:val="00770FCA"/>
    <w:rsid w:val="00773E8B"/>
    <w:rsid w:val="00773FB6"/>
    <w:rsid w:val="00774A29"/>
    <w:rsid w:val="007750DE"/>
    <w:rsid w:val="00775536"/>
    <w:rsid w:val="007808B5"/>
    <w:rsid w:val="00782C29"/>
    <w:rsid w:val="007835BF"/>
    <w:rsid w:val="0078778B"/>
    <w:rsid w:val="00790271"/>
    <w:rsid w:val="00792A85"/>
    <w:rsid w:val="007931F0"/>
    <w:rsid w:val="00795421"/>
    <w:rsid w:val="00796BE6"/>
    <w:rsid w:val="007970EB"/>
    <w:rsid w:val="00797882"/>
    <w:rsid w:val="007A18F6"/>
    <w:rsid w:val="007A1E45"/>
    <w:rsid w:val="007A2659"/>
    <w:rsid w:val="007A4559"/>
    <w:rsid w:val="007A501F"/>
    <w:rsid w:val="007A6FF0"/>
    <w:rsid w:val="007B05EC"/>
    <w:rsid w:val="007B071B"/>
    <w:rsid w:val="007B0F6E"/>
    <w:rsid w:val="007B3907"/>
    <w:rsid w:val="007B56BF"/>
    <w:rsid w:val="007B6B7B"/>
    <w:rsid w:val="007C2001"/>
    <w:rsid w:val="007C22F8"/>
    <w:rsid w:val="007C2E28"/>
    <w:rsid w:val="007C339F"/>
    <w:rsid w:val="007C6261"/>
    <w:rsid w:val="007C699F"/>
    <w:rsid w:val="007C6F8A"/>
    <w:rsid w:val="007C75D4"/>
    <w:rsid w:val="007D1D26"/>
    <w:rsid w:val="007D1FAA"/>
    <w:rsid w:val="007D20A2"/>
    <w:rsid w:val="007D28FA"/>
    <w:rsid w:val="007D5A32"/>
    <w:rsid w:val="007E0080"/>
    <w:rsid w:val="007E06DB"/>
    <w:rsid w:val="007E196B"/>
    <w:rsid w:val="007E1AAD"/>
    <w:rsid w:val="007E35C7"/>
    <w:rsid w:val="007E5183"/>
    <w:rsid w:val="007E5B8C"/>
    <w:rsid w:val="007E6371"/>
    <w:rsid w:val="007E7DFD"/>
    <w:rsid w:val="007E7FBA"/>
    <w:rsid w:val="007F032C"/>
    <w:rsid w:val="007F0709"/>
    <w:rsid w:val="007F22B6"/>
    <w:rsid w:val="007F2679"/>
    <w:rsid w:val="007F3195"/>
    <w:rsid w:val="007F3DA0"/>
    <w:rsid w:val="007F44CB"/>
    <w:rsid w:val="007F5084"/>
    <w:rsid w:val="007F7082"/>
    <w:rsid w:val="0080221C"/>
    <w:rsid w:val="00803894"/>
    <w:rsid w:val="008046A3"/>
    <w:rsid w:val="00805297"/>
    <w:rsid w:val="00806B56"/>
    <w:rsid w:val="00806BED"/>
    <w:rsid w:val="00807072"/>
    <w:rsid w:val="00812C2F"/>
    <w:rsid w:val="0081450D"/>
    <w:rsid w:val="0082082B"/>
    <w:rsid w:val="00820BA0"/>
    <w:rsid w:val="00821ED8"/>
    <w:rsid w:val="00822022"/>
    <w:rsid w:val="00824553"/>
    <w:rsid w:val="00824ABF"/>
    <w:rsid w:val="008268B9"/>
    <w:rsid w:val="00826B1C"/>
    <w:rsid w:val="00830E5C"/>
    <w:rsid w:val="00831F9C"/>
    <w:rsid w:val="008329C8"/>
    <w:rsid w:val="0083335F"/>
    <w:rsid w:val="00833820"/>
    <w:rsid w:val="00834F8A"/>
    <w:rsid w:val="00836C0C"/>
    <w:rsid w:val="00836E83"/>
    <w:rsid w:val="00837A47"/>
    <w:rsid w:val="0084343D"/>
    <w:rsid w:val="008441E1"/>
    <w:rsid w:val="00844436"/>
    <w:rsid w:val="008452E8"/>
    <w:rsid w:val="00845CA8"/>
    <w:rsid w:val="0084669C"/>
    <w:rsid w:val="008473B6"/>
    <w:rsid w:val="0084773D"/>
    <w:rsid w:val="0085010A"/>
    <w:rsid w:val="0085167E"/>
    <w:rsid w:val="00851D18"/>
    <w:rsid w:val="00854ED0"/>
    <w:rsid w:val="0086265D"/>
    <w:rsid w:val="008637A4"/>
    <w:rsid w:val="00863DD1"/>
    <w:rsid w:val="00871E78"/>
    <w:rsid w:val="00872C22"/>
    <w:rsid w:val="00874085"/>
    <w:rsid w:val="00876EC4"/>
    <w:rsid w:val="00881DA8"/>
    <w:rsid w:val="0088299D"/>
    <w:rsid w:val="00882C90"/>
    <w:rsid w:val="008832A7"/>
    <w:rsid w:val="00886B5C"/>
    <w:rsid w:val="008873CE"/>
    <w:rsid w:val="00890A52"/>
    <w:rsid w:val="00891868"/>
    <w:rsid w:val="008923B5"/>
    <w:rsid w:val="00893501"/>
    <w:rsid w:val="00895517"/>
    <w:rsid w:val="00896A9E"/>
    <w:rsid w:val="008973EF"/>
    <w:rsid w:val="008A09E0"/>
    <w:rsid w:val="008A4073"/>
    <w:rsid w:val="008A4470"/>
    <w:rsid w:val="008A6699"/>
    <w:rsid w:val="008B0013"/>
    <w:rsid w:val="008B1937"/>
    <w:rsid w:val="008B2E70"/>
    <w:rsid w:val="008B5727"/>
    <w:rsid w:val="008B5786"/>
    <w:rsid w:val="008B5D87"/>
    <w:rsid w:val="008C05C9"/>
    <w:rsid w:val="008C0F21"/>
    <w:rsid w:val="008C2A87"/>
    <w:rsid w:val="008C3689"/>
    <w:rsid w:val="008C4A5D"/>
    <w:rsid w:val="008C5C60"/>
    <w:rsid w:val="008C5EC0"/>
    <w:rsid w:val="008C6A1C"/>
    <w:rsid w:val="008D07AE"/>
    <w:rsid w:val="008D0D52"/>
    <w:rsid w:val="008D475F"/>
    <w:rsid w:val="008D623C"/>
    <w:rsid w:val="008D70EB"/>
    <w:rsid w:val="008D7B68"/>
    <w:rsid w:val="008E12FD"/>
    <w:rsid w:val="008E1E6B"/>
    <w:rsid w:val="008E2B9F"/>
    <w:rsid w:val="008E5AE1"/>
    <w:rsid w:val="008E783F"/>
    <w:rsid w:val="008F3A34"/>
    <w:rsid w:val="008F4B77"/>
    <w:rsid w:val="008F7BEB"/>
    <w:rsid w:val="009001F0"/>
    <w:rsid w:val="009034BE"/>
    <w:rsid w:val="00903A2F"/>
    <w:rsid w:val="00904A5D"/>
    <w:rsid w:val="009063E8"/>
    <w:rsid w:val="00912B24"/>
    <w:rsid w:val="00913833"/>
    <w:rsid w:val="00913E1E"/>
    <w:rsid w:val="009155AE"/>
    <w:rsid w:val="00915B6D"/>
    <w:rsid w:val="0091649F"/>
    <w:rsid w:val="00920CFC"/>
    <w:rsid w:val="00921C80"/>
    <w:rsid w:val="00921F7B"/>
    <w:rsid w:val="009226EF"/>
    <w:rsid w:val="00923051"/>
    <w:rsid w:val="009251F1"/>
    <w:rsid w:val="00926F73"/>
    <w:rsid w:val="009271C1"/>
    <w:rsid w:val="00927B33"/>
    <w:rsid w:val="009301E0"/>
    <w:rsid w:val="00931598"/>
    <w:rsid w:val="00931A62"/>
    <w:rsid w:val="009355C8"/>
    <w:rsid w:val="00940049"/>
    <w:rsid w:val="00940160"/>
    <w:rsid w:val="009416D8"/>
    <w:rsid w:val="00941819"/>
    <w:rsid w:val="009421BD"/>
    <w:rsid w:val="00942450"/>
    <w:rsid w:val="009448E9"/>
    <w:rsid w:val="00945E9C"/>
    <w:rsid w:val="009509BC"/>
    <w:rsid w:val="0095299C"/>
    <w:rsid w:val="0095325C"/>
    <w:rsid w:val="009543F5"/>
    <w:rsid w:val="00955140"/>
    <w:rsid w:val="00955311"/>
    <w:rsid w:val="00956EF2"/>
    <w:rsid w:val="009657AF"/>
    <w:rsid w:val="00967709"/>
    <w:rsid w:val="009706D4"/>
    <w:rsid w:val="009711AB"/>
    <w:rsid w:val="0097203D"/>
    <w:rsid w:val="00972ACC"/>
    <w:rsid w:val="00973067"/>
    <w:rsid w:val="00975AB6"/>
    <w:rsid w:val="00977702"/>
    <w:rsid w:val="0098029F"/>
    <w:rsid w:val="00982994"/>
    <w:rsid w:val="00983C57"/>
    <w:rsid w:val="0098588D"/>
    <w:rsid w:val="00986E0E"/>
    <w:rsid w:val="009909DC"/>
    <w:rsid w:val="0099267E"/>
    <w:rsid w:val="00995755"/>
    <w:rsid w:val="00995A22"/>
    <w:rsid w:val="00997AB6"/>
    <w:rsid w:val="009A1ABA"/>
    <w:rsid w:val="009A325E"/>
    <w:rsid w:val="009A5FF0"/>
    <w:rsid w:val="009A6E3A"/>
    <w:rsid w:val="009A6FD5"/>
    <w:rsid w:val="009B0396"/>
    <w:rsid w:val="009B0628"/>
    <w:rsid w:val="009B1776"/>
    <w:rsid w:val="009B1D98"/>
    <w:rsid w:val="009B1E5F"/>
    <w:rsid w:val="009B3521"/>
    <w:rsid w:val="009B64F3"/>
    <w:rsid w:val="009C5E03"/>
    <w:rsid w:val="009C60D7"/>
    <w:rsid w:val="009D2860"/>
    <w:rsid w:val="009D42D0"/>
    <w:rsid w:val="009D4C13"/>
    <w:rsid w:val="009D7589"/>
    <w:rsid w:val="009D77B5"/>
    <w:rsid w:val="009E1A41"/>
    <w:rsid w:val="009E53F6"/>
    <w:rsid w:val="009E5CE4"/>
    <w:rsid w:val="009E74EB"/>
    <w:rsid w:val="009E752A"/>
    <w:rsid w:val="009E7D01"/>
    <w:rsid w:val="009E7F67"/>
    <w:rsid w:val="009F223E"/>
    <w:rsid w:val="009F4FE5"/>
    <w:rsid w:val="009F5627"/>
    <w:rsid w:val="009F5A11"/>
    <w:rsid w:val="009F6120"/>
    <w:rsid w:val="00A00BAB"/>
    <w:rsid w:val="00A017AE"/>
    <w:rsid w:val="00A01B64"/>
    <w:rsid w:val="00A0499D"/>
    <w:rsid w:val="00A04D6D"/>
    <w:rsid w:val="00A0574E"/>
    <w:rsid w:val="00A069F3"/>
    <w:rsid w:val="00A07E3D"/>
    <w:rsid w:val="00A10EE4"/>
    <w:rsid w:val="00A14CAC"/>
    <w:rsid w:val="00A14FF7"/>
    <w:rsid w:val="00A15017"/>
    <w:rsid w:val="00A15354"/>
    <w:rsid w:val="00A16BF0"/>
    <w:rsid w:val="00A170F1"/>
    <w:rsid w:val="00A17A9C"/>
    <w:rsid w:val="00A20097"/>
    <w:rsid w:val="00A20AF0"/>
    <w:rsid w:val="00A20FE5"/>
    <w:rsid w:val="00A23B5E"/>
    <w:rsid w:val="00A25C40"/>
    <w:rsid w:val="00A327FE"/>
    <w:rsid w:val="00A3745B"/>
    <w:rsid w:val="00A37528"/>
    <w:rsid w:val="00A41F75"/>
    <w:rsid w:val="00A44F0A"/>
    <w:rsid w:val="00A457F3"/>
    <w:rsid w:val="00A53796"/>
    <w:rsid w:val="00A53A45"/>
    <w:rsid w:val="00A549C8"/>
    <w:rsid w:val="00A55B65"/>
    <w:rsid w:val="00A56345"/>
    <w:rsid w:val="00A609C5"/>
    <w:rsid w:val="00A6143D"/>
    <w:rsid w:val="00A62C11"/>
    <w:rsid w:val="00A654E6"/>
    <w:rsid w:val="00A66359"/>
    <w:rsid w:val="00A71646"/>
    <w:rsid w:val="00A72037"/>
    <w:rsid w:val="00A72D18"/>
    <w:rsid w:val="00A76D16"/>
    <w:rsid w:val="00A806B3"/>
    <w:rsid w:val="00A833A5"/>
    <w:rsid w:val="00A85514"/>
    <w:rsid w:val="00A86F85"/>
    <w:rsid w:val="00A9036D"/>
    <w:rsid w:val="00A91450"/>
    <w:rsid w:val="00A924BD"/>
    <w:rsid w:val="00A93328"/>
    <w:rsid w:val="00A9511E"/>
    <w:rsid w:val="00A9533F"/>
    <w:rsid w:val="00A95AD2"/>
    <w:rsid w:val="00A965CE"/>
    <w:rsid w:val="00AA1069"/>
    <w:rsid w:val="00AB43DB"/>
    <w:rsid w:val="00AC0729"/>
    <w:rsid w:val="00AC30FC"/>
    <w:rsid w:val="00AC32F2"/>
    <w:rsid w:val="00AD00B0"/>
    <w:rsid w:val="00AD09F4"/>
    <w:rsid w:val="00AD0AF8"/>
    <w:rsid w:val="00AD106C"/>
    <w:rsid w:val="00AD15D4"/>
    <w:rsid w:val="00AD2777"/>
    <w:rsid w:val="00AD2988"/>
    <w:rsid w:val="00AD4542"/>
    <w:rsid w:val="00AD4C8C"/>
    <w:rsid w:val="00AD7882"/>
    <w:rsid w:val="00AD7977"/>
    <w:rsid w:val="00AE0965"/>
    <w:rsid w:val="00AE0CA0"/>
    <w:rsid w:val="00AE1D65"/>
    <w:rsid w:val="00AE32D7"/>
    <w:rsid w:val="00AE460A"/>
    <w:rsid w:val="00AE50F9"/>
    <w:rsid w:val="00AE6646"/>
    <w:rsid w:val="00AE675E"/>
    <w:rsid w:val="00AF2910"/>
    <w:rsid w:val="00AF4E04"/>
    <w:rsid w:val="00AF574F"/>
    <w:rsid w:val="00AF5FEE"/>
    <w:rsid w:val="00AF7F7E"/>
    <w:rsid w:val="00B00EC0"/>
    <w:rsid w:val="00B0151D"/>
    <w:rsid w:val="00B01F3B"/>
    <w:rsid w:val="00B10141"/>
    <w:rsid w:val="00B10327"/>
    <w:rsid w:val="00B1094C"/>
    <w:rsid w:val="00B121D3"/>
    <w:rsid w:val="00B157D3"/>
    <w:rsid w:val="00B206FA"/>
    <w:rsid w:val="00B2293C"/>
    <w:rsid w:val="00B2550F"/>
    <w:rsid w:val="00B31CF3"/>
    <w:rsid w:val="00B3530D"/>
    <w:rsid w:val="00B37114"/>
    <w:rsid w:val="00B3763B"/>
    <w:rsid w:val="00B4342B"/>
    <w:rsid w:val="00B44B4B"/>
    <w:rsid w:val="00B554C1"/>
    <w:rsid w:val="00B554F9"/>
    <w:rsid w:val="00B57879"/>
    <w:rsid w:val="00B620BD"/>
    <w:rsid w:val="00B63ADC"/>
    <w:rsid w:val="00B65E38"/>
    <w:rsid w:val="00B71294"/>
    <w:rsid w:val="00B741F0"/>
    <w:rsid w:val="00B80A6A"/>
    <w:rsid w:val="00B80F6A"/>
    <w:rsid w:val="00B82B8F"/>
    <w:rsid w:val="00B82C23"/>
    <w:rsid w:val="00B87293"/>
    <w:rsid w:val="00B90875"/>
    <w:rsid w:val="00B933D0"/>
    <w:rsid w:val="00B96465"/>
    <w:rsid w:val="00B97059"/>
    <w:rsid w:val="00BA0F1C"/>
    <w:rsid w:val="00BA1EFC"/>
    <w:rsid w:val="00BA5196"/>
    <w:rsid w:val="00BA5EEC"/>
    <w:rsid w:val="00BA718A"/>
    <w:rsid w:val="00BB17B9"/>
    <w:rsid w:val="00BB6441"/>
    <w:rsid w:val="00BB7A30"/>
    <w:rsid w:val="00BC2114"/>
    <w:rsid w:val="00BC33CD"/>
    <w:rsid w:val="00BC33FA"/>
    <w:rsid w:val="00BC5929"/>
    <w:rsid w:val="00BC5C33"/>
    <w:rsid w:val="00BD0285"/>
    <w:rsid w:val="00BD1436"/>
    <w:rsid w:val="00BD36E7"/>
    <w:rsid w:val="00BD4F3A"/>
    <w:rsid w:val="00BD5A3D"/>
    <w:rsid w:val="00BD5F17"/>
    <w:rsid w:val="00BD7FD4"/>
    <w:rsid w:val="00BE03EE"/>
    <w:rsid w:val="00BE4E09"/>
    <w:rsid w:val="00BE624E"/>
    <w:rsid w:val="00BF00FF"/>
    <w:rsid w:val="00BF1E29"/>
    <w:rsid w:val="00BF41E7"/>
    <w:rsid w:val="00BF4D2C"/>
    <w:rsid w:val="00BF5D0D"/>
    <w:rsid w:val="00BF645C"/>
    <w:rsid w:val="00BF68EF"/>
    <w:rsid w:val="00C01107"/>
    <w:rsid w:val="00C03302"/>
    <w:rsid w:val="00C03332"/>
    <w:rsid w:val="00C06749"/>
    <w:rsid w:val="00C07530"/>
    <w:rsid w:val="00C075C2"/>
    <w:rsid w:val="00C102AF"/>
    <w:rsid w:val="00C10B0A"/>
    <w:rsid w:val="00C118B1"/>
    <w:rsid w:val="00C12126"/>
    <w:rsid w:val="00C13A53"/>
    <w:rsid w:val="00C14127"/>
    <w:rsid w:val="00C148C0"/>
    <w:rsid w:val="00C2070F"/>
    <w:rsid w:val="00C22BE1"/>
    <w:rsid w:val="00C24415"/>
    <w:rsid w:val="00C311FE"/>
    <w:rsid w:val="00C357E3"/>
    <w:rsid w:val="00C36191"/>
    <w:rsid w:val="00C4242A"/>
    <w:rsid w:val="00C42D63"/>
    <w:rsid w:val="00C44517"/>
    <w:rsid w:val="00C44C43"/>
    <w:rsid w:val="00C4734D"/>
    <w:rsid w:val="00C477B2"/>
    <w:rsid w:val="00C51EDE"/>
    <w:rsid w:val="00C554CD"/>
    <w:rsid w:val="00C561CC"/>
    <w:rsid w:val="00C601F1"/>
    <w:rsid w:val="00C60BA1"/>
    <w:rsid w:val="00C61BD7"/>
    <w:rsid w:val="00C63265"/>
    <w:rsid w:val="00C634A1"/>
    <w:rsid w:val="00C6539F"/>
    <w:rsid w:val="00C6614C"/>
    <w:rsid w:val="00C66DE0"/>
    <w:rsid w:val="00C70423"/>
    <w:rsid w:val="00C7155B"/>
    <w:rsid w:val="00C725A9"/>
    <w:rsid w:val="00C751C7"/>
    <w:rsid w:val="00C754D7"/>
    <w:rsid w:val="00C75713"/>
    <w:rsid w:val="00C76176"/>
    <w:rsid w:val="00C81837"/>
    <w:rsid w:val="00C81BFC"/>
    <w:rsid w:val="00C82527"/>
    <w:rsid w:val="00C830C4"/>
    <w:rsid w:val="00C83152"/>
    <w:rsid w:val="00C83206"/>
    <w:rsid w:val="00C83D47"/>
    <w:rsid w:val="00C8400F"/>
    <w:rsid w:val="00C84C00"/>
    <w:rsid w:val="00C85501"/>
    <w:rsid w:val="00C85C08"/>
    <w:rsid w:val="00C878E9"/>
    <w:rsid w:val="00C92C73"/>
    <w:rsid w:val="00C930FA"/>
    <w:rsid w:val="00C965B5"/>
    <w:rsid w:val="00C96BED"/>
    <w:rsid w:val="00C978A5"/>
    <w:rsid w:val="00CA1887"/>
    <w:rsid w:val="00CA2A79"/>
    <w:rsid w:val="00CA3C48"/>
    <w:rsid w:val="00CA65F1"/>
    <w:rsid w:val="00CA6E2E"/>
    <w:rsid w:val="00CB20AC"/>
    <w:rsid w:val="00CB2A40"/>
    <w:rsid w:val="00CB428A"/>
    <w:rsid w:val="00CB4FA1"/>
    <w:rsid w:val="00CB7A1B"/>
    <w:rsid w:val="00CB7DB9"/>
    <w:rsid w:val="00CC0BED"/>
    <w:rsid w:val="00CC0FFE"/>
    <w:rsid w:val="00CC236A"/>
    <w:rsid w:val="00CC27CF"/>
    <w:rsid w:val="00CC2D3A"/>
    <w:rsid w:val="00CC3E63"/>
    <w:rsid w:val="00CC44FC"/>
    <w:rsid w:val="00CC4FFD"/>
    <w:rsid w:val="00CC6C59"/>
    <w:rsid w:val="00CC730F"/>
    <w:rsid w:val="00CD2620"/>
    <w:rsid w:val="00CD27D8"/>
    <w:rsid w:val="00CD591E"/>
    <w:rsid w:val="00CD5B31"/>
    <w:rsid w:val="00CE3EFA"/>
    <w:rsid w:val="00CE40D4"/>
    <w:rsid w:val="00CE4A6C"/>
    <w:rsid w:val="00CE5A54"/>
    <w:rsid w:val="00CF0F81"/>
    <w:rsid w:val="00CF1CCB"/>
    <w:rsid w:val="00CF37C5"/>
    <w:rsid w:val="00CF52CF"/>
    <w:rsid w:val="00CF7F22"/>
    <w:rsid w:val="00D00046"/>
    <w:rsid w:val="00D00B59"/>
    <w:rsid w:val="00D01B5D"/>
    <w:rsid w:val="00D02865"/>
    <w:rsid w:val="00D1044E"/>
    <w:rsid w:val="00D108E0"/>
    <w:rsid w:val="00D10DBD"/>
    <w:rsid w:val="00D1102D"/>
    <w:rsid w:val="00D140AB"/>
    <w:rsid w:val="00D156D1"/>
    <w:rsid w:val="00D158EF"/>
    <w:rsid w:val="00D1610F"/>
    <w:rsid w:val="00D1695B"/>
    <w:rsid w:val="00D16C93"/>
    <w:rsid w:val="00D17AD2"/>
    <w:rsid w:val="00D200C9"/>
    <w:rsid w:val="00D22C91"/>
    <w:rsid w:val="00D2324A"/>
    <w:rsid w:val="00D23BA1"/>
    <w:rsid w:val="00D25F34"/>
    <w:rsid w:val="00D261AA"/>
    <w:rsid w:val="00D264D9"/>
    <w:rsid w:val="00D27190"/>
    <w:rsid w:val="00D30569"/>
    <w:rsid w:val="00D3092A"/>
    <w:rsid w:val="00D33238"/>
    <w:rsid w:val="00D342E3"/>
    <w:rsid w:val="00D36ADD"/>
    <w:rsid w:val="00D36B21"/>
    <w:rsid w:val="00D3715F"/>
    <w:rsid w:val="00D373BB"/>
    <w:rsid w:val="00D37850"/>
    <w:rsid w:val="00D4241D"/>
    <w:rsid w:val="00D44EAA"/>
    <w:rsid w:val="00D469FC"/>
    <w:rsid w:val="00D471D4"/>
    <w:rsid w:val="00D47981"/>
    <w:rsid w:val="00D47FF6"/>
    <w:rsid w:val="00D5115F"/>
    <w:rsid w:val="00D513DA"/>
    <w:rsid w:val="00D52A28"/>
    <w:rsid w:val="00D54499"/>
    <w:rsid w:val="00D5662B"/>
    <w:rsid w:val="00D57A83"/>
    <w:rsid w:val="00D57C79"/>
    <w:rsid w:val="00D60DF7"/>
    <w:rsid w:val="00D61197"/>
    <w:rsid w:val="00D65AB4"/>
    <w:rsid w:val="00D66835"/>
    <w:rsid w:val="00D66A2F"/>
    <w:rsid w:val="00D70EB7"/>
    <w:rsid w:val="00D7319C"/>
    <w:rsid w:val="00D74F18"/>
    <w:rsid w:val="00D75FAE"/>
    <w:rsid w:val="00D7788F"/>
    <w:rsid w:val="00D810FB"/>
    <w:rsid w:val="00D83138"/>
    <w:rsid w:val="00D856F0"/>
    <w:rsid w:val="00D876E5"/>
    <w:rsid w:val="00D901A0"/>
    <w:rsid w:val="00D91049"/>
    <w:rsid w:val="00D92478"/>
    <w:rsid w:val="00D92BC6"/>
    <w:rsid w:val="00D92C2D"/>
    <w:rsid w:val="00D92EFA"/>
    <w:rsid w:val="00D94B3E"/>
    <w:rsid w:val="00D9592D"/>
    <w:rsid w:val="00D95BCB"/>
    <w:rsid w:val="00D9658B"/>
    <w:rsid w:val="00D9751B"/>
    <w:rsid w:val="00DA4669"/>
    <w:rsid w:val="00DA4B61"/>
    <w:rsid w:val="00DA6165"/>
    <w:rsid w:val="00DB212C"/>
    <w:rsid w:val="00DB246D"/>
    <w:rsid w:val="00DB33B3"/>
    <w:rsid w:val="00DB403B"/>
    <w:rsid w:val="00DB601B"/>
    <w:rsid w:val="00DB6864"/>
    <w:rsid w:val="00DB76B4"/>
    <w:rsid w:val="00DC07B4"/>
    <w:rsid w:val="00DC102C"/>
    <w:rsid w:val="00DC2CD5"/>
    <w:rsid w:val="00DC2DEB"/>
    <w:rsid w:val="00DC391C"/>
    <w:rsid w:val="00DC4315"/>
    <w:rsid w:val="00DC7F97"/>
    <w:rsid w:val="00DD00DC"/>
    <w:rsid w:val="00DD17C8"/>
    <w:rsid w:val="00DD1BD6"/>
    <w:rsid w:val="00DD220F"/>
    <w:rsid w:val="00DD39BC"/>
    <w:rsid w:val="00DD4B78"/>
    <w:rsid w:val="00DD5881"/>
    <w:rsid w:val="00DD665B"/>
    <w:rsid w:val="00DE1657"/>
    <w:rsid w:val="00DE1947"/>
    <w:rsid w:val="00DE367B"/>
    <w:rsid w:val="00DE3CDF"/>
    <w:rsid w:val="00DE5284"/>
    <w:rsid w:val="00DE588D"/>
    <w:rsid w:val="00DE58E5"/>
    <w:rsid w:val="00DE6C3F"/>
    <w:rsid w:val="00DE6CFE"/>
    <w:rsid w:val="00DE74BB"/>
    <w:rsid w:val="00DF1576"/>
    <w:rsid w:val="00DF2B7F"/>
    <w:rsid w:val="00DF4878"/>
    <w:rsid w:val="00DF490D"/>
    <w:rsid w:val="00DF587A"/>
    <w:rsid w:val="00DF6E02"/>
    <w:rsid w:val="00DF7031"/>
    <w:rsid w:val="00DF7EA7"/>
    <w:rsid w:val="00E00A98"/>
    <w:rsid w:val="00E0111C"/>
    <w:rsid w:val="00E0127C"/>
    <w:rsid w:val="00E01ADD"/>
    <w:rsid w:val="00E01E7D"/>
    <w:rsid w:val="00E035FA"/>
    <w:rsid w:val="00E04DA9"/>
    <w:rsid w:val="00E05FA6"/>
    <w:rsid w:val="00E06014"/>
    <w:rsid w:val="00E07861"/>
    <w:rsid w:val="00E07ACD"/>
    <w:rsid w:val="00E07FA9"/>
    <w:rsid w:val="00E11583"/>
    <w:rsid w:val="00E15832"/>
    <w:rsid w:val="00E17F55"/>
    <w:rsid w:val="00E20887"/>
    <w:rsid w:val="00E214C4"/>
    <w:rsid w:val="00E21E6F"/>
    <w:rsid w:val="00E23406"/>
    <w:rsid w:val="00E269CF"/>
    <w:rsid w:val="00E27779"/>
    <w:rsid w:val="00E30090"/>
    <w:rsid w:val="00E31DF0"/>
    <w:rsid w:val="00E348F6"/>
    <w:rsid w:val="00E350DD"/>
    <w:rsid w:val="00E35BF1"/>
    <w:rsid w:val="00E4243F"/>
    <w:rsid w:val="00E4658E"/>
    <w:rsid w:val="00E4722E"/>
    <w:rsid w:val="00E5449F"/>
    <w:rsid w:val="00E5596E"/>
    <w:rsid w:val="00E61096"/>
    <w:rsid w:val="00E61487"/>
    <w:rsid w:val="00E6150A"/>
    <w:rsid w:val="00E624E6"/>
    <w:rsid w:val="00E62D5C"/>
    <w:rsid w:val="00E637F9"/>
    <w:rsid w:val="00E64A59"/>
    <w:rsid w:val="00E70385"/>
    <w:rsid w:val="00E72FF6"/>
    <w:rsid w:val="00E76CA7"/>
    <w:rsid w:val="00E778EE"/>
    <w:rsid w:val="00E81473"/>
    <w:rsid w:val="00E82920"/>
    <w:rsid w:val="00E90FEF"/>
    <w:rsid w:val="00E91002"/>
    <w:rsid w:val="00E93F0D"/>
    <w:rsid w:val="00E93FA4"/>
    <w:rsid w:val="00E9432E"/>
    <w:rsid w:val="00E95979"/>
    <w:rsid w:val="00E95C20"/>
    <w:rsid w:val="00E96165"/>
    <w:rsid w:val="00EA269D"/>
    <w:rsid w:val="00EA2835"/>
    <w:rsid w:val="00EA3179"/>
    <w:rsid w:val="00EB4969"/>
    <w:rsid w:val="00EB49F7"/>
    <w:rsid w:val="00EB5382"/>
    <w:rsid w:val="00EB5A0F"/>
    <w:rsid w:val="00EC0423"/>
    <w:rsid w:val="00EC2138"/>
    <w:rsid w:val="00EC4882"/>
    <w:rsid w:val="00EC546C"/>
    <w:rsid w:val="00EC5572"/>
    <w:rsid w:val="00ED189C"/>
    <w:rsid w:val="00ED3A5D"/>
    <w:rsid w:val="00ED421E"/>
    <w:rsid w:val="00ED51C4"/>
    <w:rsid w:val="00ED769E"/>
    <w:rsid w:val="00ED7FF3"/>
    <w:rsid w:val="00EE07F4"/>
    <w:rsid w:val="00EE0AC7"/>
    <w:rsid w:val="00EE1305"/>
    <w:rsid w:val="00EE1CF2"/>
    <w:rsid w:val="00EE267B"/>
    <w:rsid w:val="00EE33C0"/>
    <w:rsid w:val="00EE3454"/>
    <w:rsid w:val="00EE3574"/>
    <w:rsid w:val="00EE4230"/>
    <w:rsid w:val="00EE796C"/>
    <w:rsid w:val="00EF3A80"/>
    <w:rsid w:val="00EF3DD0"/>
    <w:rsid w:val="00EF402A"/>
    <w:rsid w:val="00EF45A6"/>
    <w:rsid w:val="00EF5180"/>
    <w:rsid w:val="00EF5E09"/>
    <w:rsid w:val="00F011B4"/>
    <w:rsid w:val="00F013C6"/>
    <w:rsid w:val="00F0201F"/>
    <w:rsid w:val="00F0480F"/>
    <w:rsid w:val="00F048E8"/>
    <w:rsid w:val="00F05898"/>
    <w:rsid w:val="00F1166E"/>
    <w:rsid w:val="00F11CE9"/>
    <w:rsid w:val="00F153DB"/>
    <w:rsid w:val="00F17890"/>
    <w:rsid w:val="00F2300F"/>
    <w:rsid w:val="00F25A71"/>
    <w:rsid w:val="00F2734A"/>
    <w:rsid w:val="00F31C17"/>
    <w:rsid w:val="00F32921"/>
    <w:rsid w:val="00F3350C"/>
    <w:rsid w:val="00F34635"/>
    <w:rsid w:val="00F34B00"/>
    <w:rsid w:val="00F37427"/>
    <w:rsid w:val="00F40693"/>
    <w:rsid w:val="00F41BD3"/>
    <w:rsid w:val="00F437D5"/>
    <w:rsid w:val="00F439D8"/>
    <w:rsid w:val="00F43F2F"/>
    <w:rsid w:val="00F47DDD"/>
    <w:rsid w:val="00F5122B"/>
    <w:rsid w:val="00F558F2"/>
    <w:rsid w:val="00F55BDA"/>
    <w:rsid w:val="00F56CD7"/>
    <w:rsid w:val="00F60D5A"/>
    <w:rsid w:val="00F628D5"/>
    <w:rsid w:val="00F64C36"/>
    <w:rsid w:val="00F652DB"/>
    <w:rsid w:val="00F70158"/>
    <w:rsid w:val="00F70AF6"/>
    <w:rsid w:val="00F70C74"/>
    <w:rsid w:val="00F729F2"/>
    <w:rsid w:val="00F77991"/>
    <w:rsid w:val="00F77F43"/>
    <w:rsid w:val="00F8150C"/>
    <w:rsid w:val="00F833B1"/>
    <w:rsid w:val="00F83D81"/>
    <w:rsid w:val="00F83FC9"/>
    <w:rsid w:val="00F86512"/>
    <w:rsid w:val="00F86E9D"/>
    <w:rsid w:val="00F87B4F"/>
    <w:rsid w:val="00F90A76"/>
    <w:rsid w:val="00F91C2F"/>
    <w:rsid w:val="00F92D55"/>
    <w:rsid w:val="00F94297"/>
    <w:rsid w:val="00F96273"/>
    <w:rsid w:val="00F97B7D"/>
    <w:rsid w:val="00FA2765"/>
    <w:rsid w:val="00FA442B"/>
    <w:rsid w:val="00FA529B"/>
    <w:rsid w:val="00FA6679"/>
    <w:rsid w:val="00FA7B9B"/>
    <w:rsid w:val="00FB0CCF"/>
    <w:rsid w:val="00FB295F"/>
    <w:rsid w:val="00FB3966"/>
    <w:rsid w:val="00FB627F"/>
    <w:rsid w:val="00FC0D21"/>
    <w:rsid w:val="00FC10BE"/>
    <w:rsid w:val="00FC3E34"/>
    <w:rsid w:val="00FC3FAD"/>
    <w:rsid w:val="00FC44AE"/>
    <w:rsid w:val="00FC5CE1"/>
    <w:rsid w:val="00FC7A8D"/>
    <w:rsid w:val="00FC7D71"/>
    <w:rsid w:val="00FD27BE"/>
    <w:rsid w:val="00FD39BE"/>
    <w:rsid w:val="00FD4E1F"/>
    <w:rsid w:val="00FE0AE8"/>
    <w:rsid w:val="00FE2297"/>
    <w:rsid w:val="00FE4060"/>
    <w:rsid w:val="00FE79A2"/>
    <w:rsid w:val="00FF0B8E"/>
    <w:rsid w:val="00FF2D23"/>
    <w:rsid w:val="00FF4F56"/>
    <w:rsid w:val="00FF5C0A"/>
    <w:rsid w:val="0151BD98"/>
    <w:rsid w:val="03526F40"/>
    <w:rsid w:val="03726088"/>
    <w:rsid w:val="081327DD"/>
    <w:rsid w:val="0A75EF85"/>
    <w:rsid w:val="0ADCC4AA"/>
    <w:rsid w:val="0D25B790"/>
    <w:rsid w:val="0EC71337"/>
    <w:rsid w:val="0F8D28A7"/>
    <w:rsid w:val="12AD7FFD"/>
    <w:rsid w:val="138B57EC"/>
    <w:rsid w:val="173B4A30"/>
    <w:rsid w:val="1AB055E0"/>
    <w:rsid w:val="1FC1CD86"/>
    <w:rsid w:val="20C76D60"/>
    <w:rsid w:val="228D3B53"/>
    <w:rsid w:val="286AD95C"/>
    <w:rsid w:val="29F076B8"/>
    <w:rsid w:val="2C11FB7F"/>
    <w:rsid w:val="2D99D4FD"/>
    <w:rsid w:val="311C1D17"/>
    <w:rsid w:val="319009C6"/>
    <w:rsid w:val="31F89345"/>
    <w:rsid w:val="36ED31D9"/>
    <w:rsid w:val="3811EDF6"/>
    <w:rsid w:val="38555438"/>
    <w:rsid w:val="3C1DD911"/>
    <w:rsid w:val="3E503650"/>
    <w:rsid w:val="42B7747E"/>
    <w:rsid w:val="43095026"/>
    <w:rsid w:val="4428C600"/>
    <w:rsid w:val="49C16802"/>
    <w:rsid w:val="4F2DC519"/>
    <w:rsid w:val="4FD9D5B0"/>
    <w:rsid w:val="56E0EF18"/>
    <w:rsid w:val="5ACB3CB1"/>
    <w:rsid w:val="6283772B"/>
    <w:rsid w:val="64F1F49C"/>
    <w:rsid w:val="6BC98950"/>
    <w:rsid w:val="6D103618"/>
    <w:rsid w:val="712C8E22"/>
    <w:rsid w:val="71E3A73B"/>
    <w:rsid w:val="75B94D81"/>
    <w:rsid w:val="76F82D86"/>
    <w:rsid w:val="7843BC51"/>
    <w:rsid w:val="7EC5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06D8B"/>
  <w15:docId w15:val="{4C568E27-BBD8-4AB7-B544-EAB5132E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EE"/>
    <w:pPr>
      <w:spacing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1"/>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1"/>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uiPriority w:val="1"/>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1"/>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D30569"/>
    <w:pPr>
      <w:tabs>
        <w:tab w:val="right" w:leader="dot" w:pos="9016"/>
      </w:tabs>
      <w:spacing w:after="100"/>
    </w:pPr>
    <w:rPr>
      <w:rFonts w:ascii="Verdana" w:hAnsi="Verdana"/>
      <w:noProof/>
      <w:sz w:val="18"/>
      <w:szCs w:val="18"/>
      <w:lang w:val="en-AU"/>
    </w:rPr>
  </w:style>
  <w:style w:type="paragraph" w:customStyle="1" w:styleId="T1TableStyle">
    <w:name w:val="T1TableStyle"/>
  </w:style>
  <w:style w:type="paragraph" w:customStyle="1" w:styleId="Normal1">
    <w:name w:val="Normal_1"/>
    <w:qFormat/>
    <w:rsid w:val="00725A6C"/>
  </w:style>
  <w:style w:type="paragraph" w:customStyle="1" w:styleId="Normal00">
    <w:name w:val="Normal_0_0"/>
    <w:rsid w:val="00870146"/>
  </w:style>
  <w:style w:type="paragraph" w:styleId="TOC2">
    <w:name w:val="toc 2"/>
    <w:basedOn w:val="Normal"/>
    <w:next w:val="Normal"/>
    <w:autoRedefine/>
    <w:uiPriority w:val="39"/>
    <w:rsid w:val="00ED421E"/>
    <w:pPr>
      <w:tabs>
        <w:tab w:val="right" w:pos="878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5A4F99"/>
    <w:rPr>
      <w:rFonts w:asciiTheme="minorHAnsi" w:hAnsiTheme="minorHAnsi"/>
      <w:b w:val="0"/>
      <w:smallCaps/>
      <w:color w:val="25316C"/>
      <w:sz w:val="32"/>
    </w:rPr>
  </w:style>
  <w:style w:type="paragraph" w:customStyle="1" w:styleId="VAHeadingLevel2">
    <w:name w:val="VA Heading Level 2"/>
    <w:link w:val="VAHeadingLevel2Char"/>
    <w:qFormat/>
    <w:rsid w:val="005A4F99"/>
    <w:pPr>
      <w:numPr>
        <w:ilvl w:val="1"/>
      </w:numPr>
      <w:tabs>
        <w:tab w:val="left" w:pos="1418"/>
      </w:tabs>
      <w:spacing w:line="276" w:lineRule="auto"/>
    </w:pPr>
    <w:rPr>
      <w:rFonts w:eastAsia="Times New Roman" w:cs="Times New Roman"/>
      <w:bCs/>
      <w:color w:val="25316C"/>
      <w:lang w:val="en-GB"/>
    </w:rPr>
  </w:style>
  <w:style w:type="character" w:customStyle="1" w:styleId="VAHeadingChar">
    <w:name w:val="VA Heading Char"/>
    <w:basedOn w:val="Heading2Char"/>
    <w:link w:val="VAHeading"/>
    <w:rsid w:val="005A4F99"/>
    <w:rPr>
      <w:rFonts w:ascii="Times New Roman" w:eastAsia="Times New Roman" w:hAnsi="Times New Roman" w:cs="Times New Roman"/>
      <w:b w:val="0"/>
      <w:bCs/>
      <w:smallCaps/>
      <w:color w:val="25316C"/>
      <w:sz w:val="32"/>
      <w:lang w:val="en-GB"/>
    </w:rPr>
  </w:style>
  <w:style w:type="paragraph" w:customStyle="1" w:styleId="VAHeadingLevel3">
    <w:name w:val="VA Heading Level 3"/>
    <w:basedOn w:val="VAHeadingLevel2"/>
    <w:link w:val="VAHeadingLevel3Char"/>
    <w:qFormat/>
    <w:rsid w:val="00FC7A8D"/>
    <w:pPr>
      <w:numPr>
        <w:ilvl w:val="2"/>
      </w:numPr>
      <w:tabs>
        <w:tab w:val="clear" w:pos="1418"/>
        <w:tab w:val="left" w:pos="1985"/>
      </w:tabs>
    </w:pPr>
    <w:rPr>
      <w:rFonts w:ascii="Calibri" w:hAnsi="Calibri"/>
      <w:sz w:val="20"/>
    </w:rPr>
  </w:style>
  <w:style w:type="character" w:customStyle="1" w:styleId="VAHeadingLevel2Char">
    <w:name w:val="VA Heading Level 2 Char"/>
    <w:basedOn w:val="VAHeadingChar"/>
    <w:link w:val="VAHeadingLevel2"/>
    <w:rsid w:val="005A4F99"/>
    <w:rPr>
      <w:rFonts w:ascii="Times New Roman" w:eastAsia="Times New Roman" w:hAnsi="Times New Roman" w:cs="Times New Roman"/>
      <w:b w:val="0"/>
      <w:bCs/>
      <w:smallCaps w:val="0"/>
      <w:color w:val="25316C"/>
      <w:sz w:val="32"/>
      <w:lang w:val="en-GB"/>
    </w:rPr>
  </w:style>
  <w:style w:type="character" w:customStyle="1" w:styleId="VAHeadingLevel3Char">
    <w:name w:val="VA Heading Level 3 Char"/>
    <w:basedOn w:val="VAHeadingLevel2Char"/>
    <w:link w:val="VAHeadingLevel3"/>
    <w:rsid w:val="00FC7A8D"/>
    <w:rPr>
      <w:rFonts w:ascii="Calibri" w:eastAsia="Times New Roman" w:hAnsi="Calibri" w:cs="Times New Roman"/>
      <w:b w:val="0"/>
      <w:bCs/>
      <w:smallCaps w:val="0"/>
      <w:color w:val="25316C"/>
      <w:sz w:val="20"/>
      <w:lang w:val="en-GB"/>
    </w:rPr>
  </w:style>
  <w:style w:type="paragraph" w:customStyle="1" w:styleId="RedBullet">
    <w:name w:val="Red Bullet"/>
    <w:basedOn w:val="ListParagraph"/>
    <w:link w:val="RedBulletChar"/>
    <w:qFormat/>
    <w:rsid w:val="00AE32D7"/>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AE32D7"/>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5A4F99"/>
    <w:rPr>
      <w:rFonts w:asciiTheme="minorHAnsi" w:hAnsiTheme="minorHAnsi"/>
      <w:smallCaps/>
      <w:color w:val="25316C"/>
      <w:sz w:val="36"/>
    </w:rPr>
  </w:style>
  <w:style w:type="character" w:customStyle="1" w:styleId="ChapterHeadingChar">
    <w:name w:val="Chapter Heading Char"/>
    <w:basedOn w:val="VAHeadingChar"/>
    <w:link w:val="ChapterHeading"/>
    <w:rsid w:val="005A4F99"/>
    <w:rPr>
      <w:rFonts w:ascii="Times New Roman" w:eastAsia="Times New Roman" w:hAnsi="Times New Roman" w:cs="Times New Roman"/>
      <w:b/>
      <w:bCs/>
      <w:smallCaps/>
      <w:color w:val="25316C"/>
      <w:sz w:val="36"/>
      <w:lang w:val="en-GB"/>
    </w:rPr>
  </w:style>
  <w:style w:type="paragraph" w:customStyle="1" w:styleId="NoteHeader">
    <w:name w:val="Note Header"/>
    <w:basedOn w:val="VAHeading"/>
    <w:link w:val="NoteHeaderChar"/>
    <w:qFormat/>
    <w:rsid w:val="005A4F99"/>
    <w:rPr>
      <w:b/>
      <w:smallCaps w:val="0"/>
      <w:sz w:val="24"/>
      <w:u w:val="single"/>
    </w:rPr>
  </w:style>
  <w:style w:type="paragraph" w:styleId="TOC3">
    <w:name w:val="toc 3"/>
    <w:basedOn w:val="Normal"/>
    <w:next w:val="Normal"/>
    <w:autoRedefine/>
    <w:uiPriority w:val="39"/>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5A4F99"/>
    <w:rPr>
      <w:rFonts w:ascii="Times New Roman" w:eastAsia="Times New Roman" w:hAnsi="Times New Roman" w:cs="Times New Roman"/>
      <w:b/>
      <w:bCs/>
      <w:smallCaps w:val="0"/>
      <w:color w:val="25316C"/>
      <w:sz w:val="32"/>
      <w:u w:val="single"/>
      <w:lang w:val="en-GB"/>
    </w:rPr>
  </w:style>
  <w:style w:type="paragraph" w:customStyle="1" w:styleId="Numbering">
    <w:name w:val="Numbering"/>
    <w:basedOn w:val="VAHeadingLevel2"/>
    <w:link w:val="NumberingChar"/>
    <w:qFormat/>
    <w:rsid w:val="005A4F99"/>
    <w:pPr>
      <w:numPr>
        <w:ilvl w:val="0"/>
        <w:numId w:val="3"/>
      </w:numPr>
      <w:ind w:left="426" w:hanging="426"/>
    </w:pPr>
  </w:style>
  <w:style w:type="character" w:customStyle="1" w:styleId="NumberingChar">
    <w:name w:val="Numbering Char"/>
    <w:basedOn w:val="VAHeadingLevel2Char"/>
    <w:link w:val="Numbering"/>
    <w:rsid w:val="005A4F99"/>
    <w:rPr>
      <w:rFonts w:ascii="Times New Roman" w:eastAsia="Times New Roman" w:hAnsi="Times New Roman" w:cs="Times New Roman"/>
      <w:b w:val="0"/>
      <w:bCs/>
      <w:smallCaps w:val="0"/>
      <w:color w:val="25316C"/>
      <w:sz w:val="32"/>
      <w:lang w:val="en-GB"/>
    </w:rPr>
  </w:style>
  <w:style w:type="table" w:customStyle="1" w:styleId="TableGrid4">
    <w:name w:val="Table Grid4"/>
    <w:basedOn w:val="TableNormal"/>
    <w:next w:val="TableGrid"/>
    <w:uiPriority w:val="39"/>
    <w:rsid w:val="00973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olouredtext">
    <w:name w:val="Bullet (coloured text)"/>
    <w:basedOn w:val="VAHeadingLevel3"/>
    <w:link w:val="BulletcolouredtextChar"/>
    <w:rsid w:val="00C725A9"/>
    <w:pPr>
      <w:numPr>
        <w:ilvl w:val="0"/>
        <w:numId w:val="4"/>
      </w:numPr>
      <w:jc w:val="both"/>
    </w:pPr>
    <w:rPr>
      <w:rFonts w:ascii="Times New Roman" w:hAnsi="Times New Roman"/>
      <w:color w:val="990033"/>
    </w:rPr>
  </w:style>
  <w:style w:type="character" w:customStyle="1" w:styleId="BulletcolouredtextChar">
    <w:name w:val="Bullet (coloured text) Char"/>
    <w:basedOn w:val="VAHeadingLevel3Char"/>
    <w:link w:val="Bulletcolouredtext"/>
    <w:rsid w:val="00C725A9"/>
    <w:rPr>
      <w:rFonts w:ascii="Times New Roman" w:eastAsia="Times New Roman" w:hAnsi="Times New Roman" w:cs="Times New Roman"/>
      <w:b w:val="0"/>
      <w:bCs/>
      <w:smallCaps w:val="0"/>
      <w:color w:val="990033"/>
      <w:sz w:val="20"/>
      <w:lang w:val="en-GB"/>
    </w:rPr>
  </w:style>
  <w:style w:type="paragraph" w:customStyle="1" w:styleId="Bulletscolouredtext">
    <w:name w:val="Bullets (coloured text)"/>
    <w:basedOn w:val="VAHeadingLevel3"/>
    <w:link w:val="BulletscolouredtextChar"/>
    <w:autoRedefine/>
    <w:qFormat/>
    <w:rsid w:val="005A4F99"/>
    <w:pPr>
      <w:numPr>
        <w:ilvl w:val="0"/>
        <w:numId w:val="5"/>
      </w:numPr>
    </w:pPr>
  </w:style>
  <w:style w:type="character" w:customStyle="1" w:styleId="BulletscolouredtextChar">
    <w:name w:val="Bullets (coloured text) Char"/>
    <w:basedOn w:val="VAHeadingLevel3Char"/>
    <w:link w:val="Bulletscolouredtext"/>
    <w:rsid w:val="005A4F99"/>
    <w:rPr>
      <w:rFonts w:ascii="Calibri" w:eastAsia="Times New Roman" w:hAnsi="Calibri" w:cs="Times New Roman"/>
      <w:b w:val="0"/>
      <w:bCs/>
      <w:smallCaps w:val="0"/>
      <w:color w:val="25316C"/>
      <w:sz w:val="20"/>
      <w:lang w:val="en-GB"/>
    </w:rPr>
  </w:style>
  <w:style w:type="character" w:styleId="UnresolvedMention">
    <w:name w:val="Unresolved Mention"/>
    <w:basedOn w:val="DefaultParagraphFont"/>
    <w:uiPriority w:val="99"/>
    <w:unhideWhenUsed/>
    <w:rsid w:val="00C24415"/>
    <w:rPr>
      <w:color w:val="605E5C"/>
      <w:shd w:val="clear" w:color="auto" w:fill="E1DFDD"/>
    </w:rPr>
  </w:style>
  <w:style w:type="character" w:styleId="Mention">
    <w:name w:val="Mention"/>
    <w:basedOn w:val="DefaultParagraphFont"/>
    <w:uiPriority w:val="99"/>
    <w:unhideWhenUsed/>
    <w:rsid w:val="00C24415"/>
    <w:rPr>
      <w:color w:val="2B579A"/>
      <w:shd w:val="clear" w:color="auto" w:fill="E1DFDD"/>
    </w:rPr>
  </w:style>
  <w:style w:type="character" w:customStyle="1" w:styleId="FirebulletChar">
    <w:name w:val="Fire bullet Char"/>
    <w:basedOn w:val="DefaultParagraphFont"/>
    <w:link w:val="Firebullet"/>
    <w:locked/>
    <w:rsid w:val="005F41F0"/>
    <w:rPr>
      <w:rFonts w:ascii="Calibri" w:eastAsia="Calibri" w:hAnsi="Calibri" w:cs="Calibri"/>
    </w:rPr>
  </w:style>
  <w:style w:type="paragraph" w:customStyle="1" w:styleId="Firebullet">
    <w:name w:val="Fire bullet"/>
    <w:basedOn w:val="ListParagraph"/>
    <w:link w:val="FirebulletChar"/>
    <w:qFormat/>
    <w:rsid w:val="005F41F0"/>
    <w:pPr>
      <w:numPr>
        <w:numId w:val="8"/>
      </w:numPr>
      <w:spacing w:after="0"/>
      <w:ind w:left="284" w:hanging="284"/>
      <w:contextualSpacing/>
    </w:pPr>
    <w:rPr>
      <w:rFonts w:eastAsia="Calibri" w:cs="Calibri"/>
      <w:color w:val="auto"/>
      <w:sz w:val="24"/>
      <w:szCs w:val="24"/>
      <w:lang w:val="en-US"/>
    </w:rPr>
  </w:style>
  <w:style w:type="paragraph" w:styleId="TOC4">
    <w:name w:val="toc 4"/>
    <w:basedOn w:val="Normal"/>
    <w:next w:val="Normal"/>
    <w:autoRedefine/>
    <w:uiPriority w:val="39"/>
    <w:unhideWhenUsed/>
    <w:rsid w:val="00DD1BD6"/>
    <w:pPr>
      <w:spacing w:after="100" w:line="278" w:lineRule="auto"/>
      <w:ind w:left="720"/>
      <w:jc w:val="left"/>
    </w:pPr>
    <w:rPr>
      <w:rFonts w:asciiTheme="minorHAnsi" w:eastAsiaTheme="minorEastAsia" w:hAnsiTheme="minorHAnsi"/>
      <w:color w:val="auto"/>
      <w:kern w:val="2"/>
      <w:sz w:val="24"/>
      <w:lang w:eastAsia="en-GB"/>
      <w14:ligatures w14:val="standardContextual"/>
    </w:rPr>
  </w:style>
  <w:style w:type="paragraph" w:styleId="TOC5">
    <w:name w:val="toc 5"/>
    <w:basedOn w:val="Normal"/>
    <w:next w:val="Normal"/>
    <w:autoRedefine/>
    <w:uiPriority w:val="39"/>
    <w:unhideWhenUsed/>
    <w:rsid w:val="00DD1BD6"/>
    <w:pPr>
      <w:spacing w:after="100" w:line="278" w:lineRule="auto"/>
      <w:ind w:left="960"/>
      <w:jc w:val="left"/>
    </w:pPr>
    <w:rPr>
      <w:rFonts w:asciiTheme="minorHAnsi" w:eastAsiaTheme="minorEastAsia" w:hAnsiTheme="minorHAnsi"/>
      <w:color w:val="auto"/>
      <w:kern w:val="2"/>
      <w:sz w:val="24"/>
      <w:lang w:eastAsia="en-GB"/>
      <w14:ligatures w14:val="standardContextual"/>
    </w:rPr>
  </w:style>
  <w:style w:type="paragraph" w:styleId="TOC6">
    <w:name w:val="toc 6"/>
    <w:basedOn w:val="Normal"/>
    <w:next w:val="Normal"/>
    <w:autoRedefine/>
    <w:uiPriority w:val="39"/>
    <w:unhideWhenUsed/>
    <w:rsid w:val="00DD1BD6"/>
    <w:pPr>
      <w:spacing w:after="100" w:line="278" w:lineRule="auto"/>
      <w:ind w:left="1200"/>
      <w:jc w:val="left"/>
    </w:pPr>
    <w:rPr>
      <w:rFonts w:asciiTheme="minorHAnsi" w:eastAsiaTheme="minorEastAsia" w:hAnsiTheme="minorHAnsi"/>
      <w:color w:val="auto"/>
      <w:kern w:val="2"/>
      <w:sz w:val="24"/>
      <w:lang w:eastAsia="en-GB"/>
      <w14:ligatures w14:val="standardContextual"/>
    </w:rPr>
  </w:style>
  <w:style w:type="paragraph" w:styleId="TOC7">
    <w:name w:val="toc 7"/>
    <w:basedOn w:val="Normal"/>
    <w:next w:val="Normal"/>
    <w:autoRedefine/>
    <w:uiPriority w:val="39"/>
    <w:unhideWhenUsed/>
    <w:rsid w:val="00DD1BD6"/>
    <w:pPr>
      <w:spacing w:after="100" w:line="278" w:lineRule="auto"/>
      <w:ind w:left="1440"/>
      <w:jc w:val="left"/>
    </w:pPr>
    <w:rPr>
      <w:rFonts w:asciiTheme="minorHAnsi" w:eastAsiaTheme="minorEastAsia" w:hAnsiTheme="minorHAnsi"/>
      <w:color w:val="auto"/>
      <w:kern w:val="2"/>
      <w:sz w:val="24"/>
      <w:lang w:eastAsia="en-GB"/>
      <w14:ligatures w14:val="standardContextual"/>
    </w:rPr>
  </w:style>
  <w:style w:type="paragraph" w:styleId="TOC8">
    <w:name w:val="toc 8"/>
    <w:basedOn w:val="Normal"/>
    <w:next w:val="Normal"/>
    <w:autoRedefine/>
    <w:uiPriority w:val="39"/>
    <w:unhideWhenUsed/>
    <w:rsid w:val="00DD1BD6"/>
    <w:pPr>
      <w:spacing w:after="100" w:line="278" w:lineRule="auto"/>
      <w:ind w:left="1680"/>
      <w:jc w:val="left"/>
    </w:pPr>
    <w:rPr>
      <w:rFonts w:asciiTheme="minorHAnsi" w:eastAsiaTheme="minorEastAsia" w:hAnsiTheme="minorHAnsi"/>
      <w:color w:val="auto"/>
      <w:kern w:val="2"/>
      <w:sz w:val="24"/>
      <w:lang w:eastAsia="en-GB"/>
      <w14:ligatures w14:val="standardContextual"/>
    </w:rPr>
  </w:style>
  <w:style w:type="paragraph" w:styleId="TOC9">
    <w:name w:val="toc 9"/>
    <w:basedOn w:val="Normal"/>
    <w:next w:val="Normal"/>
    <w:autoRedefine/>
    <w:uiPriority w:val="39"/>
    <w:unhideWhenUsed/>
    <w:rsid w:val="00DD1BD6"/>
    <w:pPr>
      <w:spacing w:after="100" w:line="278" w:lineRule="auto"/>
      <w:ind w:left="1920"/>
      <w:jc w:val="left"/>
    </w:pPr>
    <w:rPr>
      <w:rFonts w:asciiTheme="minorHAnsi" w:eastAsiaTheme="minorEastAsia" w:hAnsiTheme="minorHAnsi"/>
      <w:color w:val="auto"/>
      <w:kern w:val="2"/>
      <w:sz w:val="24"/>
      <w:lang w:eastAsia="en-GB"/>
      <w14:ligatures w14:val="standardContextual"/>
    </w:rPr>
  </w:style>
  <w:style w:type="paragraph" w:styleId="Title">
    <w:name w:val="Title"/>
    <w:basedOn w:val="Normal"/>
    <w:next w:val="Normal"/>
    <w:link w:val="TitleChar"/>
    <w:uiPriority w:val="1"/>
    <w:qFormat/>
    <w:rsid w:val="003D06FE"/>
    <w:pPr>
      <w:autoSpaceDE w:val="0"/>
      <w:autoSpaceDN w:val="0"/>
      <w:adjustRightInd w:val="0"/>
      <w:spacing w:line="284" w:lineRule="exact"/>
      <w:ind w:left="40"/>
      <w:jc w:val="left"/>
    </w:pPr>
    <w:rPr>
      <w:rFonts w:ascii="Arial" w:hAnsi="Arial" w:cs="Arial"/>
      <w:color w:val="auto"/>
      <w:sz w:val="26"/>
      <w:szCs w:val="26"/>
    </w:rPr>
  </w:style>
  <w:style w:type="character" w:customStyle="1" w:styleId="TitleChar">
    <w:name w:val="Title Char"/>
    <w:basedOn w:val="DefaultParagraphFont"/>
    <w:link w:val="Title"/>
    <w:uiPriority w:val="1"/>
    <w:rsid w:val="003D06FE"/>
    <w:rPr>
      <w:rFonts w:ascii="Arial" w:hAnsi="Arial" w:cs="Arial"/>
      <w:sz w:val="26"/>
      <w:szCs w:val="26"/>
      <w:lang w:val="en-GB"/>
    </w:rPr>
  </w:style>
  <w:style w:type="paragraph" w:customStyle="1" w:styleId="TableParagraph">
    <w:name w:val="Table Paragraph"/>
    <w:basedOn w:val="Normal"/>
    <w:uiPriority w:val="1"/>
    <w:qFormat/>
    <w:rsid w:val="003D06FE"/>
    <w:pPr>
      <w:autoSpaceDE w:val="0"/>
      <w:autoSpaceDN w:val="0"/>
      <w:adjustRightInd w:val="0"/>
      <w:spacing w:line="240" w:lineRule="auto"/>
      <w:jc w:val="left"/>
    </w:pPr>
    <w:rPr>
      <w:rFonts w:ascii="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6615">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38405172">
      <w:bodyDiv w:val="1"/>
      <w:marLeft w:val="0"/>
      <w:marRight w:val="0"/>
      <w:marTop w:val="0"/>
      <w:marBottom w:val="0"/>
      <w:divBdr>
        <w:top w:val="none" w:sz="0" w:space="0" w:color="auto"/>
        <w:left w:val="none" w:sz="0" w:space="0" w:color="auto"/>
        <w:bottom w:val="none" w:sz="0" w:space="0" w:color="auto"/>
        <w:right w:val="none" w:sz="0" w:space="0" w:color="auto"/>
      </w:divBdr>
    </w:div>
    <w:div w:id="50078811">
      <w:bodyDiv w:val="1"/>
      <w:marLeft w:val="0"/>
      <w:marRight w:val="0"/>
      <w:marTop w:val="0"/>
      <w:marBottom w:val="0"/>
      <w:divBdr>
        <w:top w:val="none" w:sz="0" w:space="0" w:color="auto"/>
        <w:left w:val="none" w:sz="0" w:space="0" w:color="auto"/>
        <w:bottom w:val="none" w:sz="0" w:space="0" w:color="auto"/>
        <w:right w:val="none" w:sz="0" w:space="0" w:color="auto"/>
      </w:divBdr>
    </w:div>
    <w:div w:id="50160345">
      <w:bodyDiv w:val="1"/>
      <w:marLeft w:val="0"/>
      <w:marRight w:val="0"/>
      <w:marTop w:val="0"/>
      <w:marBottom w:val="0"/>
      <w:divBdr>
        <w:top w:val="none" w:sz="0" w:space="0" w:color="auto"/>
        <w:left w:val="none" w:sz="0" w:space="0" w:color="auto"/>
        <w:bottom w:val="none" w:sz="0" w:space="0" w:color="auto"/>
        <w:right w:val="none" w:sz="0" w:space="0" w:color="auto"/>
      </w:divBdr>
    </w:div>
    <w:div w:id="53746551">
      <w:bodyDiv w:val="1"/>
      <w:marLeft w:val="0"/>
      <w:marRight w:val="0"/>
      <w:marTop w:val="0"/>
      <w:marBottom w:val="0"/>
      <w:divBdr>
        <w:top w:val="none" w:sz="0" w:space="0" w:color="auto"/>
        <w:left w:val="none" w:sz="0" w:space="0" w:color="auto"/>
        <w:bottom w:val="none" w:sz="0" w:space="0" w:color="auto"/>
        <w:right w:val="none" w:sz="0" w:space="0" w:color="auto"/>
      </w:divBdr>
      <w:divsChild>
        <w:div w:id="410279943">
          <w:marLeft w:val="0"/>
          <w:marRight w:val="0"/>
          <w:marTop w:val="0"/>
          <w:marBottom w:val="0"/>
          <w:divBdr>
            <w:top w:val="none" w:sz="0" w:space="0" w:color="auto"/>
            <w:left w:val="none" w:sz="0" w:space="0" w:color="auto"/>
            <w:bottom w:val="none" w:sz="0" w:space="0" w:color="auto"/>
            <w:right w:val="none" w:sz="0" w:space="0" w:color="auto"/>
          </w:divBdr>
          <w:divsChild>
            <w:div w:id="1181702988">
              <w:marLeft w:val="2735"/>
              <w:marRight w:val="175"/>
              <w:marTop w:val="0"/>
              <w:marBottom w:val="0"/>
              <w:divBdr>
                <w:top w:val="none" w:sz="0" w:space="0" w:color="auto"/>
                <w:left w:val="none" w:sz="0" w:space="0" w:color="auto"/>
                <w:bottom w:val="none" w:sz="0" w:space="0" w:color="auto"/>
                <w:right w:val="none" w:sz="0" w:space="0" w:color="auto"/>
              </w:divBdr>
              <w:divsChild>
                <w:div w:id="84262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5066745">
          <w:marLeft w:val="0"/>
          <w:marRight w:val="0"/>
          <w:marTop w:val="0"/>
          <w:marBottom w:val="0"/>
          <w:divBdr>
            <w:top w:val="none" w:sz="0" w:space="0" w:color="auto"/>
            <w:left w:val="none" w:sz="0" w:space="0" w:color="auto"/>
            <w:bottom w:val="none" w:sz="0" w:space="0" w:color="auto"/>
            <w:right w:val="none" w:sz="0" w:space="0" w:color="auto"/>
          </w:divBdr>
          <w:divsChild>
            <w:div w:id="405035574">
              <w:marLeft w:val="0"/>
              <w:marRight w:val="0"/>
              <w:marTop w:val="0"/>
              <w:marBottom w:val="0"/>
              <w:divBdr>
                <w:top w:val="none" w:sz="0" w:space="0" w:color="auto"/>
                <w:left w:val="none" w:sz="0" w:space="0" w:color="auto"/>
                <w:bottom w:val="none" w:sz="0" w:space="0" w:color="auto"/>
                <w:right w:val="none" w:sz="0" w:space="0" w:color="auto"/>
              </w:divBdr>
              <w:divsChild>
                <w:div w:id="180519232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59601605">
      <w:bodyDiv w:val="1"/>
      <w:marLeft w:val="0"/>
      <w:marRight w:val="0"/>
      <w:marTop w:val="0"/>
      <w:marBottom w:val="0"/>
      <w:divBdr>
        <w:top w:val="none" w:sz="0" w:space="0" w:color="auto"/>
        <w:left w:val="none" w:sz="0" w:space="0" w:color="auto"/>
        <w:bottom w:val="none" w:sz="0" w:space="0" w:color="auto"/>
        <w:right w:val="none" w:sz="0" w:space="0" w:color="auto"/>
      </w:divBdr>
    </w:div>
    <w:div w:id="70473151">
      <w:bodyDiv w:val="1"/>
      <w:marLeft w:val="0"/>
      <w:marRight w:val="0"/>
      <w:marTop w:val="0"/>
      <w:marBottom w:val="0"/>
      <w:divBdr>
        <w:top w:val="none" w:sz="0" w:space="0" w:color="auto"/>
        <w:left w:val="none" w:sz="0" w:space="0" w:color="auto"/>
        <w:bottom w:val="none" w:sz="0" w:space="0" w:color="auto"/>
        <w:right w:val="none" w:sz="0" w:space="0" w:color="auto"/>
      </w:divBdr>
    </w:div>
    <w:div w:id="78330541">
      <w:bodyDiv w:val="1"/>
      <w:marLeft w:val="0"/>
      <w:marRight w:val="0"/>
      <w:marTop w:val="0"/>
      <w:marBottom w:val="0"/>
      <w:divBdr>
        <w:top w:val="none" w:sz="0" w:space="0" w:color="auto"/>
        <w:left w:val="none" w:sz="0" w:space="0" w:color="auto"/>
        <w:bottom w:val="none" w:sz="0" w:space="0" w:color="auto"/>
        <w:right w:val="none" w:sz="0" w:space="0" w:color="auto"/>
      </w:divBdr>
    </w:div>
    <w:div w:id="79571352">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6198725">
      <w:bodyDiv w:val="1"/>
      <w:marLeft w:val="0"/>
      <w:marRight w:val="0"/>
      <w:marTop w:val="0"/>
      <w:marBottom w:val="0"/>
      <w:divBdr>
        <w:top w:val="none" w:sz="0" w:space="0" w:color="auto"/>
        <w:left w:val="none" w:sz="0" w:space="0" w:color="auto"/>
        <w:bottom w:val="none" w:sz="0" w:space="0" w:color="auto"/>
        <w:right w:val="none" w:sz="0" w:space="0" w:color="auto"/>
      </w:divBdr>
    </w:div>
    <w:div w:id="108284335">
      <w:bodyDiv w:val="1"/>
      <w:marLeft w:val="0"/>
      <w:marRight w:val="0"/>
      <w:marTop w:val="0"/>
      <w:marBottom w:val="0"/>
      <w:divBdr>
        <w:top w:val="none" w:sz="0" w:space="0" w:color="auto"/>
        <w:left w:val="none" w:sz="0" w:space="0" w:color="auto"/>
        <w:bottom w:val="none" w:sz="0" w:space="0" w:color="auto"/>
        <w:right w:val="none" w:sz="0" w:space="0" w:color="auto"/>
      </w:divBdr>
    </w:div>
    <w:div w:id="117376682">
      <w:bodyDiv w:val="1"/>
      <w:marLeft w:val="0"/>
      <w:marRight w:val="0"/>
      <w:marTop w:val="0"/>
      <w:marBottom w:val="0"/>
      <w:divBdr>
        <w:top w:val="none" w:sz="0" w:space="0" w:color="auto"/>
        <w:left w:val="none" w:sz="0" w:space="0" w:color="auto"/>
        <w:bottom w:val="none" w:sz="0" w:space="0" w:color="auto"/>
        <w:right w:val="none" w:sz="0" w:space="0" w:color="auto"/>
      </w:divBdr>
    </w:div>
    <w:div w:id="131750470">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59272242">
      <w:bodyDiv w:val="1"/>
      <w:marLeft w:val="0"/>
      <w:marRight w:val="0"/>
      <w:marTop w:val="0"/>
      <w:marBottom w:val="0"/>
      <w:divBdr>
        <w:top w:val="none" w:sz="0" w:space="0" w:color="auto"/>
        <w:left w:val="none" w:sz="0" w:space="0" w:color="auto"/>
        <w:bottom w:val="none" w:sz="0" w:space="0" w:color="auto"/>
        <w:right w:val="none" w:sz="0" w:space="0" w:color="auto"/>
      </w:divBdr>
    </w:div>
    <w:div w:id="161362639">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214003026">
      <w:bodyDiv w:val="1"/>
      <w:marLeft w:val="0"/>
      <w:marRight w:val="0"/>
      <w:marTop w:val="0"/>
      <w:marBottom w:val="0"/>
      <w:divBdr>
        <w:top w:val="none" w:sz="0" w:space="0" w:color="auto"/>
        <w:left w:val="none" w:sz="0" w:space="0" w:color="auto"/>
        <w:bottom w:val="none" w:sz="0" w:space="0" w:color="auto"/>
        <w:right w:val="none" w:sz="0" w:space="0" w:color="auto"/>
      </w:divBdr>
    </w:div>
    <w:div w:id="223761113">
      <w:bodyDiv w:val="1"/>
      <w:marLeft w:val="0"/>
      <w:marRight w:val="0"/>
      <w:marTop w:val="0"/>
      <w:marBottom w:val="0"/>
      <w:divBdr>
        <w:top w:val="none" w:sz="0" w:space="0" w:color="auto"/>
        <w:left w:val="none" w:sz="0" w:space="0" w:color="auto"/>
        <w:bottom w:val="none" w:sz="0" w:space="0" w:color="auto"/>
        <w:right w:val="none" w:sz="0" w:space="0" w:color="auto"/>
      </w:divBdr>
    </w:div>
    <w:div w:id="224142441">
      <w:bodyDiv w:val="1"/>
      <w:marLeft w:val="0"/>
      <w:marRight w:val="0"/>
      <w:marTop w:val="0"/>
      <w:marBottom w:val="0"/>
      <w:divBdr>
        <w:top w:val="none" w:sz="0" w:space="0" w:color="auto"/>
        <w:left w:val="none" w:sz="0" w:space="0" w:color="auto"/>
        <w:bottom w:val="none" w:sz="0" w:space="0" w:color="auto"/>
        <w:right w:val="none" w:sz="0" w:space="0" w:color="auto"/>
      </w:divBdr>
    </w:div>
    <w:div w:id="242228868">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931396">
      <w:bodyDiv w:val="1"/>
      <w:marLeft w:val="0"/>
      <w:marRight w:val="0"/>
      <w:marTop w:val="0"/>
      <w:marBottom w:val="0"/>
      <w:divBdr>
        <w:top w:val="none" w:sz="0" w:space="0" w:color="auto"/>
        <w:left w:val="none" w:sz="0" w:space="0" w:color="auto"/>
        <w:bottom w:val="none" w:sz="0" w:space="0" w:color="auto"/>
        <w:right w:val="none" w:sz="0" w:space="0" w:color="auto"/>
      </w:divBdr>
    </w:div>
    <w:div w:id="269944002">
      <w:bodyDiv w:val="1"/>
      <w:marLeft w:val="0"/>
      <w:marRight w:val="0"/>
      <w:marTop w:val="0"/>
      <w:marBottom w:val="0"/>
      <w:divBdr>
        <w:top w:val="none" w:sz="0" w:space="0" w:color="auto"/>
        <w:left w:val="none" w:sz="0" w:space="0" w:color="auto"/>
        <w:bottom w:val="none" w:sz="0" w:space="0" w:color="auto"/>
        <w:right w:val="none" w:sz="0" w:space="0" w:color="auto"/>
      </w:divBdr>
    </w:div>
    <w:div w:id="279335331">
      <w:bodyDiv w:val="1"/>
      <w:marLeft w:val="0"/>
      <w:marRight w:val="0"/>
      <w:marTop w:val="0"/>
      <w:marBottom w:val="0"/>
      <w:divBdr>
        <w:top w:val="none" w:sz="0" w:space="0" w:color="auto"/>
        <w:left w:val="none" w:sz="0" w:space="0" w:color="auto"/>
        <w:bottom w:val="none" w:sz="0" w:space="0" w:color="auto"/>
        <w:right w:val="none" w:sz="0" w:space="0" w:color="auto"/>
      </w:divBdr>
    </w:div>
    <w:div w:id="316495663">
      <w:bodyDiv w:val="1"/>
      <w:marLeft w:val="0"/>
      <w:marRight w:val="0"/>
      <w:marTop w:val="0"/>
      <w:marBottom w:val="0"/>
      <w:divBdr>
        <w:top w:val="none" w:sz="0" w:space="0" w:color="auto"/>
        <w:left w:val="none" w:sz="0" w:space="0" w:color="auto"/>
        <w:bottom w:val="none" w:sz="0" w:space="0" w:color="auto"/>
        <w:right w:val="none" w:sz="0" w:space="0" w:color="auto"/>
      </w:divBdr>
    </w:div>
    <w:div w:id="320933360">
      <w:bodyDiv w:val="1"/>
      <w:marLeft w:val="0"/>
      <w:marRight w:val="0"/>
      <w:marTop w:val="0"/>
      <w:marBottom w:val="0"/>
      <w:divBdr>
        <w:top w:val="none" w:sz="0" w:space="0" w:color="auto"/>
        <w:left w:val="none" w:sz="0" w:space="0" w:color="auto"/>
        <w:bottom w:val="none" w:sz="0" w:space="0" w:color="auto"/>
        <w:right w:val="none" w:sz="0" w:space="0" w:color="auto"/>
      </w:divBdr>
    </w:div>
    <w:div w:id="322320330">
      <w:bodyDiv w:val="1"/>
      <w:marLeft w:val="0"/>
      <w:marRight w:val="0"/>
      <w:marTop w:val="0"/>
      <w:marBottom w:val="0"/>
      <w:divBdr>
        <w:top w:val="none" w:sz="0" w:space="0" w:color="auto"/>
        <w:left w:val="none" w:sz="0" w:space="0" w:color="auto"/>
        <w:bottom w:val="none" w:sz="0" w:space="0" w:color="auto"/>
        <w:right w:val="none" w:sz="0" w:space="0" w:color="auto"/>
      </w:divBdr>
    </w:div>
    <w:div w:id="322706831">
      <w:bodyDiv w:val="1"/>
      <w:marLeft w:val="0"/>
      <w:marRight w:val="0"/>
      <w:marTop w:val="0"/>
      <w:marBottom w:val="0"/>
      <w:divBdr>
        <w:top w:val="none" w:sz="0" w:space="0" w:color="auto"/>
        <w:left w:val="none" w:sz="0" w:space="0" w:color="auto"/>
        <w:bottom w:val="none" w:sz="0" w:space="0" w:color="auto"/>
        <w:right w:val="none" w:sz="0" w:space="0" w:color="auto"/>
      </w:divBdr>
    </w:div>
    <w:div w:id="324825872">
      <w:bodyDiv w:val="1"/>
      <w:marLeft w:val="0"/>
      <w:marRight w:val="0"/>
      <w:marTop w:val="0"/>
      <w:marBottom w:val="0"/>
      <w:divBdr>
        <w:top w:val="none" w:sz="0" w:space="0" w:color="auto"/>
        <w:left w:val="none" w:sz="0" w:space="0" w:color="auto"/>
        <w:bottom w:val="none" w:sz="0" w:space="0" w:color="auto"/>
        <w:right w:val="none" w:sz="0" w:space="0" w:color="auto"/>
      </w:divBdr>
    </w:div>
    <w:div w:id="328485337">
      <w:bodyDiv w:val="1"/>
      <w:marLeft w:val="0"/>
      <w:marRight w:val="0"/>
      <w:marTop w:val="0"/>
      <w:marBottom w:val="0"/>
      <w:divBdr>
        <w:top w:val="none" w:sz="0" w:space="0" w:color="auto"/>
        <w:left w:val="none" w:sz="0" w:space="0" w:color="auto"/>
        <w:bottom w:val="none" w:sz="0" w:space="0" w:color="auto"/>
        <w:right w:val="none" w:sz="0" w:space="0" w:color="auto"/>
      </w:divBdr>
    </w:div>
    <w:div w:id="338507659">
      <w:bodyDiv w:val="1"/>
      <w:marLeft w:val="0"/>
      <w:marRight w:val="0"/>
      <w:marTop w:val="0"/>
      <w:marBottom w:val="0"/>
      <w:divBdr>
        <w:top w:val="none" w:sz="0" w:space="0" w:color="auto"/>
        <w:left w:val="none" w:sz="0" w:space="0" w:color="auto"/>
        <w:bottom w:val="none" w:sz="0" w:space="0" w:color="auto"/>
        <w:right w:val="none" w:sz="0" w:space="0" w:color="auto"/>
      </w:divBdr>
    </w:div>
    <w:div w:id="340667220">
      <w:bodyDiv w:val="1"/>
      <w:marLeft w:val="0"/>
      <w:marRight w:val="0"/>
      <w:marTop w:val="0"/>
      <w:marBottom w:val="0"/>
      <w:divBdr>
        <w:top w:val="none" w:sz="0" w:space="0" w:color="auto"/>
        <w:left w:val="none" w:sz="0" w:space="0" w:color="auto"/>
        <w:bottom w:val="none" w:sz="0" w:space="0" w:color="auto"/>
        <w:right w:val="none" w:sz="0" w:space="0" w:color="auto"/>
      </w:divBdr>
    </w:div>
    <w:div w:id="344984805">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71740">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6011213">
      <w:bodyDiv w:val="1"/>
      <w:marLeft w:val="0"/>
      <w:marRight w:val="0"/>
      <w:marTop w:val="0"/>
      <w:marBottom w:val="0"/>
      <w:divBdr>
        <w:top w:val="none" w:sz="0" w:space="0" w:color="auto"/>
        <w:left w:val="none" w:sz="0" w:space="0" w:color="auto"/>
        <w:bottom w:val="none" w:sz="0" w:space="0" w:color="auto"/>
        <w:right w:val="none" w:sz="0" w:space="0" w:color="auto"/>
      </w:divBdr>
    </w:div>
    <w:div w:id="382827847">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6104732">
      <w:bodyDiv w:val="1"/>
      <w:marLeft w:val="0"/>
      <w:marRight w:val="0"/>
      <w:marTop w:val="0"/>
      <w:marBottom w:val="0"/>
      <w:divBdr>
        <w:top w:val="none" w:sz="0" w:space="0" w:color="auto"/>
        <w:left w:val="none" w:sz="0" w:space="0" w:color="auto"/>
        <w:bottom w:val="none" w:sz="0" w:space="0" w:color="auto"/>
        <w:right w:val="none" w:sz="0" w:space="0" w:color="auto"/>
      </w:divBdr>
    </w:div>
    <w:div w:id="393704654">
      <w:bodyDiv w:val="1"/>
      <w:marLeft w:val="0"/>
      <w:marRight w:val="0"/>
      <w:marTop w:val="0"/>
      <w:marBottom w:val="0"/>
      <w:divBdr>
        <w:top w:val="none" w:sz="0" w:space="0" w:color="auto"/>
        <w:left w:val="none" w:sz="0" w:space="0" w:color="auto"/>
        <w:bottom w:val="none" w:sz="0" w:space="0" w:color="auto"/>
        <w:right w:val="none" w:sz="0" w:space="0" w:color="auto"/>
      </w:divBdr>
    </w:div>
    <w:div w:id="414056748">
      <w:bodyDiv w:val="1"/>
      <w:marLeft w:val="0"/>
      <w:marRight w:val="0"/>
      <w:marTop w:val="0"/>
      <w:marBottom w:val="0"/>
      <w:divBdr>
        <w:top w:val="none" w:sz="0" w:space="0" w:color="auto"/>
        <w:left w:val="none" w:sz="0" w:space="0" w:color="auto"/>
        <w:bottom w:val="none" w:sz="0" w:space="0" w:color="auto"/>
        <w:right w:val="none" w:sz="0" w:space="0" w:color="auto"/>
      </w:divBdr>
    </w:div>
    <w:div w:id="423692327">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9816490">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8016192">
      <w:bodyDiv w:val="1"/>
      <w:marLeft w:val="0"/>
      <w:marRight w:val="0"/>
      <w:marTop w:val="0"/>
      <w:marBottom w:val="0"/>
      <w:divBdr>
        <w:top w:val="none" w:sz="0" w:space="0" w:color="auto"/>
        <w:left w:val="none" w:sz="0" w:space="0" w:color="auto"/>
        <w:bottom w:val="none" w:sz="0" w:space="0" w:color="auto"/>
        <w:right w:val="none" w:sz="0" w:space="0" w:color="auto"/>
      </w:divBdr>
    </w:div>
    <w:div w:id="451826133">
      <w:bodyDiv w:val="1"/>
      <w:marLeft w:val="0"/>
      <w:marRight w:val="0"/>
      <w:marTop w:val="0"/>
      <w:marBottom w:val="0"/>
      <w:divBdr>
        <w:top w:val="none" w:sz="0" w:space="0" w:color="auto"/>
        <w:left w:val="none" w:sz="0" w:space="0" w:color="auto"/>
        <w:bottom w:val="none" w:sz="0" w:space="0" w:color="auto"/>
        <w:right w:val="none" w:sz="0" w:space="0" w:color="auto"/>
      </w:divBdr>
    </w:div>
    <w:div w:id="469438783">
      <w:bodyDiv w:val="1"/>
      <w:marLeft w:val="0"/>
      <w:marRight w:val="0"/>
      <w:marTop w:val="0"/>
      <w:marBottom w:val="0"/>
      <w:divBdr>
        <w:top w:val="none" w:sz="0" w:space="0" w:color="auto"/>
        <w:left w:val="none" w:sz="0" w:space="0" w:color="auto"/>
        <w:bottom w:val="none" w:sz="0" w:space="0" w:color="auto"/>
        <w:right w:val="none" w:sz="0" w:space="0" w:color="auto"/>
      </w:divBdr>
    </w:div>
    <w:div w:id="498738176">
      <w:bodyDiv w:val="1"/>
      <w:marLeft w:val="0"/>
      <w:marRight w:val="0"/>
      <w:marTop w:val="0"/>
      <w:marBottom w:val="0"/>
      <w:divBdr>
        <w:top w:val="none" w:sz="0" w:space="0" w:color="auto"/>
        <w:left w:val="none" w:sz="0" w:space="0" w:color="auto"/>
        <w:bottom w:val="none" w:sz="0" w:space="0" w:color="auto"/>
        <w:right w:val="none" w:sz="0" w:space="0" w:color="auto"/>
      </w:divBdr>
    </w:div>
    <w:div w:id="50714047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7791604">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
    <w:div w:id="539829579">
      <w:bodyDiv w:val="1"/>
      <w:marLeft w:val="0"/>
      <w:marRight w:val="0"/>
      <w:marTop w:val="0"/>
      <w:marBottom w:val="0"/>
      <w:divBdr>
        <w:top w:val="none" w:sz="0" w:space="0" w:color="auto"/>
        <w:left w:val="none" w:sz="0" w:space="0" w:color="auto"/>
        <w:bottom w:val="none" w:sz="0" w:space="0" w:color="auto"/>
        <w:right w:val="none" w:sz="0" w:space="0" w:color="auto"/>
      </w:divBdr>
    </w:div>
    <w:div w:id="544368011">
      <w:bodyDiv w:val="1"/>
      <w:marLeft w:val="0"/>
      <w:marRight w:val="0"/>
      <w:marTop w:val="0"/>
      <w:marBottom w:val="0"/>
      <w:divBdr>
        <w:top w:val="none" w:sz="0" w:space="0" w:color="auto"/>
        <w:left w:val="none" w:sz="0" w:space="0" w:color="auto"/>
        <w:bottom w:val="none" w:sz="0" w:space="0" w:color="auto"/>
        <w:right w:val="none" w:sz="0" w:space="0" w:color="auto"/>
      </w:divBdr>
    </w:div>
    <w:div w:id="558174874">
      <w:bodyDiv w:val="1"/>
      <w:marLeft w:val="0"/>
      <w:marRight w:val="0"/>
      <w:marTop w:val="0"/>
      <w:marBottom w:val="0"/>
      <w:divBdr>
        <w:top w:val="none" w:sz="0" w:space="0" w:color="auto"/>
        <w:left w:val="none" w:sz="0" w:space="0" w:color="auto"/>
        <w:bottom w:val="none" w:sz="0" w:space="0" w:color="auto"/>
        <w:right w:val="none" w:sz="0" w:space="0" w:color="auto"/>
      </w:divBdr>
    </w:div>
    <w:div w:id="558324029">
      <w:bodyDiv w:val="1"/>
      <w:marLeft w:val="0"/>
      <w:marRight w:val="0"/>
      <w:marTop w:val="0"/>
      <w:marBottom w:val="0"/>
      <w:divBdr>
        <w:top w:val="none" w:sz="0" w:space="0" w:color="auto"/>
        <w:left w:val="none" w:sz="0" w:space="0" w:color="auto"/>
        <w:bottom w:val="none" w:sz="0" w:space="0" w:color="auto"/>
        <w:right w:val="none" w:sz="0" w:space="0" w:color="auto"/>
      </w:divBdr>
    </w:div>
    <w:div w:id="575434649">
      <w:bodyDiv w:val="1"/>
      <w:marLeft w:val="0"/>
      <w:marRight w:val="0"/>
      <w:marTop w:val="0"/>
      <w:marBottom w:val="0"/>
      <w:divBdr>
        <w:top w:val="none" w:sz="0" w:space="0" w:color="auto"/>
        <w:left w:val="none" w:sz="0" w:space="0" w:color="auto"/>
        <w:bottom w:val="none" w:sz="0" w:space="0" w:color="auto"/>
        <w:right w:val="none" w:sz="0" w:space="0" w:color="auto"/>
      </w:divBdr>
    </w:div>
    <w:div w:id="578173263">
      <w:bodyDiv w:val="1"/>
      <w:marLeft w:val="0"/>
      <w:marRight w:val="0"/>
      <w:marTop w:val="0"/>
      <w:marBottom w:val="0"/>
      <w:divBdr>
        <w:top w:val="none" w:sz="0" w:space="0" w:color="auto"/>
        <w:left w:val="none" w:sz="0" w:space="0" w:color="auto"/>
        <w:bottom w:val="none" w:sz="0" w:space="0" w:color="auto"/>
        <w:right w:val="none" w:sz="0" w:space="0" w:color="auto"/>
      </w:divBdr>
    </w:div>
    <w:div w:id="583077673">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604115245">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540662">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4824044">
      <w:bodyDiv w:val="1"/>
      <w:marLeft w:val="0"/>
      <w:marRight w:val="0"/>
      <w:marTop w:val="0"/>
      <w:marBottom w:val="0"/>
      <w:divBdr>
        <w:top w:val="none" w:sz="0" w:space="0" w:color="auto"/>
        <w:left w:val="none" w:sz="0" w:space="0" w:color="auto"/>
        <w:bottom w:val="none" w:sz="0" w:space="0" w:color="auto"/>
        <w:right w:val="none" w:sz="0" w:space="0" w:color="auto"/>
      </w:divBdr>
    </w:div>
    <w:div w:id="615135085">
      <w:bodyDiv w:val="1"/>
      <w:marLeft w:val="0"/>
      <w:marRight w:val="0"/>
      <w:marTop w:val="0"/>
      <w:marBottom w:val="0"/>
      <w:divBdr>
        <w:top w:val="none" w:sz="0" w:space="0" w:color="auto"/>
        <w:left w:val="none" w:sz="0" w:space="0" w:color="auto"/>
        <w:bottom w:val="none" w:sz="0" w:space="0" w:color="auto"/>
        <w:right w:val="none" w:sz="0" w:space="0" w:color="auto"/>
      </w:divBdr>
    </w:div>
    <w:div w:id="623777034">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50985044">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605297">
      <w:bodyDiv w:val="1"/>
      <w:marLeft w:val="0"/>
      <w:marRight w:val="0"/>
      <w:marTop w:val="0"/>
      <w:marBottom w:val="0"/>
      <w:divBdr>
        <w:top w:val="none" w:sz="0" w:space="0" w:color="auto"/>
        <w:left w:val="none" w:sz="0" w:space="0" w:color="auto"/>
        <w:bottom w:val="none" w:sz="0" w:space="0" w:color="auto"/>
        <w:right w:val="none" w:sz="0" w:space="0" w:color="auto"/>
      </w:divBdr>
    </w:div>
    <w:div w:id="658461585">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79358138">
      <w:bodyDiv w:val="1"/>
      <w:marLeft w:val="0"/>
      <w:marRight w:val="0"/>
      <w:marTop w:val="0"/>
      <w:marBottom w:val="0"/>
      <w:divBdr>
        <w:top w:val="none" w:sz="0" w:space="0" w:color="auto"/>
        <w:left w:val="none" w:sz="0" w:space="0" w:color="auto"/>
        <w:bottom w:val="none" w:sz="0" w:space="0" w:color="auto"/>
        <w:right w:val="none" w:sz="0" w:space="0" w:color="auto"/>
      </w:divBdr>
      <w:divsChild>
        <w:div w:id="2100251748">
          <w:marLeft w:val="0"/>
          <w:marRight w:val="0"/>
          <w:marTop w:val="0"/>
          <w:marBottom w:val="0"/>
          <w:divBdr>
            <w:top w:val="none" w:sz="0" w:space="0" w:color="auto"/>
            <w:left w:val="none" w:sz="0" w:space="0" w:color="auto"/>
            <w:bottom w:val="none" w:sz="0" w:space="0" w:color="auto"/>
            <w:right w:val="none" w:sz="0" w:space="0" w:color="auto"/>
          </w:divBdr>
          <w:divsChild>
            <w:div w:id="423654271">
              <w:marLeft w:val="0"/>
              <w:marRight w:val="0"/>
              <w:marTop w:val="0"/>
              <w:marBottom w:val="0"/>
              <w:divBdr>
                <w:top w:val="none" w:sz="0" w:space="0" w:color="auto"/>
                <w:left w:val="none" w:sz="0" w:space="0" w:color="auto"/>
                <w:bottom w:val="none" w:sz="0" w:space="0" w:color="auto"/>
                <w:right w:val="none" w:sz="0" w:space="0" w:color="auto"/>
              </w:divBdr>
              <w:divsChild>
                <w:div w:id="1594438910">
                  <w:marLeft w:val="0"/>
                  <w:marRight w:val="0"/>
                  <w:marTop w:val="0"/>
                  <w:marBottom w:val="0"/>
                  <w:divBdr>
                    <w:top w:val="none" w:sz="0" w:space="0" w:color="auto"/>
                    <w:left w:val="none" w:sz="0" w:space="0" w:color="auto"/>
                    <w:bottom w:val="none" w:sz="0" w:space="0" w:color="auto"/>
                    <w:right w:val="none" w:sz="0" w:space="0" w:color="auto"/>
                  </w:divBdr>
                  <w:divsChild>
                    <w:div w:id="75175133">
                      <w:marLeft w:val="0"/>
                      <w:marRight w:val="0"/>
                      <w:marTop w:val="0"/>
                      <w:marBottom w:val="0"/>
                      <w:divBdr>
                        <w:top w:val="none" w:sz="0" w:space="0" w:color="auto"/>
                        <w:left w:val="none" w:sz="0" w:space="0" w:color="auto"/>
                        <w:bottom w:val="none" w:sz="0" w:space="0" w:color="auto"/>
                        <w:right w:val="none" w:sz="0" w:space="0" w:color="auto"/>
                      </w:divBdr>
                      <w:divsChild>
                        <w:div w:id="11479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861376">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7219058">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3566503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41417432">
      <w:bodyDiv w:val="1"/>
      <w:marLeft w:val="0"/>
      <w:marRight w:val="0"/>
      <w:marTop w:val="0"/>
      <w:marBottom w:val="0"/>
      <w:divBdr>
        <w:top w:val="none" w:sz="0" w:space="0" w:color="auto"/>
        <w:left w:val="none" w:sz="0" w:space="0" w:color="auto"/>
        <w:bottom w:val="none" w:sz="0" w:space="0" w:color="auto"/>
        <w:right w:val="none" w:sz="0" w:space="0" w:color="auto"/>
      </w:divBdr>
    </w:div>
    <w:div w:id="742726918">
      <w:bodyDiv w:val="1"/>
      <w:marLeft w:val="0"/>
      <w:marRight w:val="0"/>
      <w:marTop w:val="0"/>
      <w:marBottom w:val="0"/>
      <w:divBdr>
        <w:top w:val="none" w:sz="0" w:space="0" w:color="auto"/>
        <w:left w:val="none" w:sz="0" w:space="0" w:color="auto"/>
        <w:bottom w:val="none" w:sz="0" w:space="0" w:color="auto"/>
        <w:right w:val="none" w:sz="0" w:space="0" w:color="auto"/>
      </w:divBdr>
    </w:div>
    <w:div w:id="747920529">
      <w:bodyDiv w:val="1"/>
      <w:marLeft w:val="0"/>
      <w:marRight w:val="0"/>
      <w:marTop w:val="0"/>
      <w:marBottom w:val="0"/>
      <w:divBdr>
        <w:top w:val="none" w:sz="0" w:space="0" w:color="auto"/>
        <w:left w:val="none" w:sz="0" w:space="0" w:color="auto"/>
        <w:bottom w:val="none" w:sz="0" w:space="0" w:color="auto"/>
        <w:right w:val="none" w:sz="0" w:space="0" w:color="auto"/>
      </w:divBdr>
    </w:div>
    <w:div w:id="752120565">
      <w:bodyDiv w:val="1"/>
      <w:marLeft w:val="0"/>
      <w:marRight w:val="0"/>
      <w:marTop w:val="0"/>
      <w:marBottom w:val="0"/>
      <w:divBdr>
        <w:top w:val="none" w:sz="0" w:space="0" w:color="auto"/>
        <w:left w:val="none" w:sz="0" w:space="0" w:color="auto"/>
        <w:bottom w:val="none" w:sz="0" w:space="0" w:color="auto"/>
        <w:right w:val="none" w:sz="0" w:space="0" w:color="auto"/>
      </w:divBdr>
    </w:div>
    <w:div w:id="761951057">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8284412">
      <w:bodyDiv w:val="1"/>
      <w:marLeft w:val="0"/>
      <w:marRight w:val="0"/>
      <w:marTop w:val="0"/>
      <w:marBottom w:val="0"/>
      <w:divBdr>
        <w:top w:val="none" w:sz="0" w:space="0" w:color="auto"/>
        <w:left w:val="none" w:sz="0" w:space="0" w:color="auto"/>
        <w:bottom w:val="none" w:sz="0" w:space="0" w:color="auto"/>
        <w:right w:val="none" w:sz="0" w:space="0" w:color="auto"/>
      </w:divBdr>
    </w:div>
    <w:div w:id="791021668">
      <w:bodyDiv w:val="1"/>
      <w:marLeft w:val="0"/>
      <w:marRight w:val="0"/>
      <w:marTop w:val="0"/>
      <w:marBottom w:val="0"/>
      <w:divBdr>
        <w:top w:val="none" w:sz="0" w:space="0" w:color="auto"/>
        <w:left w:val="none" w:sz="0" w:space="0" w:color="auto"/>
        <w:bottom w:val="none" w:sz="0" w:space="0" w:color="auto"/>
        <w:right w:val="none" w:sz="0" w:space="0" w:color="auto"/>
      </w:divBdr>
    </w:div>
    <w:div w:id="796146234">
      <w:bodyDiv w:val="1"/>
      <w:marLeft w:val="0"/>
      <w:marRight w:val="0"/>
      <w:marTop w:val="0"/>
      <w:marBottom w:val="0"/>
      <w:divBdr>
        <w:top w:val="none" w:sz="0" w:space="0" w:color="auto"/>
        <w:left w:val="none" w:sz="0" w:space="0" w:color="auto"/>
        <w:bottom w:val="none" w:sz="0" w:space="0" w:color="auto"/>
        <w:right w:val="none" w:sz="0" w:space="0" w:color="auto"/>
      </w:divBdr>
    </w:div>
    <w:div w:id="821434704">
      <w:bodyDiv w:val="1"/>
      <w:marLeft w:val="0"/>
      <w:marRight w:val="0"/>
      <w:marTop w:val="0"/>
      <w:marBottom w:val="0"/>
      <w:divBdr>
        <w:top w:val="none" w:sz="0" w:space="0" w:color="auto"/>
        <w:left w:val="none" w:sz="0" w:space="0" w:color="auto"/>
        <w:bottom w:val="none" w:sz="0" w:space="0" w:color="auto"/>
        <w:right w:val="none" w:sz="0" w:space="0" w:color="auto"/>
      </w:divBdr>
    </w:div>
    <w:div w:id="822502756">
      <w:bodyDiv w:val="1"/>
      <w:marLeft w:val="0"/>
      <w:marRight w:val="0"/>
      <w:marTop w:val="0"/>
      <w:marBottom w:val="0"/>
      <w:divBdr>
        <w:top w:val="none" w:sz="0" w:space="0" w:color="auto"/>
        <w:left w:val="none" w:sz="0" w:space="0" w:color="auto"/>
        <w:bottom w:val="none" w:sz="0" w:space="0" w:color="auto"/>
        <w:right w:val="none" w:sz="0" w:space="0" w:color="auto"/>
      </w:divBdr>
    </w:div>
    <w:div w:id="833836565">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62592546">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908269285">
      <w:bodyDiv w:val="1"/>
      <w:marLeft w:val="0"/>
      <w:marRight w:val="0"/>
      <w:marTop w:val="0"/>
      <w:marBottom w:val="0"/>
      <w:divBdr>
        <w:top w:val="none" w:sz="0" w:space="0" w:color="auto"/>
        <w:left w:val="none" w:sz="0" w:space="0" w:color="auto"/>
        <w:bottom w:val="none" w:sz="0" w:space="0" w:color="auto"/>
        <w:right w:val="none" w:sz="0" w:space="0" w:color="auto"/>
      </w:divBdr>
    </w:div>
    <w:div w:id="918059176">
      <w:bodyDiv w:val="1"/>
      <w:marLeft w:val="0"/>
      <w:marRight w:val="0"/>
      <w:marTop w:val="0"/>
      <w:marBottom w:val="0"/>
      <w:divBdr>
        <w:top w:val="none" w:sz="0" w:space="0" w:color="auto"/>
        <w:left w:val="none" w:sz="0" w:space="0" w:color="auto"/>
        <w:bottom w:val="none" w:sz="0" w:space="0" w:color="auto"/>
        <w:right w:val="none" w:sz="0" w:space="0" w:color="auto"/>
      </w:divBdr>
    </w:div>
    <w:div w:id="922489968">
      <w:bodyDiv w:val="1"/>
      <w:marLeft w:val="0"/>
      <w:marRight w:val="0"/>
      <w:marTop w:val="0"/>
      <w:marBottom w:val="0"/>
      <w:divBdr>
        <w:top w:val="none" w:sz="0" w:space="0" w:color="auto"/>
        <w:left w:val="none" w:sz="0" w:space="0" w:color="auto"/>
        <w:bottom w:val="none" w:sz="0" w:space="0" w:color="auto"/>
        <w:right w:val="none" w:sz="0" w:space="0" w:color="auto"/>
      </w:divBdr>
    </w:div>
    <w:div w:id="926500977">
      <w:bodyDiv w:val="1"/>
      <w:marLeft w:val="0"/>
      <w:marRight w:val="0"/>
      <w:marTop w:val="0"/>
      <w:marBottom w:val="0"/>
      <w:divBdr>
        <w:top w:val="none" w:sz="0" w:space="0" w:color="auto"/>
        <w:left w:val="none" w:sz="0" w:space="0" w:color="auto"/>
        <w:bottom w:val="none" w:sz="0" w:space="0" w:color="auto"/>
        <w:right w:val="none" w:sz="0" w:space="0" w:color="auto"/>
      </w:divBdr>
    </w:div>
    <w:div w:id="929118869">
      <w:bodyDiv w:val="1"/>
      <w:marLeft w:val="0"/>
      <w:marRight w:val="0"/>
      <w:marTop w:val="0"/>
      <w:marBottom w:val="0"/>
      <w:divBdr>
        <w:top w:val="none" w:sz="0" w:space="0" w:color="auto"/>
        <w:left w:val="none" w:sz="0" w:space="0" w:color="auto"/>
        <w:bottom w:val="none" w:sz="0" w:space="0" w:color="auto"/>
        <w:right w:val="none" w:sz="0" w:space="0" w:color="auto"/>
      </w:divBdr>
    </w:div>
    <w:div w:id="944775887">
      <w:bodyDiv w:val="1"/>
      <w:marLeft w:val="0"/>
      <w:marRight w:val="0"/>
      <w:marTop w:val="0"/>
      <w:marBottom w:val="0"/>
      <w:divBdr>
        <w:top w:val="none" w:sz="0" w:space="0" w:color="auto"/>
        <w:left w:val="none" w:sz="0" w:space="0" w:color="auto"/>
        <w:bottom w:val="none" w:sz="0" w:space="0" w:color="auto"/>
        <w:right w:val="none" w:sz="0" w:space="0" w:color="auto"/>
      </w:divBdr>
    </w:div>
    <w:div w:id="956721173">
      <w:bodyDiv w:val="1"/>
      <w:marLeft w:val="0"/>
      <w:marRight w:val="0"/>
      <w:marTop w:val="0"/>
      <w:marBottom w:val="0"/>
      <w:divBdr>
        <w:top w:val="none" w:sz="0" w:space="0" w:color="auto"/>
        <w:left w:val="none" w:sz="0" w:space="0" w:color="auto"/>
        <w:bottom w:val="none" w:sz="0" w:space="0" w:color="auto"/>
        <w:right w:val="none" w:sz="0" w:space="0" w:color="auto"/>
      </w:divBdr>
    </w:div>
    <w:div w:id="990518678">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1016884362">
      <w:bodyDiv w:val="1"/>
      <w:marLeft w:val="0"/>
      <w:marRight w:val="0"/>
      <w:marTop w:val="0"/>
      <w:marBottom w:val="0"/>
      <w:divBdr>
        <w:top w:val="none" w:sz="0" w:space="0" w:color="auto"/>
        <w:left w:val="none" w:sz="0" w:space="0" w:color="auto"/>
        <w:bottom w:val="none" w:sz="0" w:space="0" w:color="auto"/>
        <w:right w:val="none" w:sz="0" w:space="0" w:color="auto"/>
      </w:divBdr>
    </w:div>
    <w:div w:id="1022048063">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33841818">
      <w:bodyDiv w:val="1"/>
      <w:marLeft w:val="0"/>
      <w:marRight w:val="0"/>
      <w:marTop w:val="0"/>
      <w:marBottom w:val="0"/>
      <w:divBdr>
        <w:top w:val="none" w:sz="0" w:space="0" w:color="auto"/>
        <w:left w:val="none" w:sz="0" w:space="0" w:color="auto"/>
        <w:bottom w:val="none" w:sz="0" w:space="0" w:color="auto"/>
        <w:right w:val="none" w:sz="0" w:space="0" w:color="auto"/>
      </w:divBdr>
    </w:div>
    <w:div w:id="1039358546">
      <w:bodyDiv w:val="1"/>
      <w:marLeft w:val="0"/>
      <w:marRight w:val="0"/>
      <w:marTop w:val="0"/>
      <w:marBottom w:val="0"/>
      <w:divBdr>
        <w:top w:val="none" w:sz="0" w:space="0" w:color="auto"/>
        <w:left w:val="none" w:sz="0" w:space="0" w:color="auto"/>
        <w:bottom w:val="none" w:sz="0" w:space="0" w:color="auto"/>
        <w:right w:val="none" w:sz="0" w:space="0" w:color="auto"/>
      </w:divBdr>
    </w:div>
    <w:div w:id="1044257606">
      <w:bodyDiv w:val="1"/>
      <w:marLeft w:val="0"/>
      <w:marRight w:val="0"/>
      <w:marTop w:val="0"/>
      <w:marBottom w:val="0"/>
      <w:divBdr>
        <w:top w:val="none" w:sz="0" w:space="0" w:color="auto"/>
        <w:left w:val="none" w:sz="0" w:space="0" w:color="auto"/>
        <w:bottom w:val="none" w:sz="0" w:space="0" w:color="auto"/>
        <w:right w:val="none" w:sz="0" w:space="0" w:color="auto"/>
      </w:divBdr>
    </w:div>
    <w:div w:id="1090781830">
      <w:bodyDiv w:val="1"/>
      <w:marLeft w:val="0"/>
      <w:marRight w:val="0"/>
      <w:marTop w:val="0"/>
      <w:marBottom w:val="0"/>
      <w:divBdr>
        <w:top w:val="none" w:sz="0" w:space="0" w:color="auto"/>
        <w:left w:val="none" w:sz="0" w:space="0" w:color="auto"/>
        <w:bottom w:val="none" w:sz="0" w:space="0" w:color="auto"/>
        <w:right w:val="none" w:sz="0" w:space="0" w:color="auto"/>
      </w:divBdr>
    </w:div>
    <w:div w:id="1098254119">
      <w:bodyDiv w:val="1"/>
      <w:marLeft w:val="0"/>
      <w:marRight w:val="0"/>
      <w:marTop w:val="0"/>
      <w:marBottom w:val="0"/>
      <w:divBdr>
        <w:top w:val="none" w:sz="0" w:space="0" w:color="auto"/>
        <w:left w:val="none" w:sz="0" w:space="0" w:color="auto"/>
        <w:bottom w:val="none" w:sz="0" w:space="0" w:color="auto"/>
        <w:right w:val="none" w:sz="0" w:space="0" w:color="auto"/>
      </w:divBdr>
    </w:div>
    <w:div w:id="1132331599">
      <w:bodyDiv w:val="1"/>
      <w:marLeft w:val="0"/>
      <w:marRight w:val="0"/>
      <w:marTop w:val="0"/>
      <w:marBottom w:val="0"/>
      <w:divBdr>
        <w:top w:val="none" w:sz="0" w:space="0" w:color="auto"/>
        <w:left w:val="none" w:sz="0" w:space="0" w:color="auto"/>
        <w:bottom w:val="none" w:sz="0" w:space="0" w:color="auto"/>
        <w:right w:val="none" w:sz="0" w:space="0" w:color="auto"/>
      </w:divBdr>
    </w:div>
    <w:div w:id="1134907605">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44929893">
      <w:bodyDiv w:val="1"/>
      <w:marLeft w:val="0"/>
      <w:marRight w:val="0"/>
      <w:marTop w:val="0"/>
      <w:marBottom w:val="0"/>
      <w:divBdr>
        <w:top w:val="none" w:sz="0" w:space="0" w:color="auto"/>
        <w:left w:val="none" w:sz="0" w:space="0" w:color="auto"/>
        <w:bottom w:val="none" w:sz="0" w:space="0" w:color="auto"/>
        <w:right w:val="none" w:sz="0" w:space="0" w:color="auto"/>
      </w:divBdr>
    </w:div>
    <w:div w:id="1152720937">
      <w:bodyDiv w:val="1"/>
      <w:marLeft w:val="0"/>
      <w:marRight w:val="0"/>
      <w:marTop w:val="0"/>
      <w:marBottom w:val="0"/>
      <w:divBdr>
        <w:top w:val="none" w:sz="0" w:space="0" w:color="auto"/>
        <w:left w:val="none" w:sz="0" w:space="0" w:color="auto"/>
        <w:bottom w:val="none" w:sz="0" w:space="0" w:color="auto"/>
        <w:right w:val="none" w:sz="0" w:space="0" w:color="auto"/>
      </w:divBdr>
    </w:div>
    <w:div w:id="1153178679">
      <w:bodyDiv w:val="1"/>
      <w:marLeft w:val="0"/>
      <w:marRight w:val="0"/>
      <w:marTop w:val="0"/>
      <w:marBottom w:val="0"/>
      <w:divBdr>
        <w:top w:val="none" w:sz="0" w:space="0" w:color="auto"/>
        <w:left w:val="none" w:sz="0" w:space="0" w:color="auto"/>
        <w:bottom w:val="none" w:sz="0" w:space="0" w:color="auto"/>
        <w:right w:val="none" w:sz="0" w:space="0" w:color="auto"/>
      </w:divBdr>
    </w:div>
    <w:div w:id="1155486617">
      <w:bodyDiv w:val="1"/>
      <w:marLeft w:val="0"/>
      <w:marRight w:val="0"/>
      <w:marTop w:val="0"/>
      <w:marBottom w:val="0"/>
      <w:divBdr>
        <w:top w:val="none" w:sz="0" w:space="0" w:color="auto"/>
        <w:left w:val="none" w:sz="0" w:space="0" w:color="auto"/>
        <w:bottom w:val="none" w:sz="0" w:space="0" w:color="auto"/>
        <w:right w:val="none" w:sz="0" w:space="0" w:color="auto"/>
      </w:divBdr>
    </w:div>
    <w:div w:id="1157695298">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4803354">
      <w:bodyDiv w:val="1"/>
      <w:marLeft w:val="0"/>
      <w:marRight w:val="0"/>
      <w:marTop w:val="0"/>
      <w:marBottom w:val="0"/>
      <w:divBdr>
        <w:top w:val="none" w:sz="0" w:space="0" w:color="auto"/>
        <w:left w:val="none" w:sz="0" w:space="0" w:color="auto"/>
        <w:bottom w:val="none" w:sz="0" w:space="0" w:color="auto"/>
        <w:right w:val="none" w:sz="0" w:space="0" w:color="auto"/>
      </w:divBdr>
    </w:div>
    <w:div w:id="1200045674">
      <w:bodyDiv w:val="1"/>
      <w:marLeft w:val="0"/>
      <w:marRight w:val="0"/>
      <w:marTop w:val="0"/>
      <w:marBottom w:val="0"/>
      <w:divBdr>
        <w:top w:val="none" w:sz="0" w:space="0" w:color="auto"/>
        <w:left w:val="none" w:sz="0" w:space="0" w:color="auto"/>
        <w:bottom w:val="none" w:sz="0" w:space="0" w:color="auto"/>
        <w:right w:val="none" w:sz="0" w:space="0" w:color="auto"/>
      </w:divBdr>
    </w:div>
    <w:div w:id="1213422307">
      <w:bodyDiv w:val="1"/>
      <w:marLeft w:val="0"/>
      <w:marRight w:val="0"/>
      <w:marTop w:val="0"/>
      <w:marBottom w:val="0"/>
      <w:divBdr>
        <w:top w:val="none" w:sz="0" w:space="0" w:color="auto"/>
        <w:left w:val="none" w:sz="0" w:space="0" w:color="auto"/>
        <w:bottom w:val="none" w:sz="0" w:space="0" w:color="auto"/>
        <w:right w:val="none" w:sz="0" w:space="0" w:color="auto"/>
      </w:divBdr>
    </w:div>
    <w:div w:id="1216770685">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8955425">
      <w:bodyDiv w:val="1"/>
      <w:marLeft w:val="0"/>
      <w:marRight w:val="0"/>
      <w:marTop w:val="0"/>
      <w:marBottom w:val="0"/>
      <w:divBdr>
        <w:top w:val="none" w:sz="0" w:space="0" w:color="auto"/>
        <w:left w:val="none" w:sz="0" w:space="0" w:color="auto"/>
        <w:bottom w:val="none" w:sz="0" w:space="0" w:color="auto"/>
        <w:right w:val="none" w:sz="0" w:space="0" w:color="auto"/>
      </w:divBdr>
    </w:div>
    <w:div w:id="1242451657">
      <w:bodyDiv w:val="1"/>
      <w:marLeft w:val="0"/>
      <w:marRight w:val="0"/>
      <w:marTop w:val="0"/>
      <w:marBottom w:val="0"/>
      <w:divBdr>
        <w:top w:val="none" w:sz="0" w:space="0" w:color="auto"/>
        <w:left w:val="none" w:sz="0" w:space="0" w:color="auto"/>
        <w:bottom w:val="none" w:sz="0" w:space="0" w:color="auto"/>
        <w:right w:val="none" w:sz="0" w:space="0" w:color="auto"/>
      </w:divBdr>
    </w:div>
    <w:div w:id="1242636774">
      <w:bodyDiv w:val="1"/>
      <w:marLeft w:val="0"/>
      <w:marRight w:val="0"/>
      <w:marTop w:val="0"/>
      <w:marBottom w:val="0"/>
      <w:divBdr>
        <w:top w:val="none" w:sz="0" w:space="0" w:color="auto"/>
        <w:left w:val="none" w:sz="0" w:space="0" w:color="auto"/>
        <w:bottom w:val="none" w:sz="0" w:space="0" w:color="auto"/>
        <w:right w:val="none" w:sz="0" w:space="0" w:color="auto"/>
      </w:divBdr>
    </w:div>
    <w:div w:id="1249844785">
      <w:bodyDiv w:val="1"/>
      <w:marLeft w:val="0"/>
      <w:marRight w:val="0"/>
      <w:marTop w:val="0"/>
      <w:marBottom w:val="0"/>
      <w:divBdr>
        <w:top w:val="none" w:sz="0" w:space="0" w:color="auto"/>
        <w:left w:val="none" w:sz="0" w:space="0" w:color="auto"/>
        <w:bottom w:val="none" w:sz="0" w:space="0" w:color="auto"/>
        <w:right w:val="none" w:sz="0" w:space="0" w:color="auto"/>
      </w:divBdr>
    </w:div>
    <w:div w:id="1251891866">
      <w:bodyDiv w:val="1"/>
      <w:marLeft w:val="0"/>
      <w:marRight w:val="0"/>
      <w:marTop w:val="0"/>
      <w:marBottom w:val="0"/>
      <w:divBdr>
        <w:top w:val="none" w:sz="0" w:space="0" w:color="auto"/>
        <w:left w:val="none" w:sz="0" w:space="0" w:color="auto"/>
        <w:bottom w:val="none" w:sz="0" w:space="0" w:color="auto"/>
        <w:right w:val="none" w:sz="0" w:space="0" w:color="auto"/>
      </w:divBdr>
    </w:div>
    <w:div w:id="125543445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85650678">
      <w:bodyDiv w:val="1"/>
      <w:marLeft w:val="0"/>
      <w:marRight w:val="0"/>
      <w:marTop w:val="0"/>
      <w:marBottom w:val="0"/>
      <w:divBdr>
        <w:top w:val="none" w:sz="0" w:space="0" w:color="auto"/>
        <w:left w:val="none" w:sz="0" w:space="0" w:color="auto"/>
        <w:bottom w:val="none" w:sz="0" w:space="0" w:color="auto"/>
        <w:right w:val="none" w:sz="0" w:space="0" w:color="auto"/>
      </w:divBdr>
    </w:div>
    <w:div w:id="1290621892">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4018065">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306813661">
      <w:bodyDiv w:val="1"/>
      <w:marLeft w:val="0"/>
      <w:marRight w:val="0"/>
      <w:marTop w:val="0"/>
      <w:marBottom w:val="0"/>
      <w:divBdr>
        <w:top w:val="none" w:sz="0" w:space="0" w:color="auto"/>
        <w:left w:val="none" w:sz="0" w:space="0" w:color="auto"/>
        <w:bottom w:val="none" w:sz="0" w:space="0" w:color="auto"/>
        <w:right w:val="none" w:sz="0" w:space="0" w:color="auto"/>
      </w:divBdr>
    </w:div>
    <w:div w:id="1306885485">
      <w:bodyDiv w:val="1"/>
      <w:marLeft w:val="0"/>
      <w:marRight w:val="0"/>
      <w:marTop w:val="0"/>
      <w:marBottom w:val="0"/>
      <w:divBdr>
        <w:top w:val="none" w:sz="0" w:space="0" w:color="auto"/>
        <w:left w:val="none" w:sz="0" w:space="0" w:color="auto"/>
        <w:bottom w:val="none" w:sz="0" w:space="0" w:color="auto"/>
        <w:right w:val="none" w:sz="0" w:space="0" w:color="auto"/>
      </w:divBdr>
    </w:div>
    <w:div w:id="1344208900">
      <w:bodyDiv w:val="1"/>
      <w:marLeft w:val="0"/>
      <w:marRight w:val="0"/>
      <w:marTop w:val="0"/>
      <w:marBottom w:val="0"/>
      <w:divBdr>
        <w:top w:val="none" w:sz="0" w:space="0" w:color="auto"/>
        <w:left w:val="none" w:sz="0" w:space="0" w:color="auto"/>
        <w:bottom w:val="none" w:sz="0" w:space="0" w:color="auto"/>
        <w:right w:val="none" w:sz="0" w:space="0" w:color="auto"/>
      </w:divBdr>
    </w:div>
    <w:div w:id="1344866215">
      <w:bodyDiv w:val="1"/>
      <w:marLeft w:val="0"/>
      <w:marRight w:val="0"/>
      <w:marTop w:val="0"/>
      <w:marBottom w:val="0"/>
      <w:divBdr>
        <w:top w:val="none" w:sz="0" w:space="0" w:color="auto"/>
        <w:left w:val="none" w:sz="0" w:space="0" w:color="auto"/>
        <w:bottom w:val="none" w:sz="0" w:space="0" w:color="auto"/>
        <w:right w:val="none" w:sz="0" w:space="0" w:color="auto"/>
      </w:divBdr>
    </w:div>
    <w:div w:id="1349454162">
      <w:bodyDiv w:val="1"/>
      <w:marLeft w:val="0"/>
      <w:marRight w:val="0"/>
      <w:marTop w:val="0"/>
      <w:marBottom w:val="0"/>
      <w:divBdr>
        <w:top w:val="none" w:sz="0" w:space="0" w:color="auto"/>
        <w:left w:val="none" w:sz="0" w:space="0" w:color="auto"/>
        <w:bottom w:val="none" w:sz="0" w:space="0" w:color="auto"/>
        <w:right w:val="none" w:sz="0" w:space="0" w:color="auto"/>
      </w:divBdr>
    </w:div>
    <w:div w:id="1351565429">
      <w:bodyDiv w:val="1"/>
      <w:marLeft w:val="0"/>
      <w:marRight w:val="0"/>
      <w:marTop w:val="0"/>
      <w:marBottom w:val="0"/>
      <w:divBdr>
        <w:top w:val="none" w:sz="0" w:space="0" w:color="auto"/>
        <w:left w:val="none" w:sz="0" w:space="0" w:color="auto"/>
        <w:bottom w:val="none" w:sz="0" w:space="0" w:color="auto"/>
        <w:right w:val="none" w:sz="0" w:space="0" w:color="auto"/>
      </w:divBdr>
      <w:divsChild>
        <w:div w:id="30349931">
          <w:marLeft w:val="274"/>
          <w:marRight w:val="0"/>
          <w:marTop w:val="0"/>
          <w:marBottom w:val="0"/>
          <w:divBdr>
            <w:top w:val="none" w:sz="0" w:space="0" w:color="auto"/>
            <w:left w:val="none" w:sz="0" w:space="0" w:color="auto"/>
            <w:bottom w:val="none" w:sz="0" w:space="0" w:color="auto"/>
            <w:right w:val="none" w:sz="0" w:space="0" w:color="auto"/>
          </w:divBdr>
        </w:div>
        <w:div w:id="563570400">
          <w:marLeft w:val="994"/>
          <w:marRight w:val="0"/>
          <w:marTop w:val="0"/>
          <w:marBottom w:val="0"/>
          <w:divBdr>
            <w:top w:val="none" w:sz="0" w:space="0" w:color="auto"/>
            <w:left w:val="none" w:sz="0" w:space="0" w:color="auto"/>
            <w:bottom w:val="none" w:sz="0" w:space="0" w:color="auto"/>
            <w:right w:val="none" w:sz="0" w:space="0" w:color="auto"/>
          </w:divBdr>
        </w:div>
        <w:div w:id="1001009020">
          <w:marLeft w:val="274"/>
          <w:marRight w:val="0"/>
          <w:marTop w:val="0"/>
          <w:marBottom w:val="0"/>
          <w:divBdr>
            <w:top w:val="none" w:sz="0" w:space="0" w:color="auto"/>
            <w:left w:val="none" w:sz="0" w:space="0" w:color="auto"/>
            <w:bottom w:val="none" w:sz="0" w:space="0" w:color="auto"/>
            <w:right w:val="none" w:sz="0" w:space="0" w:color="auto"/>
          </w:divBdr>
        </w:div>
        <w:div w:id="1038433364">
          <w:marLeft w:val="994"/>
          <w:marRight w:val="0"/>
          <w:marTop w:val="0"/>
          <w:marBottom w:val="0"/>
          <w:divBdr>
            <w:top w:val="none" w:sz="0" w:space="0" w:color="auto"/>
            <w:left w:val="none" w:sz="0" w:space="0" w:color="auto"/>
            <w:bottom w:val="none" w:sz="0" w:space="0" w:color="auto"/>
            <w:right w:val="none" w:sz="0" w:space="0" w:color="auto"/>
          </w:divBdr>
        </w:div>
        <w:div w:id="1266423429">
          <w:marLeft w:val="547"/>
          <w:marRight w:val="0"/>
          <w:marTop w:val="0"/>
          <w:marBottom w:val="0"/>
          <w:divBdr>
            <w:top w:val="none" w:sz="0" w:space="0" w:color="auto"/>
            <w:left w:val="none" w:sz="0" w:space="0" w:color="auto"/>
            <w:bottom w:val="none" w:sz="0" w:space="0" w:color="auto"/>
            <w:right w:val="none" w:sz="0" w:space="0" w:color="auto"/>
          </w:divBdr>
        </w:div>
        <w:div w:id="1297101867">
          <w:marLeft w:val="994"/>
          <w:marRight w:val="0"/>
          <w:marTop w:val="0"/>
          <w:marBottom w:val="0"/>
          <w:divBdr>
            <w:top w:val="none" w:sz="0" w:space="0" w:color="auto"/>
            <w:left w:val="none" w:sz="0" w:space="0" w:color="auto"/>
            <w:bottom w:val="none" w:sz="0" w:space="0" w:color="auto"/>
            <w:right w:val="none" w:sz="0" w:space="0" w:color="auto"/>
          </w:divBdr>
        </w:div>
        <w:div w:id="1707439383">
          <w:marLeft w:val="274"/>
          <w:marRight w:val="0"/>
          <w:marTop w:val="0"/>
          <w:marBottom w:val="0"/>
          <w:divBdr>
            <w:top w:val="none" w:sz="0" w:space="0" w:color="auto"/>
            <w:left w:val="none" w:sz="0" w:space="0" w:color="auto"/>
            <w:bottom w:val="none" w:sz="0" w:space="0" w:color="auto"/>
            <w:right w:val="none" w:sz="0" w:space="0" w:color="auto"/>
          </w:divBdr>
        </w:div>
      </w:divsChild>
    </w:div>
    <w:div w:id="1352687146">
      <w:bodyDiv w:val="1"/>
      <w:marLeft w:val="0"/>
      <w:marRight w:val="0"/>
      <w:marTop w:val="0"/>
      <w:marBottom w:val="0"/>
      <w:divBdr>
        <w:top w:val="none" w:sz="0" w:space="0" w:color="auto"/>
        <w:left w:val="none" w:sz="0" w:space="0" w:color="auto"/>
        <w:bottom w:val="none" w:sz="0" w:space="0" w:color="auto"/>
        <w:right w:val="none" w:sz="0" w:space="0" w:color="auto"/>
      </w:divBdr>
    </w:div>
    <w:div w:id="1353990205">
      <w:bodyDiv w:val="1"/>
      <w:marLeft w:val="0"/>
      <w:marRight w:val="0"/>
      <w:marTop w:val="0"/>
      <w:marBottom w:val="0"/>
      <w:divBdr>
        <w:top w:val="none" w:sz="0" w:space="0" w:color="auto"/>
        <w:left w:val="none" w:sz="0" w:space="0" w:color="auto"/>
        <w:bottom w:val="none" w:sz="0" w:space="0" w:color="auto"/>
        <w:right w:val="none" w:sz="0" w:space="0" w:color="auto"/>
      </w:divBdr>
    </w:div>
    <w:div w:id="1362323631">
      <w:bodyDiv w:val="1"/>
      <w:marLeft w:val="0"/>
      <w:marRight w:val="0"/>
      <w:marTop w:val="0"/>
      <w:marBottom w:val="0"/>
      <w:divBdr>
        <w:top w:val="none" w:sz="0" w:space="0" w:color="auto"/>
        <w:left w:val="none" w:sz="0" w:space="0" w:color="auto"/>
        <w:bottom w:val="none" w:sz="0" w:space="0" w:color="auto"/>
        <w:right w:val="none" w:sz="0" w:space="0" w:color="auto"/>
      </w:divBdr>
    </w:div>
    <w:div w:id="1366249979">
      <w:bodyDiv w:val="1"/>
      <w:marLeft w:val="0"/>
      <w:marRight w:val="0"/>
      <w:marTop w:val="0"/>
      <w:marBottom w:val="0"/>
      <w:divBdr>
        <w:top w:val="none" w:sz="0" w:space="0" w:color="auto"/>
        <w:left w:val="none" w:sz="0" w:space="0" w:color="auto"/>
        <w:bottom w:val="none" w:sz="0" w:space="0" w:color="auto"/>
        <w:right w:val="none" w:sz="0" w:space="0" w:color="auto"/>
      </w:divBdr>
    </w:div>
    <w:div w:id="1420758296">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39988971">
      <w:bodyDiv w:val="1"/>
      <w:marLeft w:val="0"/>
      <w:marRight w:val="0"/>
      <w:marTop w:val="0"/>
      <w:marBottom w:val="0"/>
      <w:divBdr>
        <w:top w:val="none" w:sz="0" w:space="0" w:color="auto"/>
        <w:left w:val="none" w:sz="0" w:space="0" w:color="auto"/>
        <w:bottom w:val="none" w:sz="0" w:space="0" w:color="auto"/>
        <w:right w:val="none" w:sz="0" w:space="0" w:color="auto"/>
      </w:divBdr>
    </w:div>
    <w:div w:id="1440296083">
      <w:bodyDiv w:val="1"/>
      <w:marLeft w:val="0"/>
      <w:marRight w:val="0"/>
      <w:marTop w:val="0"/>
      <w:marBottom w:val="0"/>
      <w:divBdr>
        <w:top w:val="none" w:sz="0" w:space="0" w:color="auto"/>
        <w:left w:val="none" w:sz="0" w:space="0" w:color="auto"/>
        <w:bottom w:val="none" w:sz="0" w:space="0" w:color="auto"/>
        <w:right w:val="none" w:sz="0" w:space="0" w:color="auto"/>
      </w:divBdr>
    </w:div>
    <w:div w:id="1468546105">
      <w:bodyDiv w:val="1"/>
      <w:marLeft w:val="0"/>
      <w:marRight w:val="0"/>
      <w:marTop w:val="0"/>
      <w:marBottom w:val="0"/>
      <w:divBdr>
        <w:top w:val="none" w:sz="0" w:space="0" w:color="auto"/>
        <w:left w:val="none" w:sz="0" w:space="0" w:color="auto"/>
        <w:bottom w:val="none" w:sz="0" w:space="0" w:color="auto"/>
        <w:right w:val="none" w:sz="0" w:space="0" w:color="auto"/>
      </w:divBdr>
    </w:div>
    <w:div w:id="1486702798">
      <w:bodyDiv w:val="1"/>
      <w:marLeft w:val="0"/>
      <w:marRight w:val="0"/>
      <w:marTop w:val="0"/>
      <w:marBottom w:val="0"/>
      <w:divBdr>
        <w:top w:val="none" w:sz="0" w:space="0" w:color="auto"/>
        <w:left w:val="none" w:sz="0" w:space="0" w:color="auto"/>
        <w:bottom w:val="none" w:sz="0" w:space="0" w:color="auto"/>
        <w:right w:val="none" w:sz="0" w:space="0" w:color="auto"/>
      </w:divBdr>
    </w:div>
    <w:div w:id="1494878810">
      <w:bodyDiv w:val="1"/>
      <w:marLeft w:val="0"/>
      <w:marRight w:val="0"/>
      <w:marTop w:val="0"/>
      <w:marBottom w:val="0"/>
      <w:divBdr>
        <w:top w:val="none" w:sz="0" w:space="0" w:color="auto"/>
        <w:left w:val="none" w:sz="0" w:space="0" w:color="auto"/>
        <w:bottom w:val="none" w:sz="0" w:space="0" w:color="auto"/>
        <w:right w:val="none" w:sz="0" w:space="0" w:color="auto"/>
      </w:divBdr>
    </w:div>
    <w:div w:id="1502771748">
      <w:bodyDiv w:val="1"/>
      <w:marLeft w:val="0"/>
      <w:marRight w:val="0"/>
      <w:marTop w:val="0"/>
      <w:marBottom w:val="0"/>
      <w:divBdr>
        <w:top w:val="none" w:sz="0" w:space="0" w:color="auto"/>
        <w:left w:val="none" w:sz="0" w:space="0" w:color="auto"/>
        <w:bottom w:val="none" w:sz="0" w:space="0" w:color="auto"/>
        <w:right w:val="none" w:sz="0" w:space="0" w:color="auto"/>
      </w:divBdr>
    </w:div>
    <w:div w:id="1503545512">
      <w:bodyDiv w:val="1"/>
      <w:marLeft w:val="0"/>
      <w:marRight w:val="0"/>
      <w:marTop w:val="0"/>
      <w:marBottom w:val="0"/>
      <w:divBdr>
        <w:top w:val="none" w:sz="0" w:space="0" w:color="auto"/>
        <w:left w:val="none" w:sz="0" w:space="0" w:color="auto"/>
        <w:bottom w:val="none" w:sz="0" w:space="0" w:color="auto"/>
        <w:right w:val="none" w:sz="0" w:space="0" w:color="auto"/>
      </w:divBdr>
    </w:div>
    <w:div w:id="1507938146">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22668380">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46982670">
      <w:bodyDiv w:val="1"/>
      <w:marLeft w:val="0"/>
      <w:marRight w:val="0"/>
      <w:marTop w:val="0"/>
      <w:marBottom w:val="0"/>
      <w:divBdr>
        <w:top w:val="none" w:sz="0" w:space="0" w:color="auto"/>
        <w:left w:val="none" w:sz="0" w:space="0" w:color="auto"/>
        <w:bottom w:val="none" w:sz="0" w:space="0" w:color="auto"/>
        <w:right w:val="none" w:sz="0" w:space="0" w:color="auto"/>
      </w:divBdr>
    </w:div>
    <w:div w:id="1557819560">
      <w:bodyDiv w:val="1"/>
      <w:marLeft w:val="0"/>
      <w:marRight w:val="0"/>
      <w:marTop w:val="0"/>
      <w:marBottom w:val="0"/>
      <w:divBdr>
        <w:top w:val="none" w:sz="0" w:space="0" w:color="auto"/>
        <w:left w:val="none" w:sz="0" w:space="0" w:color="auto"/>
        <w:bottom w:val="none" w:sz="0" w:space="0" w:color="auto"/>
        <w:right w:val="none" w:sz="0" w:space="0" w:color="auto"/>
      </w:divBdr>
    </w:div>
    <w:div w:id="1560901250">
      <w:bodyDiv w:val="1"/>
      <w:marLeft w:val="0"/>
      <w:marRight w:val="0"/>
      <w:marTop w:val="0"/>
      <w:marBottom w:val="0"/>
      <w:divBdr>
        <w:top w:val="none" w:sz="0" w:space="0" w:color="auto"/>
        <w:left w:val="none" w:sz="0" w:space="0" w:color="auto"/>
        <w:bottom w:val="none" w:sz="0" w:space="0" w:color="auto"/>
        <w:right w:val="none" w:sz="0" w:space="0" w:color="auto"/>
      </w:divBdr>
    </w:div>
    <w:div w:id="156175187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77321818">
      <w:bodyDiv w:val="1"/>
      <w:marLeft w:val="0"/>
      <w:marRight w:val="0"/>
      <w:marTop w:val="0"/>
      <w:marBottom w:val="0"/>
      <w:divBdr>
        <w:top w:val="none" w:sz="0" w:space="0" w:color="auto"/>
        <w:left w:val="none" w:sz="0" w:space="0" w:color="auto"/>
        <w:bottom w:val="none" w:sz="0" w:space="0" w:color="auto"/>
        <w:right w:val="none" w:sz="0" w:space="0" w:color="auto"/>
      </w:divBdr>
    </w:div>
    <w:div w:id="1585798951">
      <w:bodyDiv w:val="1"/>
      <w:marLeft w:val="0"/>
      <w:marRight w:val="0"/>
      <w:marTop w:val="0"/>
      <w:marBottom w:val="0"/>
      <w:divBdr>
        <w:top w:val="none" w:sz="0" w:space="0" w:color="auto"/>
        <w:left w:val="none" w:sz="0" w:space="0" w:color="auto"/>
        <w:bottom w:val="none" w:sz="0" w:space="0" w:color="auto"/>
        <w:right w:val="none" w:sz="0" w:space="0" w:color="auto"/>
      </w:divBdr>
    </w:div>
    <w:div w:id="1607421350">
      <w:bodyDiv w:val="1"/>
      <w:marLeft w:val="0"/>
      <w:marRight w:val="0"/>
      <w:marTop w:val="0"/>
      <w:marBottom w:val="0"/>
      <w:divBdr>
        <w:top w:val="none" w:sz="0" w:space="0" w:color="auto"/>
        <w:left w:val="none" w:sz="0" w:space="0" w:color="auto"/>
        <w:bottom w:val="none" w:sz="0" w:space="0" w:color="auto"/>
        <w:right w:val="none" w:sz="0" w:space="0" w:color="auto"/>
      </w:divBdr>
    </w:div>
    <w:div w:id="1610433351">
      <w:bodyDiv w:val="1"/>
      <w:marLeft w:val="0"/>
      <w:marRight w:val="0"/>
      <w:marTop w:val="0"/>
      <w:marBottom w:val="0"/>
      <w:divBdr>
        <w:top w:val="none" w:sz="0" w:space="0" w:color="auto"/>
        <w:left w:val="none" w:sz="0" w:space="0" w:color="auto"/>
        <w:bottom w:val="none" w:sz="0" w:space="0" w:color="auto"/>
        <w:right w:val="none" w:sz="0" w:space="0" w:color="auto"/>
      </w:divBdr>
    </w:div>
    <w:div w:id="1625232505">
      <w:bodyDiv w:val="1"/>
      <w:marLeft w:val="0"/>
      <w:marRight w:val="0"/>
      <w:marTop w:val="0"/>
      <w:marBottom w:val="0"/>
      <w:divBdr>
        <w:top w:val="none" w:sz="0" w:space="0" w:color="auto"/>
        <w:left w:val="none" w:sz="0" w:space="0" w:color="auto"/>
        <w:bottom w:val="none" w:sz="0" w:space="0" w:color="auto"/>
        <w:right w:val="none" w:sz="0" w:space="0" w:color="auto"/>
      </w:divBdr>
    </w:div>
    <w:div w:id="1628732054">
      <w:bodyDiv w:val="1"/>
      <w:marLeft w:val="0"/>
      <w:marRight w:val="0"/>
      <w:marTop w:val="0"/>
      <w:marBottom w:val="0"/>
      <w:divBdr>
        <w:top w:val="none" w:sz="0" w:space="0" w:color="auto"/>
        <w:left w:val="none" w:sz="0" w:space="0" w:color="auto"/>
        <w:bottom w:val="none" w:sz="0" w:space="0" w:color="auto"/>
        <w:right w:val="none" w:sz="0" w:space="0" w:color="auto"/>
      </w:divBdr>
    </w:div>
    <w:div w:id="1630939962">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79040369">
      <w:bodyDiv w:val="1"/>
      <w:marLeft w:val="0"/>
      <w:marRight w:val="0"/>
      <w:marTop w:val="0"/>
      <w:marBottom w:val="0"/>
      <w:divBdr>
        <w:top w:val="none" w:sz="0" w:space="0" w:color="auto"/>
        <w:left w:val="none" w:sz="0" w:space="0" w:color="auto"/>
        <w:bottom w:val="none" w:sz="0" w:space="0" w:color="auto"/>
        <w:right w:val="none" w:sz="0" w:space="0" w:color="auto"/>
      </w:divBdr>
    </w:div>
    <w:div w:id="1685783781">
      <w:bodyDiv w:val="1"/>
      <w:marLeft w:val="0"/>
      <w:marRight w:val="0"/>
      <w:marTop w:val="0"/>
      <w:marBottom w:val="0"/>
      <w:divBdr>
        <w:top w:val="none" w:sz="0" w:space="0" w:color="auto"/>
        <w:left w:val="none" w:sz="0" w:space="0" w:color="auto"/>
        <w:bottom w:val="none" w:sz="0" w:space="0" w:color="auto"/>
        <w:right w:val="none" w:sz="0" w:space="0" w:color="auto"/>
      </w:divBdr>
    </w:div>
    <w:div w:id="1686856601">
      <w:bodyDiv w:val="1"/>
      <w:marLeft w:val="0"/>
      <w:marRight w:val="0"/>
      <w:marTop w:val="0"/>
      <w:marBottom w:val="0"/>
      <w:divBdr>
        <w:top w:val="none" w:sz="0" w:space="0" w:color="auto"/>
        <w:left w:val="none" w:sz="0" w:space="0" w:color="auto"/>
        <w:bottom w:val="none" w:sz="0" w:space="0" w:color="auto"/>
        <w:right w:val="none" w:sz="0" w:space="0" w:color="auto"/>
      </w:divBdr>
    </w:div>
    <w:div w:id="1701009525">
      <w:bodyDiv w:val="1"/>
      <w:marLeft w:val="0"/>
      <w:marRight w:val="0"/>
      <w:marTop w:val="0"/>
      <w:marBottom w:val="0"/>
      <w:divBdr>
        <w:top w:val="none" w:sz="0" w:space="0" w:color="auto"/>
        <w:left w:val="none" w:sz="0" w:space="0" w:color="auto"/>
        <w:bottom w:val="none" w:sz="0" w:space="0" w:color="auto"/>
        <w:right w:val="none" w:sz="0" w:space="0" w:color="auto"/>
      </w:divBdr>
    </w:div>
    <w:div w:id="1704287680">
      <w:bodyDiv w:val="1"/>
      <w:marLeft w:val="0"/>
      <w:marRight w:val="0"/>
      <w:marTop w:val="0"/>
      <w:marBottom w:val="0"/>
      <w:divBdr>
        <w:top w:val="none" w:sz="0" w:space="0" w:color="auto"/>
        <w:left w:val="none" w:sz="0" w:space="0" w:color="auto"/>
        <w:bottom w:val="none" w:sz="0" w:space="0" w:color="auto"/>
        <w:right w:val="none" w:sz="0" w:space="0" w:color="auto"/>
      </w:divBdr>
    </w:div>
    <w:div w:id="1705330849">
      <w:bodyDiv w:val="1"/>
      <w:marLeft w:val="0"/>
      <w:marRight w:val="0"/>
      <w:marTop w:val="0"/>
      <w:marBottom w:val="0"/>
      <w:divBdr>
        <w:top w:val="none" w:sz="0" w:space="0" w:color="auto"/>
        <w:left w:val="none" w:sz="0" w:space="0" w:color="auto"/>
        <w:bottom w:val="none" w:sz="0" w:space="0" w:color="auto"/>
        <w:right w:val="none" w:sz="0" w:space="0" w:color="auto"/>
      </w:divBdr>
    </w:div>
    <w:div w:id="1709987656">
      <w:bodyDiv w:val="1"/>
      <w:marLeft w:val="0"/>
      <w:marRight w:val="0"/>
      <w:marTop w:val="0"/>
      <w:marBottom w:val="0"/>
      <w:divBdr>
        <w:top w:val="none" w:sz="0" w:space="0" w:color="auto"/>
        <w:left w:val="none" w:sz="0" w:space="0" w:color="auto"/>
        <w:bottom w:val="none" w:sz="0" w:space="0" w:color="auto"/>
        <w:right w:val="none" w:sz="0" w:space="0" w:color="auto"/>
      </w:divBdr>
    </w:div>
    <w:div w:id="1731150060">
      <w:bodyDiv w:val="1"/>
      <w:marLeft w:val="0"/>
      <w:marRight w:val="0"/>
      <w:marTop w:val="0"/>
      <w:marBottom w:val="0"/>
      <w:divBdr>
        <w:top w:val="none" w:sz="0" w:space="0" w:color="auto"/>
        <w:left w:val="none" w:sz="0" w:space="0" w:color="auto"/>
        <w:bottom w:val="none" w:sz="0" w:space="0" w:color="auto"/>
        <w:right w:val="none" w:sz="0" w:space="0" w:color="auto"/>
      </w:divBdr>
    </w:div>
    <w:div w:id="1736510342">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40518576">
      <w:bodyDiv w:val="1"/>
      <w:marLeft w:val="0"/>
      <w:marRight w:val="0"/>
      <w:marTop w:val="0"/>
      <w:marBottom w:val="0"/>
      <w:divBdr>
        <w:top w:val="none" w:sz="0" w:space="0" w:color="auto"/>
        <w:left w:val="none" w:sz="0" w:space="0" w:color="auto"/>
        <w:bottom w:val="none" w:sz="0" w:space="0" w:color="auto"/>
        <w:right w:val="none" w:sz="0" w:space="0" w:color="auto"/>
      </w:divBdr>
    </w:div>
    <w:div w:id="1742867015">
      <w:bodyDiv w:val="1"/>
      <w:marLeft w:val="0"/>
      <w:marRight w:val="0"/>
      <w:marTop w:val="0"/>
      <w:marBottom w:val="0"/>
      <w:divBdr>
        <w:top w:val="none" w:sz="0" w:space="0" w:color="auto"/>
        <w:left w:val="none" w:sz="0" w:space="0" w:color="auto"/>
        <w:bottom w:val="none" w:sz="0" w:space="0" w:color="auto"/>
        <w:right w:val="none" w:sz="0" w:space="0" w:color="auto"/>
      </w:divBdr>
    </w:div>
    <w:div w:id="1775131297">
      <w:bodyDiv w:val="1"/>
      <w:marLeft w:val="0"/>
      <w:marRight w:val="0"/>
      <w:marTop w:val="0"/>
      <w:marBottom w:val="0"/>
      <w:divBdr>
        <w:top w:val="none" w:sz="0" w:space="0" w:color="auto"/>
        <w:left w:val="none" w:sz="0" w:space="0" w:color="auto"/>
        <w:bottom w:val="none" w:sz="0" w:space="0" w:color="auto"/>
        <w:right w:val="none" w:sz="0" w:space="0" w:color="auto"/>
      </w:divBdr>
    </w:div>
    <w:div w:id="1779787481">
      <w:bodyDiv w:val="1"/>
      <w:marLeft w:val="0"/>
      <w:marRight w:val="0"/>
      <w:marTop w:val="0"/>
      <w:marBottom w:val="0"/>
      <w:divBdr>
        <w:top w:val="none" w:sz="0" w:space="0" w:color="auto"/>
        <w:left w:val="none" w:sz="0" w:space="0" w:color="auto"/>
        <w:bottom w:val="none" w:sz="0" w:space="0" w:color="auto"/>
        <w:right w:val="none" w:sz="0" w:space="0" w:color="auto"/>
      </w:divBdr>
    </w:div>
    <w:div w:id="1779911709">
      <w:bodyDiv w:val="1"/>
      <w:marLeft w:val="0"/>
      <w:marRight w:val="0"/>
      <w:marTop w:val="0"/>
      <w:marBottom w:val="0"/>
      <w:divBdr>
        <w:top w:val="none" w:sz="0" w:space="0" w:color="auto"/>
        <w:left w:val="none" w:sz="0" w:space="0" w:color="auto"/>
        <w:bottom w:val="none" w:sz="0" w:space="0" w:color="auto"/>
        <w:right w:val="none" w:sz="0" w:space="0" w:color="auto"/>
      </w:divBdr>
    </w:div>
    <w:div w:id="1810049959">
      <w:bodyDiv w:val="1"/>
      <w:marLeft w:val="0"/>
      <w:marRight w:val="0"/>
      <w:marTop w:val="0"/>
      <w:marBottom w:val="0"/>
      <w:divBdr>
        <w:top w:val="none" w:sz="0" w:space="0" w:color="auto"/>
        <w:left w:val="none" w:sz="0" w:space="0" w:color="auto"/>
        <w:bottom w:val="none" w:sz="0" w:space="0" w:color="auto"/>
        <w:right w:val="none" w:sz="0" w:space="0" w:color="auto"/>
      </w:divBdr>
    </w:div>
    <w:div w:id="1813132456">
      <w:bodyDiv w:val="1"/>
      <w:marLeft w:val="0"/>
      <w:marRight w:val="0"/>
      <w:marTop w:val="0"/>
      <w:marBottom w:val="0"/>
      <w:divBdr>
        <w:top w:val="none" w:sz="0" w:space="0" w:color="auto"/>
        <w:left w:val="none" w:sz="0" w:space="0" w:color="auto"/>
        <w:bottom w:val="none" w:sz="0" w:space="0" w:color="auto"/>
        <w:right w:val="none" w:sz="0" w:space="0" w:color="auto"/>
      </w:divBdr>
    </w:div>
    <w:div w:id="1817990906">
      <w:bodyDiv w:val="1"/>
      <w:marLeft w:val="0"/>
      <w:marRight w:val="0"/>
      <w:marTop w:val="0"/>
      <w:marBottom w:val="0"/>
      <w:divBdr>
        <w:top w:val="none" w:sz="0" w:space="0" w:color="auto"/>
        <w:left w:val="none" w:sz="0" w:space="0" w:color="auto"/>
        <w:bottom w:val="none" w:sz="0" w:space="0" w:color="auto"/>
        <w:right w:val="none" w:sz="0" w:space="0" w:color="auto"/>
      </w:divBdr>
    </w:div>
    <w:div w:id="1826049155">
      <w:bodyDiv w:val="1"/>
      <w:marLeft w:val="0"/>
      <w:marRight w:val="0"/>
      <w:marTop w:val="0"/>
      <w:marBottom w:val="0"/>
      <w:divBdr>
        <w:top w:val="none" w:sz="0" w:space="0" w:color="auto"/>
        <w:left w:val="none" w:sz="0" w:space="0" w:color="auto"/>
        <w:bottom w:val="none" w:sz="0" w:space="0" w:color="auto"/>
        <w:right w:val="none" w:sz="0" w:space="0" w:color="auto"/>
      </w:divBdr>
    </w:div>
    <w:div w:id="1827278512">
      <w:bodyDiv w:val="1"/>
      <w:marLeft w:val="0"/>
      <w:marRight w:val="0"/>
      <w:marTop w:val="0"/>
      <w:marBottom w:val="0"/>
      <w:divBdr>
        <w:top w:val="none" w:sz="0" w:space="0" w:color="auto"/>
        <w:left w:val="none" w:sz="0" w:space="0" w:color="auto"/>
        <w:bottom w:val="none" w:sz="0" w:space="0" w:color="auto"/>
        <w:right w:val="none" w:sz="0" w:space="0" w:color="auto"/>
      </w:divBdr>
    </w:div>
    <w:div w:id="1832719312">
      <w:bodyDiv w:val="1"/>
      <w:marLeft w:val="0"/>
      <w:marRight w:val="0"/>
      <w:marTop w:val="0"/>
      <w:marBottom w:val="0"/>
      <w:divBdr>
        <w:top w:val="none" w:sz="0" w:space="0" w:color="auto"/>
        <w:left w:val="none" w:sz="0" w:space="0" w:color="auto"/>
        <w:bottom w:val="none" w:sz="0" w:space="0" w:color="auto"/>
        <w:right w:val="none" w:sz="0" w:space="0" w:color="auto"/>
      </w:divBdr>
      <w:divsChild>
        <w:div w:id="211238345">
          <w:marLeft w:val="0"/>
          <w:marRight w:val="0"/>
          <w:marTop w:val="0"/>
          <w:marBottom w:val="0"/>
          <w:divBdr>
            <w:top w:val="none" w:sz="0" w:space="0" w:color="auto"/>
            <w:left w:val="none" w:sz="0" w:space="0" w:color="auto"/>
            <w:bottom w:val="none" w:sz="0" w:space="0" w:color="auto"/>
            <w:right w:val="none" w:sz="0" w:space="0" w:color="auto"/>
          </w:divBdr>
          <w:divsChild>
            <w:div w:id="894588374">
              <w:marLeft w:val="2735"/>
              <w:marRight w:val="175"/>
              <w:marTop w:val="0"/>
              <w:marBottom w:val="0"/>
              <w:divBdr>
                <w:top w:val="none" w:sz="0" w:space="0" w:color="auto"/>
                <w:left w:val="none" w:sz="0" w:space="0" w:color="auto"/>
                <w:bottom w:val="none" w:sz="0" w:space="0" w:color="auto"/>
                <w:right w:val="none" w:sz="0" w:space="0" w:color="auto"/>
              </w:divBdr>
              <w:divsChild>
                <w:div w:id="888225210">
                  <w:marLeft w:val="0"/>
                  <w:marRight w:val="0"/>
                  <w:marTop w:val="0"/>
                  <w:marBottom w:val="0"/>
                  <w:divBdr>
                    <w:top w:val="none" w:sz="0" w:space="0" w:color="auto"/>
                    <w:left w:val="none" w:sz="0" w:space="0" w:color="auto"/>
                    <w:bottom w:val="none" w:sz="0" w:space="0" w:color="auto"/>
                    <w:right w:val="none" w:sz="0" w:space="0" w:color="auto"/>
                  </w:divBdr>
                  <w:divsChild>
                    <w:div w:id="736057201">
                      <w:marLeft w:val="0"/>
                      <w:marRight w:val="0"/>
                      <w:marTop w:val="0"/>
                      <w:marBottom w:val="0"/>
                      <w:divBdr>
                        <w:top w:val="none" w:sz="0" w:space="0" w:color="auto"/>
                        <w:left w:val="none" w:sz="0" w:space="0" w:color="auto"/>
                        <w:bottom w:val="none" w:sz="0" w:space="0" w:color="auto"/>
                        <w:right w:val="none" w:sz="0" w:space="0" w:color="auto"/>
                      </w:divBdr>
                      <w:divsChild>
                        <w:div w:id="22094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4595081">
          <w:marLeft w:val="0"/>
          <w:marRight w:val="0"/>
          <w:marTop w:val="0"/>
          <w:marBottom w:val="0"/>
          <w:divBdr>
            <w:top w:val="none" w:sz="0" w:space="0" w:color="auto"/>
            <w:left w:val="none" w:sz="0" w:space="0" w:color="auto"/>
            <w:bottom w:val="none" w:sz="0" w:space="0" w:color="auto"/>
            <w:right w:val="none" w:sz="0" w:space="0" w:color="auto"/>
          </w:divBdr>
          <w:divsChild>
            <w:div w:id="594020697">
              <w:marLeft w:val="0"/>
              <w:marRight w:val="0"/>
              <w:marTop w:val="0"/>
              <w:marBottom w:val="0"/>
              <w:divBdr>
                <w:top w:val="none" w:sz="0" w:space="0" w:color="auto"/>
                <w:left w:val="none" w:sz="0" w:space="0" w:color="auto"/>
                <w:bottom w:val="none" w:sz="0" w:space="0" w:color="auto"/>
                <w:right w:val="none" w:sz="0" w:space="0" w:color="auto"/>
              </w:divBdr>
              <w:divsChild>
                <w:div w:id="14160525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1842892259">
      <w:bodyDiv w:val="1"/>
      <w:marLeft w:val="0"/>
      <w:marRight w:val="0"/>
      <w:marTop w:val="0"/>
      <w:marBottom w:val="0"/>
      <w:divBdr>
        <w:top w:val="none" w:sz="0" w:space="0" w:color="auto"/>
        <w:left w:val="none" w:sz="0" w:space="0" w:color="auto"/>
        <w:bottom w:val="none" w:sz="0" w:space="0" w:color="auto"/>
        <w:right w:val="none" w:sz="0" w:space="0" w:color="auto"/>
      </w:divBdr>
    </w:div>
    <w:div w:id="1845776792">
      <w:bodyDiv w:val="1"/>
      <w:marLeft w:val="0"/>
      <w:marRight w:val="0"/>
      <w:marTop w:val="0"/>
      <w:marBottom w:val="0"/>
      <w:divBdr>
        <w:top w:val="none" w:sz="0" w:space="0" w:color="auto"/>
        <w:left w:val="none" w:sz="0" w:space="0" w:color="auto"/>
        <w:bottom w:val="none" w:sz="0" w:space="0" w:color="auto"/>
        <w:right w:val="none" w:sz="0" w:space="0" w:color="auto"/>
      </w:divBdr>
    </w:div>
    <w:div w:id="1860315679">
      <w:bodyDiv w:val="1"/>
      <w:marLeft w:val="0"/>
      <w:marRight w:val="0"/>
      <w:marTop w:val="0"/>
      <w:marBottom w:val="0"/>
      <w:divBdr>
        <w:top w:val="none" w:sz="0" w:space="0" w:color="auto"/>
        <w:left w:val="none" w:sz="0" w:space="0" w:color="auto"/>
        <w:bottom w:val="none" w:sz="0" w:space="0" w:color="auto"/>
        <w:right w:val="none" w:sz="0" w:space="0" w:color="auto"/>
      </w:divBdr>
    </w:div>
    <w:div w:id="1867474517">
      <w:bodyDiv w:val="1"/>
      <w:marLeft w:val="0"/>
      <w:marRight w:val="0"/>
      <w:marTop w:val="0"/>
      <w:marBottom w:val="0"/>
      <w:divBdr>
        <w:top w:val="none" w:sz="0" w:space="0" w:color="auto"/>
        <w:left w:val="none" w:sz="0" w:space="0" w:color="auto"/>
        <w:bottom w:val="none" w:sz="0" w:space="0" w:color="auto"/>
        <w:right w:val="none" w:sz="0" w:space="0" w:color="auto"/>
      </w:divBdr>
    </w:div>
    <w:div w:id="1868254460">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654798">
      <w:bodyDiv w:val="1"/>
      <w:marLeft w:val="0"/>
      <w:marRight w:val="0"/>
      <w:marTop w:val="0"/>
      <w:marBottom w:val="0"/>
      <w:divBdr>
        <w:top w:val="none" w:sz="0" w:space="0" w:color="auto"/>
        <w:left w:val="none" w:sz="0" w:space="0" w:color="auto"/>
        <w:bottom w:val="none" w:sz="0" w:space="0" w:color="auto"/>
        <w:right w:val="none" w:sz="0" w:space="0" w:color="auto"/>
      </w:divBdr>
    </w:div>
    <w:div w:id="1876886625">
      <w:bodyDiv w:val="1"/>
      <w:marLeft w:val="0"/>
      <w:marRight w:val="0"/>
      <w:marTop w:val="0"/>
      <w:marBottom w:val="0"/>
      <w:divBdr>
        <w:top w:val="none" w:sz="0" w:space="0" w:color="auto"/>
        <w:left w:val="none" w:sz="0" w:space="0" w:color="auto"/>
        <w:bottom w:val="none" w:sz="0" w:space="0" w:color="auto"/>
        <w:right w:val="none" w:sz="0" w:space="0" w:color="auto"/>
      </w:divBdr>
    </w:div>
    <w:div w:id="1881549435">
      <w:bodyDiv w:val="1"/>
      <w:marLeft w:val="0"/>
      <w:marRight w:val="0"/>
      <w:marTop w:val="0"/>
      <w:marBottom w:val="0"/>
      <w:divBdr>
        <w:top w:val="none" w:sz="0" w:space="0" w:color="auto"/>
        <w:left w:val="none" w:sz="0" w:space="0" w:color="auto"/>
        <w:bottom w:val="none" w:sz="0" w:space="0" w:color="auto"/>
        <w:right w:val="none" w:sz="0" w:space="0" w:color="auto"/>
      </w:divBdr>
    </w:div>
    <w:div w:id="1891305645">
      <w:bodyDiv w:val="1"/>
      <w:marLeft w:val="0"/>
      <w:marRight w:val="0"/>
      <w:marTop w:val="0"/>
      <w:marBottom w:val="0"/>
      <w:divBdr>
        <w:top w:val="none" w:sz="0" w:space="0" w:color="auto"/>
        <w:left w:val="none" w:sz="0" w:space="0" w:color="auto"/>
        <w:bottom w:val="none" w:sz="0" w:space="0" w:color="auto"/>
        <w:right w:val="none" w:sz="0" w:space="0" w:color="auto"/>
      </w:divBdr>
    </w:div>
    <w:div w:id="1896043595">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7841873">
      <w:bodyDiv w:val="1"/>
      <w:marLeft w:val="0"/>
      <w:marRight w:val="0"/>
      <w:marTop w:val="0"/>
      <w:marBottom w:val="0"/>
      <w:divBdr>
        <w:top w:val="none" w:sz="0" w:space="0" w:color="auto"/>
        <w:left w:val="none" w:sz="0" w:space="0" w:color="auto"/>
        <w:bottom w:val="none" w:sz="0" w:space="0" w:color="auto"/>
        <w:right w:val="none" w:sz="0" w:space="0" w:color="auto"/>
      </w:divBdr>
    </w:div>
    <w:div w:id="1920942659">
      <w:bodyDiv w:val="1"/>
      <w:marLeft w:val="0"/>
      <w:marRight w:val="0"/>
      <w:marTop w:val="0"/>
      <w:marBottom w:val="0"/>
      <w:divBdr>
        <w:top w:val="none" w:sz="0" w:space="0" w:color="auto"/>
        <w:left w:val="none" w:sz="0" w:space="0" w:color="auto"/>
        <w:bottom w:val="none" w:sz="0" w:space="0" w:color="auto"/>
        <w:right w:val="none" w:sz="0" w:space="0" w:color="auto"/>
      </w:divBdr>
    </w:div>
    <w:div w:id="1938172950">
      <w:bodyDiv w:val="1"/>
      <w:marLeft w:val="0"/>
      <w:marRight w:val="0"/>
      <w:marTop w:val="0"/>
      <w:marBottom w:val="0"/>
      <w:divBdr>
        <w:top w:val="none" w:sz="0" w:space="0" w:color="auto"/>
        <w:left w:val="none" w:sz="0" w:space="0" w:color="auto"/>
        <w:bottom w:val="none" w:sz="0" w:space="0" w:color="auto"/>
        <w:right w:val="none" w:sz="0" w:space="0" w:color="auto"/>
      </w:divBdr>
    </w:div>
    <w:div w:id="1956325752">
      <w:bodyDiv w:val="1"/>
      <w:marLeft w:val="0"/>
      <w:marRight w:val="0"/>
      <w:marTop w:val="0"/>
      <w:marBottom w:val="0"/>
      <w:divBdr>
        <w:top w:val="none" w:sz="0" w:space="0" w:color="auto"/>
        <w:left w:val="none" w:sz="0" w:space="0" w:color="auto"/>
        <w:bottom w:val="none" w:sz="0" w:space="0" w:color="auto"/>
        <w:right w:val="none" w:sz="0" w:space="0" w:color="auto"/>
      </w:divBdr>
    </w:div>
    <w:div w:id="1960716978">
      <w:bodyDiv w:val="1"/>
      <w:marLeft w:val="0"/>
      <w:marRight w:val="0"/>
      <w:marTop w:val="0"/>
      <w:marBottom w:val="0"/>
      <w:divBdr>
        <w:top w:val="none" w:sz="0" w:space="0" w:color="auto"/>
        <w:left w:val="none" w:sz="0" w:space="0" w:color="auto"/>
        <w:bottom w:val="none" w:sz="0" w:space="0" w:color="auto"/>
        <w:right w:val="none" w:sz="0" w:space="0" w:color="auto"/>
      </w:divBdr>
    </w:div>
    <w:div w:id="1961759596">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88586039">
      <w:bodyDiv w:val="1"/>
      <w:marLeft w:val="0"/>
      <w:marRight w:val="0"/>
      <w:marTop w:val="0"/>
      <w:marBottom w:val="0"/>
      <w:divBdr>
        <w:top w:val="none" w:sz="0" w:space="0" w:color="auto"/>
        <w:left w:val="none" w:sz="0" w:space="0" w:color="auto"/>
        <w:bottom w:val="none" w:sz="0" w:space="0" w:color="auto"/>
        <w:right w:val="none" w:sz="0" w:space="0" w:color="auto"/>
      </w:divBdr>
    </w:div>
    <w:div w:id="1989897300">
      <w:bodyDiv w:val="1"/>
      <w:marLeft w:val="0"/>
      <w:marRight w:val="0"/>
      <w:marTop w:val="0"/>
      <w:marBottom w:val="0"/>
      <w:divBdr>
        <w:top w:val="none" w:sz="0" w:space="0" w:color="auto"/>
        <w:left w:val="none" w:sz="0" w:space="0" w:color="auto"/>
        <w:bottom w:val="none" w:sz="0" w:space="0" w:color="auto"/>
        <w:right w:val="none" w:sz="0" w:space="0" w:color="auto"/>
      </w:divBdr>
    </w:div>
    <w:div w:id="1999265180">
      <w:bodyDiv w:val="1"/>
      <w:marLeft w:val="0"/>
      <w:marRight w:val="0"/>
      <w:marTop w:val="0"/>
      <w:marBottom w:val="0"/>
      <w:divBdr>
        <w:top w:val="none" w:sz="0" w:space="0" w:color="auto"/>
        <w:left w:val="none" w:sz="0" w:space="0" w:color="auto"/>
        <w:bottom w:val="none" w:sz="0" w:space="0" w:color="auto"/>
        <w:right w:val="none" w:sz="0" w:space="0" w:color="auto"/>
      </w:divBdr>
    </w:div>
    <w:div w:id="2003463192">
      <w:bodyDiv w:val="1"/>
      <w:marLeft w:val="0"/>
      <w:marRight w:val="0"/>
      <w:marTop w:val="0"/>
      <w:marBottom w:val="0"/>
      <w:divBdr>
        <w:top w:val="none" w:sz="0" w:space="0" w:color="auto"/>
        <w:left w:val="none" w:sz="0" w:space="0" w:color="auto"/>
        <w:bottom w:val="none" w:sz="0" w:space="0" w:color="auto"/>
        <w:right w:val="none" w:sz="0" w:space="0" w:color="auto"/>
      </w:divBdr>
    </w:div>
    <w:div w:id="2036540339">
      <w:bodyDiv w:val="1"/>
      <w:marLeft w:val="0"/>
      <w:marRight w:val="0"/>
      <w:marTop w:val="0"/>
      <w:marBottom w:val="0"/>
      <w:divBdr>
        <w:top w:val="none" w:sz="0" w:space="0" w:color="auto"/>
        <w:left w:val="none" w:sz="0" w:space="0" w:color="auto"/>
        <w:bottom w:val="none" w:sz="0" w:space="0" w:color="auto"/>
        <w:right w:val="none" w:sz="0" w:space="0" w:color="auto"/>
      </w:divBdr>
    </w:div>
    <w:div w:id="2043044205">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60549199">
      <w:bodyDiv w:val="1"/>
      <w:marLeft w:val="0"/>
      <w:marRight w:val="0"/>
      <w:marTop w:val="0"/>
      <w:marBottom w:val="0"/>
      <w:divBdr>
        <w:top w:val="none" w:sz="0" w:space="0" w:color="auto"/>
        <w:left w:val="none" w:sz="0" w:space="0" w:color="auto"/>
        <w:bottom w:val="none" w:sz="0" w:space="0" w:color="auto"/>
        <w:right w:val="none" w:sz="0" w:space="0" w:color="auto"/>
      </w:divBdr>
    </w:div>
    <w:div w:id="2060811873">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6776050">
      <w:bodyDiv w:val="1"/>
      <w:marLeft w:val="0"/>
      <w:marRight w:val="0"/>
      <w:marTop w:val="0"/>
      <w:marBottom w:val="0"/>
      <w:divBdr>
        <w:top w:val="none" w:sz="0" w:space="0" w:color="auto"/>
        <w:left w:val="none" w:sz="0" w:space="0" w:color="auto"/>
        <w:bottom w:val="none" w:sz="0" w:space="0" w:color="auto"/>
        <w:right w:val="none" w:sz="0" w:space="0" w:color="auto"/>
      </w:divBdr>
    </w:div>
    <w:div w:id="2078820230">
      <w:bodyDiv w:val="1"/>
      <w:marLeft w:val="0"/>
      <w:marRight w:val="0"/>
      <w:marTop w:val="0"/>
      <w:marBottom w:val="0"/>
      <w:divBdr>
        <w:top w:val="none" w:sz="0" w:space="0" w:color="auto"/>
        <w:left w:val="none" w:sz="0" w:space="0" w:color="auto"/>
        <w:bottom w:val="none" w:sz="0" w:space="0" w:color="auto"/>
        <w:right w:val="none" w:sz="0" w:space="0" w:color="auto"/>
      </w:divBdr>
    </w:div>
    <w:div w:id="2083259810">
      <w:bodyDiv w:val="1"/>
      <w:marLeft w:val="0"/>
      <w:marRight w:val="0"/>
      <w:marTop w:val="0"/>
      <w:marBottom w:val="0"/>
      <w:divBdr>
        <w:top w:val="none" w:sz="0" w:space="0" w:color="auto"/>
        <w:left w:val="none" w:sz="0" w:space="0" w:color="auto"/>
        <w:bottom w:val="none" w:sz="0" w:space="0" w:color="auto"/>
        <w:right w:val="none" w:sz="0" w:space="0" w:color="auto"/>
      </w:divBdr>
    </w:div>
    <w:div w:id="2083405557">
      <w:bodyDiv w:val="1"/>
      <w:marLeft w:val="0"/>
      <w:marRight w:val="0"/>
      <w:marTop w:val="0"/>
      <w:marBottom w:val="0"/>
      <w:divBdr>
        <w:top w:val="none" w:sz="0" w:space="0" w:color="auto"/>
        <w:left w:val="none" w:sz="0" w:space="0" w:color="auto"/>
        <w:bottom w:val="none" w:sz="0" w:space="0" w:color="auto"/>
        <w:right w:val="none" w:sz="0" w:space="0" w:color="auto"/>
      </w:divBdr>
    </w:div>
    <w:div w:id="2111199329">
      <w:bodyDiv w:val="1"/>
      <w:marLeft w:val="0"/>
      <w:marRight w:val="0"/>
      <w:marTop w:val="0"/>
      <w:marBottom w:val="0"/>
      <w:divBdr>
        <w:top w:val="none" w:sz="0" w:space="0" w:color="auto"/>
        <w:left w:val="none" w:sz="0" w:space="0" w:color="auto"/>
        <w:bottom w:val="none" w:sz="0" w:space="0" w:color="auto"/>
        <w:right w:val="none" w:sz="0" w:space="0" w:color="auto"/>
      </w:divBdr>
    </w:div>
    <w:div w:id="2111582754">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473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12.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header" Target="header7.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C5038-2B20-437F-802C-170AB777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26983</Words>
  <Characters>153807</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Microsoft</Company>
  <LinksUpToDate>false</LinksUpToDate>
  <CharactersWithSpaces>180430</CharactersWithSpaces>
  <SharedDoc>false</SharedDoc>
  <HLinks>
    <vt:vector size="72" baseType="variant">
      <vt:variant>
        <vt:i4>1441844</vt:i4>
      </vt:variant>
      <vt:variant>
        <vt:i4>68</vt:i4>
      </vt:variant>
      <vt:variant>
        <vt:i4>0</vt:i4>
      </vt:variant>
      <vt:variant>
        <vt:i4>5</vt:i4>
      </vt:variant>
      <vt:variant>
        <vt:lpwstr/>
      </vt:variant>
      <vt:variant>
        <vt:lpwstr>_Toc106968507</vt:lpwstr>
      </vt:variant>
      <vt:variant>
        <vt:i4>1441844</vt:i4>
      </vt:variant>
      <vt:variant>
        <vt:i4>62</vt:i4>
      </vt:variant>
      <vt:variant>
        <vt:i4>0</vt:i4>
      </vt:variant>
      <vt:variant>
        <vt:i4>5</vt:i4>
      </vt:variant>
      <vt:variant>
        <vt:lpwstr/>
      </vt:variant>
      <vt:variant>
        <vt:lpwstr>_Toc106968506</vt:lpwstr>
      </vt:variant>
      <vt:variant>
        <vt:i4>1441844</vt:i4>
      </vt:variant>
      <vt:variant>
        <vt:i4>56</vt:i4>
      </vt:variant>
      <vt:variant>
        <vt:i4>0</vt:i4>
      </vt:variant>
      <vt:variant>
        <vt:i4>5</vt:i4>
      </vt:variant>
      <vt:variant>
        <vt:lpwstr/>
      </vt:variant>
      <vt:variant>
        <vt:lpwstr>_Toc106968505</vt:lpwstr>
      </vt:variant>
      <vt:variant>
        <vt:i4>1441844</vt:i4>
      </vt:variant>
      <vt:variant>
        <vt:i4>50</vt:i4>
      </vt:variant>
      <vt:variant>
        <vt:i4>0</vt:i4>
      </vt:variant>
      <vt:variant>
        <vt:i4>5</vt:i4>
      </vt:variant>
      <vt:variant>
        <vt:lpwstr/>
      </vt:variant>
      <vt:variant>
        <vt:lpwstr>_Toc106968504</vt:lpwstr>
      </vt:variant>
      <vt:variant>
        <vt:i4>1441844</vt:i4>
      </vt:variant>
      <vt:variant>
        <vt:i4>44</vt:i4>
      </vt:variant>
      <vt:variant>
        <vt:i4>0</vt:i4>
      </vt:variant>
      <vt:variant>
        <vt:i4>5</vt:i4>
      </vt:variant>
      <vt:variant>
        <vt:lpwstr/>
      </vt:variant>
      <vt:variant>
        <vt:lpwstr>_Toc106968503</vt:lpwstr>
      </vt:variant>
      <vt:variant>
        <vt:i4>1441844</vt:i4>
      </vt:variant>
      <vt:variant>
        <vt:i4>38</vt:i4>
      </vt:variant>
      <vt:variant>
        <vt:i4>0</vt:i4>
      </vt:variant>
      <vt:variant>
        <vt:i4>5</vt:i4>
      </vt:variant>
      <vt:variant>
        <vt:lpwstr/>
      </vt:variant>
      <vt:variant>
        <vt:lpwstr>_Toc106968502</vt:lpwstr>
      </vt:variant>
      <vt:variant>
        <vt:i4>1441844</vt:i4>
      </vt:variant>
      <vt:variant>
        <vt:i4>32</vt:i4>
      </vt:variant>
      <vt:variant>
        <vt:i4>0</vt:i4>
      </vt:variant>
      <vt:variant>
        <vt:i4>5</vt:i4>
      </vt:variant>
      <vt:variant>
        <vt:lpwstr/>
      </vt:variant>
      <vt:variant>
        <vt:lpwstr>_Toc106968501</vt:lpwstr>
      </vt:variant>
      <vt:variant>
        <vt:i4>1441844</vt:i4>
      </vt:variant>
      <vt:variant>
        <vt:i4>26</vt:i4>
      </vt:variant>
      <vt:variant>
        <vt:i4>0</vt:i4>
      </vt:variant>
      <vt:variant>
        <vt:i4>5</vt:i4>
      </vt:variant>
      <vt:variant>
        <vt:lpwstr/>
      </vt:variant>
      <vt:variant>
        <vt:lpwstr>_Toc106968500</vt:lpwstr>
      </vt:variant>
      <vt:variant>
        <vt:i4>2031669</vt:i4>
      </vt:variant>
      <vt:variant>
        <vt:i4>20</vt:i4>
      </vt:variant>
      <vt:variant>
        <vt:i4>0</vt:i4>
      </vt:variant>
      <vt:variant>
        <vt:i4>5</vt:i4>
      </vt:variant>
      <vt:variant>
        <vt:lpwstr/>
      </vt:variant>
      <vt:variant>
        <vt:lpwstr>_Toc106968499</vt:lpwstr>
      </vt:variant>
      <vt:variant>
        <vt:i4>2031669</vt:i4>
      </vt:variant>
      <vt:variant>
        <vt:i4>14</vt:i4>
      </vt:variant>
      <vt:variant>
        <vt:i4>0</vt:i4>
      </vt:variant>
      <vt:variant>
        <vt:i4>5</vt:i4>
      </vt:variant>
      <vt:variant>
        <vt:lpwstr/>
      </vt:variant>
      <vt:variant>
        <vt:lpwstr>_Toc106968498</vt:lpwstr>
      </vt:variant>
      <vt:variant>
        <vt:i4>2031669</vt:i4>
      </vt:variant>
      <vt:variant>
        <vt:i4>8</vt:i4>
      </vt:variant>
      <vt:variant>
        <vt:i4>0</vt:i4>
      </vt:variant>
      <vt:variant>
        <vt:i4>5</vt:i4>
      </vt:variant>
      <vt:variant>
        <vt:lpwstr/>
      </vt:variant>
      <vt:variant>
        <vt:lpwstr>_Toc106968497</vt:lpwstr>
      </vt:variant>
      <vt:variant>
        <vt:i4>2031669</vt:i4>
      </vt:variant>
      <vt:variant>
        <vt:i4>2</vt:i4>
      </vt:variant>
      <vt:variant>
        <vt:i4>0</vt:i4>
      </vt:variant>
      <vt:variant>
        <vt:i4>5</vt:i4>
      </vt:variant>
      <vt:variant>
        <vt:lpwstr/>
      </vt:variant>
      <vt:variant>
        <vt:lpwstr>_Toc106968496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Ashcroft Vaughan</dc:creator>
  <cp:keywords/>
  <cp:lastModifiedBy>Osborne Kate</cp:lastModifiedBy>
  <cp:revision>2</cp:revision>
  <cp:lastPrinted>2025-02-28T08:46:00Z</cp:lastPrinted>
  <dcterms:created xsi:type="dcterms:W3CDTF">2025-02-28T11:38:00Z</dcterms:created>
  <dcterms:modified xsi:type="dcterms:W3CDTF">2025-02-28T11:38:00Z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2023-04-17T15:22:25Z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ies>
</file>