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886C2" w14:textId="612984DD" w:rsidR="00BB04C7" w:rsidRDefault="00085EFA" w:rsidP="00A01E9B">
      <w:pPr>
        <w:jc w:val="center"/>
        <w:rPr>
          <w:rFonts w:ascii="Arial" w:hAnsi="Arial" w:cs="Arial"/>
          <w:b/>
          <w:sz w:val="24"/>
          <w:szCs w:val="24"/>
        </w:rPr>
      </w:pPr>
      <w:r>
        <w:rPr>
          <w:noProof/>
        </w:rPr>
        <w:drawing>
          <wp:inline distT="0" distB="0" distL="0" distR="0" wp14:anchorId="032F4D4C" wp14:editId="40B41297">
            <wp:extent cx="1494000" cy="149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4000" cy="1494000"/>
                    </a:xfrm>
                    <a:prstGeom prst="rect">
                      <a:avLst/>
                    </a:prstGeom>
                    <a:noFill/>
                    <a:ln>
                      <a:noFill/>
                    </a:ln>
                  </pic:spPr>
                </pic:pic>
              </a:graphicData>
            </a:graphic>
          </wp:inline>
        </w:drawing>
      </w:r>
    </w:p>
    <w:p w14:paraId="3F24DF7D" w14:textId="43768D47" w:rsidR="00A01E9B" w:rsidRPr="00BF592B" w:rsidRDefault="00A01E9B" w:rsidP="00A01E9B">
      <w:pPr>
        <w:jc w:val="center"/>
        <w:rPr>
          <w:rFonts w:asciiTheme="minorHAnsi" w:hAnsiTheme="minorHAnsi" w:cstheme="minorHAnsi"/>
          <w:b/>
          <w:sz w:val="24"/>
          <w:szCs w:val="24"/>
        </w:rPr>
      </w:pPr>
      <w:r w:rsidRPr="00BF592B">
        <w:rPr>
          <w:rFonts w:asciiTheme="minorHAnsi" w:hAnsiTheme="minorHAnsi" w:cstheme="minorHAnsi"/>
          <w:b/>
          <w:sz w:val="24"/>
          <w:szCs w:val="24"/>
        </w:rPr>
        <w:t>NORTHAMPTONSHIRE POLICE, FIRE &amp; CRIME PANEL</w:t>
      </w:r>
    </w:p>
    <w:p w14:paraId="049E988E" w14:textId="01E0230C" w:rsidR="00A01E9B" w:rsidRDefault="00450555" w:rsidP="00A01E9B">
      <w:pPr>
        <w:jc w:val="center"/>
        <w:rPr>
          <w:rFonts w:asciiTheme="minorHAnsi" w:hAnsiTheme="minorHAnsi" w:cstheme="minorHAnsi"/>
          <w:b/>
          <w:sz w:val="24"/>
          <w:szCs w:val="24"/>
        </w:rPr>
      </w:pPr>
      <w:r>
        <w:rPr>
          <w:rFonts w:asciiTheme="minorHAnsi" w:hAnsiTheme="minorHAnsi" w:cstheme="minorHAnsi"/>
          <w:b/>
          <w:sz w:val="24"/>
          <w:szCs w:val="24"/>
        </w:rPr>
        <w:t>5</w:t>
      </w:r>
      <w:r w:rsidR="00A01E9B" w:rsidRPr="00BF592B">
        <w:rPr>
          <w:rFonts w:asciiTheme="minorHAnsi" w:hAnsiTheme="minorHAnsi" w:cstheme="minorHAnsi"/>
          <w:b/>
          <w:sz w:val="24"/>
          <w:szCs w:val="24"/>
        </w:rPr>
        <w:t xml:space="preserve"> February 20</w:t>
      </w:r>
      <w:r w:rsidR="004862CF" w:rsidRPr="00BF592B">
        <w:rPr>
          <w:rFonts w:asciiTheme="minorHAnsi" w:hAnsiTheme="minorHAnsi" w:cstheme="minorHAnsi"/>
          <w:b/>
          <w:sz w:val="24"/>
          <w:szCs w:val="24"/>
        </w:rPr>
        <w:t>2</w:t>
      </w:r>
      <w:r>
        <w:rPr>
          <w:rFonts w:asciiTheme="minorHAnsi" w:hAnsiTheme="minorHAnsi" w:cstheme="minorHAnsi"/>
          <w:b/>
          <w:sz w:val="24"/>
          <w:szCs w:val="24"/>
        </w:rPr>
        <w:t>5</w:t>
      </w:r>
    </w:p>
    <w:p w14:paraId="5DE1F843" w14:textId="77777777" w:rsidR="00EA36C8" w:rsidRPr="00BF592B" w:rsidRDefault="00EA36C8" w:rsidP="00A01E9B">
      <w:pPr>
        <w:jc w:val="center"/>
        <w:rPr>
          <w:rFonts w:asciiTheme="minorHAnsi" w:hAnsiTheme="minorHAnsi" w:cstheme="minorHAnsi"/>
          <w:b/>
          <w:sz w:val="24"/>
          <w:szCs w:val="24"/>
        </w:rPr>
      </w:pPr>
    </w:p>
    <w:p w14:paraId="13BACCBD" w14:textId="77777777" w:rsidR="002A6633" w:rsidRDefault="00A01E9B" w:rsidP="002A6633">
      <w:pPr>
        <w:pStyle w:val="ListParagraph"/>
        <w:ind w:left="0"/>
        <w:jc w:val="center"/>
        <w:rPr>
          <w:rFonts w:asciiTheme="minorHAnsi" w:hAnsiTheme="minorHAnsi" w:cstheme="minorHAnsi"/>
          <w:b/>
          <w:sz w:val="24"/>
          <w:szCs w:val="24"/>
        </w:rPr>
      </w:pPr>
      <w:r w:rsidRPr="00BF592B">
        <w:rPr>
          <w:rFonts w:asciiTheme="minorHAnsi" w:hAnsiTheme="minorHAnsi" w:cstheme="minorHAnsi"/>
          <w:b/>
          <w:sz w:val="24"/>
          <w:szCs w:val="24"/>
        </w:rPr>
        <w:t>REPORT</w:t>
      </w:r>
      <w:r w:rsidRPr="002A6633">
        <w:rPr>
          <w:rFonts w:asciiTheme="minorHAnsi" w:hAnsiTheme="minorHAnsi" w:cstheme="minorHAnsi"/>
          <w:b/>
          <w:sz w:val="24"/>
          <w:szCs w:val="24"/>
        </w:rPr>
        <w:t xml:space="preserve"> </w:t>
      </w:r>
      <w:r w:rsidRPr="00BF592B">
        <w:rPr>
          <w:rFonts w:asciiTheme="minorHAnsi" w:hAnsiTheme="minorHAnsi" w:cstheme="minorHAnsi"/>
          <w:b/>
          <w:sz w:val="24"/>
          <w:szCs w:val="24"/>
        </w:rPr>
        <w:t>BY THE POLICE, FIRE AND CRIME COMMISSIONER (PFCC)</w:t>
      </w:r>
    </w:p>
    <w:p w14:paraId="534F2067" w14:textId="4CA5E7CF" w:rsidR="00A01E9B" w:rsidRDefault="00A01E9B" w:rsidP="002A6633">
      <w:pPr>
        <w:pStyle w:val="ListParagraph"/>
        <w:ind w:left="0"/>
        <w:jc w:val="center"/>
        <w:rPr>
          <w:rFonts w:asciiTheme="minorHAnsi" w:hAnsiTheme="minorHAnsi" w:cstheme="minorHAnsi"/>
          <w:b/>
          <w:sz w:val="24"/>
          <w:szCs w:val="24"/>
        </w:rPr>
      </w:pPr>
      <w:r w:rsidRPr="00BF592B">
        <w:rPr>
          <w:rFonts w:asciiTheme="minorHAnsi" w:hAnsiTheme="minorHAnsi" w:cstheme="minorHAnsi"/>
          <w:b/>
          <w:sz w:val="24"/>
          <w:szCs w:val="24"/>
        </w:rPr>
        <w:t>AND THE CHIEF FINANCE OFFICER</w:t>
      </w:r>
    </w:p>
    <w:p w14:paraId="52D5056C" w14:textId="77777777" w:rsidR="00EB2F8B" w:rsidRPr="00BF592B" w:rsidRDefault="00EB2F8B" w:rsidP="002A6633">
      <w:pPr>
        <w:pStyle w:val="ListParagraph"/>
        <w:ind w:left="0"/>
        <w:jc w:val="center"/>
        <w:rPr>
          <w:rFonts w:asciiTheme="minorHAnsi" w:hAnsiTheme="minorHAnsi" w:cstheme="minorHAnsi"/>
          <w:b/>
          <w:sz w:val="24"/>
          <w:szCs w:val="24"/>
        </w:rPr>
      </w:pPr>
    </w:p>
    <w:p w14:paraId="4354FDDF" w14:textId="7E531631" w:rsidR="006C5D8B" w:rsidRDefault="00A01E9B" w:rsidP="006C5D8B">
      <w:pPr>
        <w:jc w:val="center"/>
        <w:rPr>
          <w:rFonts w:asciiTheme="minorHAnsi" w:hAnsiTheme="minorHAnsi" w:cstheme="minorHAnsi"/>
          <w:b/>
          <w:sz w:val="24"/>
          <w:szCs w:val="24"/>
        </w:rPr>
      </w:pPr>
      <w:r w:rsidRPr="00BF592B">
        <w:rPr>
          <w:rFonts w:asciiTheme="minorHAnsi" w:hAnsiTheme="minorHAnsi" w:cstheme="minorHAnsi"/>
          <w:b/>
          <w:sz w:val="24"/>
          <w:szCs w:val="24"/>
        </w:rPr>
        <w:t xml:space="preserve">PFCC PROPOSED </w:t>
      </w:r>
      <w:r w:rsidR="00C93BF6" w:rsidRPr="00BF592B">
        <w:rPr>
          <w:rFonts w:asciiTheme="minorHAnsi" w:hAnsiTheme="minorHAnsi" w:cstheme="minorHAnsi"/>
          <w:b/>
          <w:sz w:val="24"/>
          <w:szCs w:val="24"/>
        </w:rPr>
        <w:t xml:space="preserve">FIRE </w:t>
      </w:r>
      <w:r w:rsidRPr="00BF592B">
        <w:rPr>
          <w:rFonts w:asciiTheme="minorHAnsi" w:hAnsiTheme="minorHAnsi" w:cstheme="minorHAnsi"/>
          <w:b/>
          <w:sz w:val="24"/>
          <w:szCs w:val="24"/>
        </w:rPr>
        <w:t xml:space="preserve">PRECEPT </w:t>
      </w:r>
      <w:r w:rsidR="008C38F1">
        <w:rPr>
          <w:rFonts w:asciiTheme="minorHAnsi" w:hAnsiTheme="minorHAnsi" w:cstheme="minorHAnsi"/>
          <w:b/>
          <w:sz w:val="24"/>
          <w:szCs w:val="24"/>
        </w:rPr>
        <w:t>202</w:t>
      </w:r>
      <w:r w:rsidR="00450555">
        <w:rPr>
          <w:rFonts w:asciiTheme="minorHAnsi" w:hAnsiTheme="minorHAnsi" w:cstheme="minorHAnsi"/>
          <w:b/>
          <w:sz w:val="24"/>
          <w:szCs w:val="24"/>
        </w:rPr>
        <w:t>5/26</w:t>
      </w:r>
    </w:p>
    <w:p w14:paraId="6C80AE35" w14:textId="77777777" w:rsidR="00EA36C8" w:rsidRPr="00BF592B" w:rsidRDefault="00EA36C8" w:rsidP="006C5D8B">
      <w:pPr>
        <w:jc w:val="center"/>
        <w:rPr>
          <w:rFonts w:asciiTheme="minorHAnsi" w:hAnsiTheme="minorHAnsi" w:cstheme="minorHAnsi"/>
          <w:b/>
          <w:sz w:val="24"/>
          <w:szCs w:val="24"/>
        </w:rPr>
      </w:pPr>
    </w:p>
    <w:p w14:paraId="7793B86C" w14:textId="08B06782" w:rsidR="005D2DA4" w:rsidRPr="008C38F1" w:rsidRDefault="00832816" w:rsidP="00095FC7">
      <w:pPr>
        <w:pStyle w:val="PanelHeading"/>
      </w:pPr>
      <w:r w:rsidRPr="008C38F1">
        <w:t>PURPOSE OF THE REPORT</w:t>
      </w:r>
    </w:p>
    <w:p w14:paraId="6B18F8CE" w14:textId="576D3B9D" w:rsidR="00900E93" w:rsidRPr="00095FC7" w:rsidRDefault="005D2DA4" w:rsidP="00BD46B3">
      <w:pPr>
        <w:pStyle w:val="PanelPara"/>
      </w:pPr>
      <w:r w:rsidRPr="00095FC7">
        <w:t>To pr</w:t>
      </w:r>
      <w:r w:rsidR="00085EFA" w:rsidRPr="00095FC7">
        <w:t>opose</w:t>
      </w:r>
      <w:r w:rsidRPr="00095FC7">
        <w:t xml:space="preserve"> the </w:t>
      </w:r>
      <w:r w:rsidR="008C38F1" w:rsidRPr="00095FC7">
        <w:t>202</w:t>
      </w:r>
      <w:r w:rsidR="00450555">
        <w:t>5</w:t>
      </w:r>
      <w:r w:rsidR="008C38F1" w:rsidRPr="00095FC7">
        <w:t>/2</w:t>
      </w:r>
      <w:r w:rsidR="00450555">
        <w:t>6</w:t>
      </w:r>
      <w:r w:rsidRPr="00095FC7">
        <w:t xml:space="preserve"> </w:t>
      </w:r>
      <w:r w:rsidR="006660EE" w:rsidRPr="00095FC7">
        <w:t xml:space="preserve">Council Tax Precept for </w:t>
      </w:r>
      <w:r w:rsidR="006660EE" w:rsidRPr="00EB2F8B">
        <w:rPr>
          <w:b/>
          <w:bCs/>
        </w:rPr>
        <w:t>Northamptonshire Commissioner Fire and Rescue Authority (NCFRA)</w:t>
      </w:r>
      <w:r w:rsidR="00095FC7" w:rsidRPr="00095FC7">
        <w:t>.</w:t>
      </w:r>
    </w:p>
    <w:p w14:paraId="520E47AE" w14:textId="28090606" w:rsidR="000C2930" w:rsidRPr="00E4122B" w:rsidRDefault="006660EE" w:rsidP="00BD46B3">
      <w:pPr>
        <w:pStyle w:val="PanelPara"/>
      </w:pPr>
      <w:r w:rsidRPr="00095FC7">
        <w:t xml:space="preserve">To provide information in respect of the </w:t>
      </w:r>
      <w:r w:rsidR="00900E93" w:rsidRPr="00095FC7">
        <w:t xml:space="preserve">revenue budget, </w:t>
      </w:r>
      <w:r w:rsidR="00F671CE" w:rsidRPr="00095FC7">
        <w:t>capital programme</w:t>
      </w:r>
      <w:r w:rsidR="00900E93" w:rsidRPr="00095FC7">
        <w:t xml:space="preserve">, </w:t>
      </w:r>
      <w:r w:rsidR="0081263C" w:rsidRPr="00095FC7">
        <w:t>reserve</w:t>
      </w:r>
      <w:r w:rsidR="00900E93" w:rsidRPr="00095FC7">
        <w:t xml:space="preserve">s and </w:t>
      </w:r>
      <w:r w:rsidR="007C15B8">
        <w:t>M</w:t>
      </w:r>
      <w:r w:rsidR="009331D9" w:rsidRPr="00095FC7">
        <w:t>edium-</w:t>
      </w:r>
      <w:r w:rsidR="007C15B8">
        <w:t>T</w:t>
      </w:r>
      <w:r w:rsidR="009331D9" w:rsidRPr="00095FC7">
        <w:t>erm</w:t>
      </w:r>
      <w:r w:rsidR="00900E93" w:rsidRPr="00095FC7">
        <w:t xml:space="preserve"> </w:t>
      </w:r>
      <w:r w:rsidR="007C15B8">
        <w:t>F</w:t>
      </w:r>
      <w:r w:rsidR="00F671CE" w:rsidRPr="00095FC7">
        <w:t xml:space="preserve">inancial </w:t>
      </w:r>
      <w:r w:rsidR="007C15B8">
        <w:t>P</w:t>
      </w:r>
      <w:r w:rsidR="00900E93" w:rsidRPr="00095FC7">
        <w:t xml:space="preserve">lan </w:t>
      </w:r>
      <w:r w:rsidR="00F671CE" w:rsidRPr="00095FC7">
        <w:t xml:space="preserve">(MTFP) </w:t>
      </w:r>
      <w:r w:rsidR="00900E93" w:rsidRPr="00095FC7">
        <w:t>to provide context for the precept proposal.</w:t>
      </w:r>
    </w:p>
    <w:p w14:paraId="57D8B347" w14:textId="3A7A4439" w:rsidR="00900E93" w:rsidRPr="00095FC7" w:rsidRDefault="00832816" w:rsidP="00095FC7">
      <w:pPr>
        <w:pStyle w:val="PanelHeading"/>
      </w:pPr>
      <w:r w:rsidRPr="00095FC7">
        <w:t>RECOMMENDATION</w:t>
      </w:r>
    </w:p>
    <w:p w14:paraId="55A88052" w14:textId="0282543E" w:rsidR="008C6DF5" w:rsidRPr="00FC067A" w:rsidRDefault="005D2DA4" w:rsidP="00BD46B3">
      <w:pPr>
        <w:pStyle w:val="PanelPara"/>
      </w:pPr>
      <w:r w:rsidRPr="00095FC7">
        <w:t xml:space="preserve">The </w:t>
      </w:r>
      <w:r w:rsidR="00A01E9B" w:rsidRPr="00095FC7">
        <w:t>Police, Fire and Crime Panel</w:t>
      </w:r>
      <w:r w:rsidR="00184BF7" w:rsidRPr="00095FC7">
        <w:t xml:space="preserve"> is </w:t>
      </w:r>
      <w:r w:rsidR="00184BF7" w:rsidRPr="00095FC7">
        <w:rPr>
          <w:b/>
        </w:rPr>
        <w:t>RECOMMENDED</w:t>
      </w:r>
      <w:r w:rsidR="00184BF7" w:rsidRPr="00095FC7">
        <w:t xml:space="preserve"> </w:t>
      </w:r>
      <w:r w:rsidRPr="00095FC7">
        <w:t>to</w:t>
      </w:r>
      <w:r w:rsidR="008C6DF5" w:rsidRPr="00095FC7">
        <w:t xml:space="preserve"> endorse:</w:t>
      </w:r>
    </w:p>
    <w:p w14:paraId="15035673" w14:textId="0863A0D4" w:rsidR="00900E93" w:rsidRPr="00FC067A" w:rsidRDefault="004B580C" w:rsidP="000C2930">
      <w:pPr>
        <w:spacing w:line="240" w:lineRule="auto"/>
        <w:ind w:left="567"/>
        <w:jc w:val="both"/>
        <w:rPr>
          <w:rFonts w:asciiTheme="minorHAnsi" w:hAnsiTheme="minorHAnsi" w:cstheme="minorHAnsi"/>
          <w:b/>
          <w:bCs/>
          <w:sz w:val="24"/>
          <w:szCs w:val="24"/>
        </w:rPr>
      </w:pPr>
      <w:r w:rsidRPr="00FC067A">
        <w:rPr>
          <w:rFonts w:asciiTheme="minorHAnsi" w:hAnsiTheme="minorHAnsi" w:cstheme="minorHAnsi"/>
          <w:b/>
          <w:bCs/>
          <w:sz w:val="24"/>
          <w:szCs w:val="24"/>
        </w:rPr>
        <w:t>T</w:t>
      </w:r>
      <w:r w:rsidR="00BA2259" w:rsidRPr="00FC067A">
        <w:rPr>
          <w:rFonts w:asciiTheme="minorHAnsi" w:hAnsiTheme="minorHAnsi" w:cstheme="minorHAnsi"/>
          <w:b/>
          <w:bCs/>
          <w:sz w:val="24"/>
          <w:szCs w:val="24"/>
        </w:rPr>
        <w:t xml:space="preserve">he </w:t>
      </w:r>
      <w:r w:rsidR="006C6ED6" w:rsidRPr="00FC067A">
        <w:rPr>
          <w:rFonts w:asciiTheme="minorHAnsi" w:hAnsiTheme="minorHAnsi" w:cstheme="minorHAnsi"/>
          <w:b/>
          <w:bCs/>
          <w:sz w:val="24"/>
          <w:szCs w:val="24"/>
        </w:rPr>
        <w:t xml:space="preserve">proposal to increase the </w:t>
      </w:r>
      <w:r w:rsidR="00E170A1" w:rsidRPr="00FC067A">
        <w:rPr>
          <w:rFonts w:asciiTheme="minorHAnsi" w:hAnsiTheme="minorHAnsi" w:cstheme="minorHAnsi"/>
          <w:b/>
          <w:bCs/>
          <w:sz w:val="24"/>
          <w:szCs w:val="24"/>
        </w:rPr>
        <w:t>202</w:t>
      </w:r>
      <w:r w:rsidR="00450555">
        <w:rPr>
          <w:rFonts w:asciiTheme="minorHAnsi" w:hAnsiTheme="minorHAnsi" w:cstheme="minorHAnsi"/>
          <w:b/>
          <w:bCs/>
          <w:sz w:val="24"/>
          <w:szCs w:val="24"/>
        </w:rPr>
        <w:t>5</w:t>
      </w:r>
      <w:r w:rsidR="00E170A1" w:rsidRPr="00FC067A">
        <w:rPr>
          <w:rFonts w:asciiTheme="minorHAnsi" w:hAnsiTheme="minorHAnsi" w:cstheme="minorHAnsi"/>
          <w:b/>
          <w:bCs/>
          <w:sz w:val="24"/>
          <w:szCs w:val="24"/>
        </w:rPr>
        <w:t>/2</w:t>
      </w:r>
      <w:r w:rsidR="00450555">
        <w:rPr>
          <w:rFonts w:asciiTheme="minorHAnsi" w:hAnsiTheme="minorHAnsi" w:cstheme="minorHAnsi"/>
          <w:b/>
          <w:bCs/>
          <w:sz w:val="24"/>
          <w:szCs w:val="24"/>
        </w:rPr>
        <w:t>6</w:t>
      </w:r>
      <w:r w:rsidR="00E170A1" w:rsidRPr="00FC067A">
        <w:rPr>
          <w:rFonts w:asciiTheme="minorHAnsi" w:hAnsiTheme="minorHAnsi" w:cstheme="minorHAnsi"/>
          <w:b/>
          <w:bCs/>
          <w:sz w:val="24"/>
          <w:szCs w:val="24"/>
        </w:rPr>
        <w:t xml:space="preserve"> </w:t>
      </w:r>
      <w:r w:rsidR="004862CF" w:rsidRPr="00FC067A">
        <w:rPr>
          <w:rFonts w:asciiTheme="minorHAnsi" w:hAnsiTheme="minorHAnsi" w:cstheme="minorHAnsi"/>
          <w:b/>
          <w:bCs/>
          <w:sz w:val="24"/>
          <w:szCs w:val="24"/>
        </w:rPr>
        <w:t xml:space="preserve">Fire Precept </w:t>
      </w:r>
      <w:r w:rsidR="006C6ED6" w:rsidRPr="00FC067A">
        <w:rPr>
          <w:rFonts w:asciiTheme="minorHAnsi" w:hAnsiTheme="minorHAnsi" w:cstheme="minorHAnsi"/>
          <w:b/>
          <w:bCs/>
          <w:sz w:val="24"/>
          <w:szCs w:val="24"/>
        </w:rPr>
        <w:t xml:space="preserve">by </w:t>
      </w:r>
      <w:r w:rsidR="00450555">
        <w:rPr>
          <w:rFonts w:asciiTheme="minorHAnsi" w:hAnsiTheme="minorHAnsi" w:cstheme="minorHAnsi"/>
          <w:b/>
          <w:bCs/>
          <w:sz w:val="24"/>
          <w:szCs w:val="24"/>
        </w:rPr>
        <w:t>£5</w:t>
      </w:r>
      <w:r w:rsidR="00CE1A52" w:rsidRPr="00FC067A">
        <w:rPr>
          <w:rFonts w:asciiTheme="minorHAnsi" w:hAnsiTheme="minorHAnsi" w:cstheme="minorHAnsi"/>
          <w:b/>
          <w:bCs/>
          <w:sz w:val="24"/>
          <w:szCs w:val="24"/>
        </w:rPr>
        <w:t xml:space="preserve"> </w:t>
      </w:r>
      <w:r w:rsidR="006C6ED6" w:rsidRPr="00FC067A">
        <w:rPr>
          <w:rFonts w:asciiTheme="minorHAnsi" w:hAnsiTheme="minorHAnsi" w:cstheme="minorHAnsi"/>
          <w:b/>
          <w:bCs/>
          <w:sz w:val="24"/>
          <w:szCs w:val="24"/>
        </w:rPr>
        <w:t xml:space="preserve">per annum </w:t>
      </w:r>
      <w:r w:rsidR="00BA2259" w:rsidRPr="00FC067A">
        <w:rPr>
          <w:rFonts w:asciiTheme="minorHAnsi" w:hAnsiTheme="minorHAnsi" w:cstheme="minorHAnsi"/>
          <w:b/>
          <w:bCs/>
          <w:sz w:val="24"/>
          <w:szCs w:val="24"/>
        </w:rPr>
        <w:t xml:space="preserve">to </w:t>
      </w:r>
      <w:r w:rsidR="00480243" w:rsidRPr="00FC067A">
        <w:rPr>
          <w:rFonts w:asciiTheme="minorHAnsi" w:hAnsiTheme="minorHAnsi" w:cstheme="minorHAnsi"/>
          <w:b/>
          <w:bCs/>
          <w:sz w:val="24"/>
          <w:szCs w:val="24"/>
        </w:rPr>
        <w:t>£</w:t>
      </w:r>
      <w:r w:rsidR="00450555">
        <w:rPr>
          <w:rFonts w:asciiTheme="minorHAnsi" w:hAnsiTheme="minorHAnsi" w:cstheme="minorHAnsi"/>
          <w:b/>
          <w:bCs/>
          <w:sz w:val="24"/>
          <w:szCs w:val="24"/>
        </w:rPr>
        <w:t>80</w:t>
      </w:r>
      <w:r w:rsidR="00900E93" w:rsidRPr="00FC067A">
        <w:rPr>
          <w:rFonts w:asciiTheme="minorHAnsi" w:hAnsiTheme="minorHAnsi" w:cstheme="minorHAnsi"/>
          <w:b/>
          <w:bCs/>
          <w:sz w:val="24"/>
          <w:szCs w:val="24"/>
        </w:rPr>
        <w:t>.</w:t>
      </w:r>
      <w:r w:rsidR="00D4681B" w:rsidRPr="00FC067A">
        <w:rPr>
          <w:rFonts w:asciiTheme="minorHAnsi" w:hAnsiTheme="minorHAnsi" w:cstheme="minorHAnsi"/>
          <w:b/>
          <w:bCs/>
          <w:sz w:val="24"/>
          <w:szCs w:val="24"/>
        </w:rPr>
        <w:t>39</w:t>
      </w:r>
      <w:r w:rsidR="00085EFA" w:rsidRPr="00FC067A">
        <w:rPr>
          <w:rFonts w:asciiTheme="minorHAnsi" w:hAnsiTheme="minorHAnsi" w:cstheme="minorHAnsi"/>
          <w:b/>
          <w:bCs/>
          <w:sz w:val="24"/>
          <w:szCs w:val="24"/>
        </w:rPr>
        <w:t xml:space="preserve"> </w:t>
      </w:r>
      <w:r w:rsidR="00FC067A" w:rsidRPr="00FC067A">
        <w:rPr>
          <w:rFonts w:asciiTheme="minorHAnsi" w:hAnsiTheme="minorHAnsi" w:cstheme="minorHAnsi"/>
          <w:b/>
          <w:bCs/>
          <w:sz w:val="24"/>
          <w:szCs w:val="24"/>
        </w:rPr>
        <w:t xml:space="preserve">for Band D Council Tax </w:t>
      </w:r>
      <w:r w:rsidR="00085EFA" w:rsidRPr="00FC067A">
        <w:rPr>
          <w:rFonts w:asciiTheme="minorHAnsi" w:hAnsiTheme="minorHAnsi" w:cstheme="minorHAnsi"/>
          <w:b/>
          <w:bCs/>
          <w:sz w:val="24"/>
          <w:szCs w:val="24"/>
        </w:rPr>
        <w:t>(</w:t>
      </w:r>
      <w:r w:rsidR="00F4100B" w:rsidRPr="00FC067A">
        <w:rPr>
          <w:rFonts w:asciiTheme="minorHAnsi" w:hAnsiTheme="minorHAnsi" w:cstheme="minorHAnsi"/>
          <w:b/>
          <w:bCs/>
          <w:sz w:val="24"/>
          <w:szCs w:val="24"/>
        </w:rPr>
        <w:t xml:space="preserve">from </w:t>
      </w:r>
      <w:r w:rsidR="00085EFA" w:rsidRPr="00FC067A">
        <w:rPr>
          <w:rFonts w:asciiTheme="minorHAnsi" w:hAnsiTheme="minorHAnsi" w:cstheme="minorHAnsi"/>
          <w:b/>
          <w:bCs/>
          <w:sz w:val="24"/>
          <w:szCs w:val="24"/>
        </w:rPr>
        <w:t>£</w:t>
      </w:r>
      <w:r w:rsidR="00095FC7" w:rsidRPr="00FC067A">
        <w:rPr>
          <w:rFonts w:asciiTheme="minorHAnsi" w:hAnsiTheme="minorHAnsi" w:cstheme="minorHAnsi"/>
          <w:b/>
          <w:bCs/>
          <w:sz w:val="24"/>
          <w:szCs w:val="24"/>
        </w:rPr>
        <w:t>7</w:t>
      </w:r>
      <w:r w:rsidR="00450555">
        <w:rPr>
          <w:rFonts w:asciiTheme="minorHAnsi" w:hAnsiTheme="minorHAnsi" w:cstheme="minorHAnsi"/>
          <w:b/>
          <w:bCs/>
          <w:sz w:val="24"/>
          <w:szCs w:val="24"/>
        </w:rPr>
        <w:t>5.39</w:t>
      </w:r>
      <w:r w:rsidR="00085EFA" w:rsidRPr="00FC067A">
        <w:rPr>
          <w:rFonts w:asciiTheme="minorHAnsi" w:hAnsiTheme="minorHAnsi" w:cstheme="minorHAnsi"/>
          <w:b/>
          <w:bCs/>
          <w:sz w:val="24"/>
          <w:szCs w:val="24"/>
        </w:rPr>
        <w:t xml:space="preserve"> in </w:t>
      </w:r>
      <w:r w:rsidR="008C38F1" w:rsidRPr="00FC067A">
        <w:rPr>
          <w:rFonts w:asciiTheme="minorHAnsi" w:hAnsiTheme="minorHAnsi" w:cstheme="minorHAnsi"/>
          <w:b/>
          <w:bCs/>
          <w:sz w:val="24"/>
          <w:szCs w:val="24"/>
        </w:rPr>
        <w:t>202</w:t>
      </w:r>
      <w:r w:rsidR="00450555">
        <w:rPr>
          <w:rFonts w:asciiTheme="minorHAnsi" w:hAnsiTheme="minorHAnsi" w:cstheme="minorHAnsi"/>
          <w:b/>
          <w:bCs/>
          <w:sz w:val="24"/>
          <w:szCs w:val="24"/>
        </w:rPr>
        <w:t>4</w:t>
      </w:r>
      <w:r w:rsidR="008C38F1" w:rsidRPr="00FC067A">
        <w:rPr>
          <w:rFonts w:asciiTheme="minorHAnsi" w:hAnsiTheme="minorHAnsi" w:cstheme="minorHAnsi"/>
          <w:b/>
          <w:bCs/>
          <w:sz w:val="24"/>
          <w:szCs w:val="24"/>
        </w:rPr>
        <w:t>/2</w:t>
      </w:r>
      <w:r w:rsidR="00450555">
        <w:rPr>
          <w:rFonts w:asciiTheme="minorHAnsi" w:hAnsiTheme="minorHAnsi" w:cstheme="minorHAnsi"/>
          <w:b/>
          <w:bCs/>
          <w:sz w:val="24"/>
          <w:szCs w:val="24"/>
        </w:rPr>
        <w:t>5</w:t>
      </w:r>
      <w:r w:rsidR="00085EFA" w:rsidRPr="00FC067A">
        <w:rPr>
          <w:rFonts w:asciiTheme="minorHAnsi" w:hAnsiTheme="minorHAnsi" w:cstheme="minorHAnsi"/>
          <w:b/>
          <w:bCs/>
          <w:sz w:val="24"/>
          <w:szCs w:val="24"/>
        </w:rPr>
        <w:t>)</w:t>
      </w:r>
      <w:r w:rsidR="00114269" w:rsidRPr="00FC067A">
        <w:rPr>
          <w:rFonts w:asciiTheme="minorHAnsi" w:hAnsiTheme="minorHAnsi" w:cstheme="minorHAnsi"/>
          <w:b/>
          <w:bCs/>
          <w:sz w:val="24"/>
          <w:szCs w:val="24"/>
        </w:rPr>
        <w:t xml:space="preserve">. </w:t>
      </w:r>
      <w:r w:rsidR="00095FC7" w:rsidRPr="00FC067A">
        <w:rPr>
          <w:rFonts w:asciiTheme="minorHAnsi" w:hAnsiTheme="minorHAnsi" w:cstheme="minorHAnsi"/>
          <w:b/>
          <w:bCs/>
          <w:sz w:val="24"/>
          <w:szCs w:val="24"/>
        </w:rPr>
        <w:t xml:space="preserve"> </w:t>
      </w:r>
      <w:r w:rsidR="00114269" w:rsidRPr="00FC067A">
        <w:rPr>
          <w:rFonts w:asciiTheme="minorHAnsi" w:hAnsiTheme="minorHAnsi" w:cstheme="minorHAnsi"/>
          <w:b/>
          <w:bCs/>
          <w:sz w:val="24"/>
          <w:szCs w:val="24"/>
        </w:rPr>
        <w:t xml:space="preserve">This </w:t>
      </w:r>
      <w:r w:rsidR="002A6633">
        <w:rPr>
          <w:rFonts w:asciiTheme="minorHAnsi" w:hAnsiTheme="minorHAnsi" w:cstheme="minorHAnsi"/>
          <w:b/>
          <w:bCs/>
          <w:sz w:val="24"/>
          <w:szCs w:val="24"/>
        </w:rPr>
        <w:t xml:space="preserve">is an </w:t>
      </w:r>
      <w:r w:rsidR="00FC067A" w:rsidRPr="00FC067A">
        <w:rPr>
          <w:rFonts w:asciiTheme="minorHAnsi" w:hAnsiTheme="minorHAnsi" w:cstheme="minorHAnsi"/>
          <w:b/>
          <w:bCs/>
          <w:sz w:val="24"/>
          <w:szCs w:val="24"/>
        </w:rPr>
        <w:t xml:space="preserve">increase </w:t>
      </w:r>
      <w:r w:rsidR="002A6633">
        <w:rPr>
          <w:rFonts w:asciiTheme="minorHAnsi" w:hAnsiTheme="minorHAnsi" w:cstheme="minorHAnsi"/>
          <w:b/>
          <w:bCs/>
          <w:sz w:val="24"/>
          <w:szCs w:val="24"/>
        </w:rPr>
        <w:t xml:space="preserve">of </w:t>
      </w:r>
      <w:r w:rsidR="00FC067A" w:rsidRPr="00FC067A">
        <w:rPr>
          <w:rFonts w:asciiTheme="minorHAnsi" w:hAnsiTheme="minorHAnsi" w:cstheme="minorHAnsi"/>
          <w:b/>
          <w:bCs/>
          <w:sz w:val="24"/>
          <w:szCs w:val="24"/>
        </w:rPr>
        <w:t xml:space="preserve">around </w:t>
      </w:r>
      <w:r w:rsidR="00450555">
        <w:rPr>
          <w:rFonts w:asciiTheme="minorHAnsi" w:hAnsiTheme="minorHAnsi" w:cstheme="minorHAnsi"/>
          <w:b/>
          <w:bCs/>
          <w:sz w:val="24"/>
          <w:szCs w:val="24"/>
        </w:rPr>
        <w:t>10</w:t>
      </w:r>
      <w:r w:rsidR="00F4100B" w:rsidRPr="00FC067A">
        <w:rPr>
          <w:rFonts w:asciiTheme="minorHAnsi" w:hAnsiTheme="minorHAnsi" w:cstheme="minorHAnsi"/>
          <w:b/>
          <w:bCs/>
          <w:sz w:val="24"/>
          <w:szCs w:val="24"/>
        </w:rPr>
        <w:t xml:space="preserve"> pence per week</w:t>
      </w:r>
      <w:r w:rsidR="00114269" w:rsidRPr="00FC067A">
        <w:rPr>
          <w:rFonts w:asciiTheme="minorHAnsi" w:hAnsiTheme="minorHAnsi" w:cstheme="minorHAnsi"/>
          <w:b/>
          <w:bCs/>
          <w:sz w:val="24"/>
          <w:szCs w:val="24"/>
        </w:rPr>
        <w:t>.</w:t>
      </w:r>
    </w:p>
    <w:p w14:paraId="07D4998C" w14:textId="77777777" w:rsidR="00900E93" w:rsidRPr="00FC067A" w:rsidRDefault="00900E93" w:rsidP="000C2930">
      <w:pPr>
        <w:pStyle w:val="ListParagraph"/>
        <w:spacing w:line="240" w:lineRule="auto"/>
        <w:ind w:left="567" w:hanging="567"/>
        <w:jc w:val="both"/>
        <w:rPr>
          <w:rFonts w:asciiTheme="minorHAnsi" w:hAnsiTheme="minorHAnsi" w:cstheme="minorHAnsi"/>
          <w:sz w:val="24"/>
          <w:szCs w:val="24"/>
        </w:rPr>
      </w:pPr>
    </w:p>
    <w:p w14:paraId="7232250E" w14:textId="6485A6B5" w:rsidR="00062F65" w:rsidRPr="00FC067A" w:rsidRDefault="008C6DF5" w:rsidP="00BD46B3">
      <w:pPr>
        <w:pStyle w:val="PanelPara"/>
      </w:pPr>
      <w:r w:rsidRPr="00FC067A">
        <w:t xml:space="preserve">Note </w:t>
      </w:r>
      <w:r w:rsidR="005D2DA4" w:rsidRPr="00FC067A">
        <w:t>the information presented in this report, including</w:t>
      </w:r>
      <w:r w:rsidR="00062F65" w:rsidRPr="00FC067A">
        <w:t>:</w:t>
      </w:r>
    </w:p>
    <w:p w14:paraId="7C3AE2C8" w14:textId="19A32625" w:rsidR="00FC067A" w:rsidRPr="00E4122B" w:rsidRDefault="00184BF7" w:rsidP="00BD46B3">
      <w:pPr>
        <w:pStyle w:val="PanelPara2"/>
      </w:pPr>
      <w:r w:rsidRPr="00FC067A">
        <w:t xml:space="preserve">The </w:t>
      </w:r>
      <w:r w:rsidR="00A51E08" w:rsidRPr="00FC067A">
        <w:t xml:space="preserve">statement </w:t>
      </w:r>
      <w:r w:rsidRPr="00FC067A">
        <w:t xml:space="preserve">of the </w:t>
      </w:r>
      <w:r w:rsidR="00F4100B" w:rsidRPr="00FC067A">
        <w:t xml:space="preserve">Section 151, </w:t>
      </w:r>
      <w:r w:rsidRPr="00FC067A">
        <w:t xml:space="preserve">Chief Finance Officer as required by </w:t>
      </w:r>
      <w:r w:rsidR="00F4100B" w:rsidRPr="00FC067A">
        <w:t>S</w:t>
      </w:r>
      <w:r w:rsidRPr="00FC067A">
        <w:t xml:space="preserve">ection 25 of the Local Government Act 2003 regarding the robustness of the </w:t>
      </w:r>
      <w:r w:rsidR="004F4763">
        <w:t>b</w:t>
      </w:r>
      <w:r w:rsidRPr="00FC067A">
        <w:t xml:space="preserve">udget, the </w:t>
      </w:r>
      <w:r w:rsidR="00114269" w:rsidRPr="00E4122B">
        <w:t xml:space="preserve">MTFP </w:t>
      </w:r>
      <w:r w:rsidRPr="00E4122B">
        <w:t xml:space="preserve">and the adequacy of financial </w:t>
      </w:r>
      <w:r w:rsidR="0081263C" w:rsidRPr="00E4122B">
        <w:t>reserve</w:t>
      </w:r>
      <w:r w:rsidRPr="00E4122B">
        <w:t>s</w:t>
      </w:r>
      <w:r w:rsidR="00375414" w:rsidRPr="00E4122B">
        <w:t xml:space="preserve"> (A</w:t>
      </w:r>
      <w:r w:rsidR="000F4427">
        <w:t>ppendix C</w:t>
      </w:r>
      <w:r w:rsidR="00375414" w:rsidRPr="00E4122B">
        <w:t>)</w:t>
      </w:r>
      <w:r w:rsidR="00725432" w:rsidRPr="00E4122B">
        <w:t>.</w:t>
      </w:r>
    </w:p>
    <w:p w14:paraId="6AFD7C5A" w14:textId="514E0F73" w:rsidR="00FC067A" w:rsidRPr="002A6633" w:rsidRDefault="00E844FD" w:rsidP="00BD46B3">
      <w:pPr>
        <w:pStyle w:val="PanelPara2"/>
      </w:pPr>
      <w:r w:rsidRPr="00E4122B">
        <w:t>A</w:t>
      </w:r>
      <w:r w:rsidR="00C24A75" w:rsidRPr="00E4122B">
        <w:t xml:space="preserve"> </w:t>
      </w:r>
      <w:r w:rsidR="00450555">
        <w:t>£5</w:t>
      </w:r>
      <w:r w:rsidRPr="00E4122B">
        <w:t xml:space="preserve"> </w:t>
      </w:r>
      <w:r w:rsidR="00832816">
        <w:t>Band D P</w:t>
      </w:r>
      <w:r w:rsidRPr="00E4122B">
        <w:t xml:space="preserve">recept </w:t>
      </w:r>
      <w:r w:rsidR="006660EE" w:rsidRPr="00E4122B">
        <w:t>increase</w:t>
      </w:r>
      <w:r w:rsidRPr="00E4122B">
        <w:t xml:space="preserve"> </w:t>
      </w:r>
      <w:r w:rsidR="00832816">
        <w:t>provides</w:t>
      </w:r>
      <w:r w:rsidRPr="00E4122B">
        <w:t xml:space="preserve"> a </w:t>
      </w:r>
      <w:r w:rsidR="0083163E" w:rsidRPr="00E4122B">
        <w:t xml:space="preserve">total </w:t>
      </w:r>
      <w:r w:rsidR="008C38F1" w:rsidRPr="00E4122B">
        <w:t>202</w:t>
      </w:r>
      <w:r w:rsidR="00450555">
        <w:t>5</w:t>
      </w:r>
      <w:r w:rsidR="008C38F1" w:rsidRPr="00E4122B">
        <w:t>/2</w:t>
      </w:r>
      <w:r w:rsidR="00450555">
        <w:t>6</w:t>
      </w:r>
      <w:r w:rsidR="005D2DA4" w:rsidRPr="00E4122B">
        <w:t xml:space="preserve"> </w:t>
      </w:r>
      <w:r w:rsidR="00080E5A" w:rsidRPr="00E4122B">
        <w:t xml:space="preserve">net </w:t>
      </w:r>
      <w:r w:rsidR="005D2DA4" w:rsidRPr="00E4122B">
        <w:t xml:space="preserve">budget </w:t>
      </w:r>
      <w:r w:rsidR="004F4763">
        <w:t>envelope</w:t>
      </w:r>
      <w:r w:rsidR="005D2DA4" w:rsidRPr="00E4122B">
        <w:t xml:space="preserve"> </w:t>
      </w:r>
      <w:r w:rsidR="005D2DA4" w:rsidRPr="00832816">
        <w:t xml:space="preserve">of </w:t>
      </w:r>
      <w:r w:rsidR="005D2DA4" w:rsidRPr="00832816">
        <w:rPr>
          <w:b/>
        </w:rPr>
        <w:t>£</w:t>
      </w:r>
      <w:r w:rsidR="00CF0BBA" w:rsidRPr="00832816">
        <w:rPr>
          <w:b/>
        </w:rPr>
        <w:t>3</w:t>
      </w:r>
      <w:r w:rsidR="00832816" w:rsidRPr="00832816">
        <w:rPr>
          <w:b/>
        </w:rPr>
        <w:t>3.</w:t>
      </w:r>
      <w:r w:rsidR="006A2693">
        <w:rPr>
          <w:b/>
        </w:rPr>
        <w:t>723</w:t>
      </w:r>
      <w:r w:rsidR="008A64C8" w:rsidRPr="00832816">
        <w:rPr>
          <w:b/>
        </w:rPr>
        <w:t>m</w:t>
      </w:r>
      <w:r w:rsidR="00CE1A52" w:rsidRPr="00832816">
        <w:rPr>
          <w:b/>
        </w:rPr>
        <w:t>,</w:t>
      </w:r>
      <w:r w:rsidR="00CE1A52" w:rsidRPr="00E4122B">
        <w:rPr>
          <w:b/>
        </w:rPr>
        <w:t xml:space="preserve"> </w:t>
      </w:r>
      <w:r w:rsidR="00832816">
        <w:t xml:space="preserve">of which </w:t>
      </w:r>
      <w:r w:rsidR="004F4763" w:rsidRPr="00832816">
        <w:rPr>
          <w:b/>
        </w:rPr>
        <w:t>£</w:t>
      </w:r>
      <w:r w:rsidR="00832816" w:rsidRPr="00832816">
        <w:rPr>
          <w:b/>
        </w:rPr>
        <w:t>21.202</w:t>
      </w:r>
      <w:r w:rsidR="004F4763" w:rsidRPr="00832816">
        <w:rPr>
          <w:b/>
        </w:rPr>
        <w:t>m</w:t>
      </w:r>
      <w:r w:rsidR="004F4763" w:rsidRPr="00832816">
        <w:t xml:space="preserve"> </w:t>
      </w:r>
      <w:r w:rsidR="00832816">
        <w:t>is from the precept.</w:t>
      </w:r>
    </w:p>
    <w:p w14:paraId="5ABA130A" w14:textId="77777777" w:rsidR="002A6633" w:rsidRPr="00480708" w:rsidRDefault="002A6633" w:rsidP="00BD46B3">
      <w:pPr>
        <w:pStyle w:val="PanelPara2"/>
      </w:pPr>
      <w:r w:rsidRPr="00480708">
        <w:t>The current and future risks, challenges, uncertainties and opportunities included in the precept proposal, together with the financial and operational mitigations.</w:t>
      </w:r>
    </w:p>
    <w:p w14:paraId="5212308D" w14:textId="77777777" w:rsidR="002A6633" w:rsidRDefault="002A6633" w:rsidP="00BD46B3">
      <w:pPr>
        <w:pStyle w:val="PanelPara2"/>
      </w:pPr>
      <w:r w:rsidRPr="00480708">
        <w:t xml:space="preserve">Any changes required after the precept has been set, by Government grant alterations in the final settlement or amended council tax base and surplus/deficit figures by the collecting authorities, may be balanced either through efficiency savings or through a transfer </w:t>
      </w:r>
      <w:proofErr w:type="gramStart"/>
      <w:r w:rsidRPr="00480708">
        <w:t>to/from reserves</w:t>
      </w:r>
      <w:proofErr w:type="gramEnd"/>
      <w:r w:rsidRPr="00480708">
        <w:t>.</w:t>
      </w:r>
    </w:p>
    <w:p w14:paraId="669B7ECC" w14:textId="25C6AE1C" w:rsidR="00CF0BBA" w:rsidRPr="00592064" w:rsidRDefault="00B57A23" w:rsidP="00BD46B3">
      <w:pPr>
        <w:pStyle w:val="PanelPara2"/>
      </w:pPr>
      <w:r w:rsidRPr="00592064">
        <w:lastRenderedPageBreak/>
        <w:t xml:space="preserve">That when received, any variations from business rates notified by the </w:t>
      </w:r>
      <w:r w:rsidR="00E84EA9" w:rsidRPr="00592064">
        <w:t>unitary authorities</w:t>
      </w:r>
      <w:r w:rsidRPr="00592064">
        <w:t xml:space="preserve"> will be balanced by the smoothing </w:t>
      </w:r>
      <w:r w:rsidR="0081263C" w:rsidRPr="00592064">
        <w:t>reserve</w:t>
      </w:r>
      <w:r w:rsidRPr="00592064">
        <w:t>.</w:t>
      </w:r>
    </w:p>
    <w:p w14:paraId="5A33A929" w14:textId="77777777" w:rsidR="00CF0BBA" w:rsidRPr="00592064" w:rsidRDefault="008C6DF5" w:rsidP="00BD46B3">
      <w:pPr>
        <w:pStyle w:val="PanelPara2"/>
      </w:pPr>
      <w:r w:rsidRPr="00592064">
        <w:t>T</w:t>
      </w:r>
      <w:r w:rsidR="005D2DA4" w:rsidRPr="00592064">
        <w:t xml:space="preserve">he </w:t>
      </w:r>
      <w:r w:rsidR="00080E5A" w:rsidRPr="00592064">
        <w:t>current MTF</w:t>
      </w:r>
      <w:r w:rsidR="00876802" w:rsidRPr="00592064">
        <w:t>P</w:t>
      </w:r>
      <w:r w:rsidR="00C36B7A" w:rsidRPr="00592064">
        <w:t xml:space="preserve"> and </w:t>
      </w:r>
      <w:r w:rsidR="005D2DA4" w:rsidRPr="00592064">
        <w:t>the</w:t>
      </w:r>
      <w:r w:rsidR="00F80F47" w:rsidRPr="00592064">
        <w:t xml:space="preserve"> anticipated </w:t>
      </w:r>
      <w:r w:rsidR="005D2DA4" w:rsidRPr="00592064">
        <w:t xml:space="preserve">savings </w:t>
      </w:r>
      <w:r w:rsidR="00C36B7A" w:rsidRPr="00592064">
        <w:t>required</w:t>
      </w:r>
      <w:r w:rsidR="00725432" w:rsidRPr="00592064">
        <w:t>.</w:t>
      </w:r>
    </w:p>
    <w:p w14:paraId="0F50DDEF" w14:textId="332B307D" w:rsidR="00F671CE" w:rsidRPr="00592064" w:rsidRDefault="003C582D" w:rsidP="00BD46B3">
      <w:pPr>
        <w:pStyle w:val="PanelPara2"/>
      </w:pPr>
      <w:r w:rsidRPr="00592064">
        <w:t xml:space="preserve">The </w:t>
      </w:r>
      <w:r w:rsidR="00F671CE" w:rsidRPr="00592064">
        <w:t xml:space="preserve">capital programme and </w:t>
      </w:r>
      <w:r w:rsidR="0081263C" w:rsidRPr="00592064">
        <w:t>reserve</w:t>
      </w:r>
      <w:r w:rsidR="00F671CE" w:rsidRPr="00592064">
        <w:t>s strategy.</w:t>
      </w:r>
    </w:p>
    <w:p w14:paraId="17A36382" w14:textId="77777777" w:rsidR="006A2693" w:rsidRDefault="006A2693" w:rsidP="00B8603D"/>
    <w:p w14:paraId="723BBAE1" w14:textId="3AB39D39" w:rsidR="003B2C75" w:rsidRPr="00592064" w:rsidRDefault="00832816" w:rsidP="00CF0BBA">
      <w:pPr>
        <w:pStyle w:val="PanelHeading"/>
      </w:pPr>
      <w:r w:rsidRPr="00592064">
        <w:t>EXECUTIVE SUMMARY</w:t>
      </w:r>
    </w:p>
    <w:p w14:paraId="7817A50D" w14:textId="4B9E7E72" w:rsidR="00A01E9B" w:rsidRPr="00592064" w:rsidRDefault="005011AD" w:rsidP="00BD46B3">
      <w:pPr>
        <w:pStyle w:val="PanelPara"/>
      </w:pPr>
      <w:bookmarkStart w:id="0" w:name="_Hlk186444882"/>
      <w:r w:rsidRPr="00592064">
        <w:t>This report</w:t>
      </w:r>
      <w:r w:rsidR="003B2C75" w:rsidRPr="00592064">
        <w:t xml:space="preserve"> </w:t>
      </w:r>
      <w:r w:rsidR="002336B4" w:rsidRPr="00592064">
        <w:t xml:space="preserve">details </w:t>
      </w:r>
      <w:r w:rsidR="003B2C75" w:rsidRPr="00592064">
        <w:t xml:space="preserve">the </w:t>
      </w:r>
      <w:r w:rsidR="00CF0BBA" w:rsidRPr="00592064">
        <w:t>202</w:t>
      </w:r>
      <w:r w:rsidR="00592064" w:rsidRPr="00592064">
        <w:t>5</w:t>
      </w:r>
      <w:r w:rsidR="00CF0BBA" w:rsidRPr="00592064">
        <w:t>/2</w:t>
      </w:r>
      <w:r w:rsidR="00592064" w:rsidRPr="00592064">
        <w:t>6</w:t>
      </w:r>
      <w:r w:rsidR="00A01E9B" w:rsidRPr="00592064">
        <w:t xml:space="preserve"> precept proposal for the Northamptonshire </w:t>
      </w:r>
      <w:bookmarkEnd w:id="0"/>
      <w:r w:rsidR="00A01E9B" w:rsidRPr="00592064">
        <w:t>Commissioner Fire and Rescue Authority (NCFRA) which was established on 1</w:t>
      </w:r>
      <w:r w:rsidR="00832816" w:rsidRPr="006A2693">
        <w:rPr>
          <w:vertAlign w:val="superscript"/>
        </w:rPr>
        <w:t>st</w:t>
      </w:r>
      <w:r w:rsidR="00A01E9B" w:rsidRPr="00592064">
        <w:t xml:space="preserve"> January 2019.</w:t>
      </w:r>
    </w:p>
    <w:p w14:paraId="192C9FBE" w14:textId="48441159" w:rsidR="00A04688" w:rsidRPr="00592064" w:rsidRDefault="00A01E9B" w:rsidP="00BD46B3">
      <w:pPr>
        <w:pStyle w:val="PanelPara"/>
      </w:pPr>
      <w:r w:rsidRPr="00592064">
        <w:t xml:space="preserve">The report </w:t>
      </w:r>
      <w:r w:rsidR="00CF3E62" w:rsidRPr="00592064">
        <w:t xml:space="preserve">and proposal </w:t>
      </w:r>
      <w:r w:rsidR="00CF0BBA" w:rsidRPr="00592064">
        <w:t>are</w:t>
      </w:r>
      <w:r w:rsidRPr="00592064">
        <w:t xml:space="preserve"> the </w:t>
      </w:r>
      <w:r w:rsidR="003B2C75" w:rsidRPr="00592064">
        <w:t xml:space="preserve">culmination of several months’ work </w:t>
      </w:r>
      <w:r w:rsidR="008A64C8" w:rsidRPr="00592064">
        <w:t>by</w:t>
      </w:r>
      <w:r w:rsidR="007A67E5" w:rsidRPr="00592064">
        <w:t xml:space="preserve"> the Office of the </w:t>
      </w:r>
      <w:r w:rsidRPr="00592064">
        <w:t>Police, Fire and Crime Commissioner</w:t>
      </w:r>
      <w:r w:rsidR="007A67E5" w:rsidRPr="00592064">
        <w:t xml:space="preserve"> (O</w:t>
      </w:r>
      <w:r w:rsidRPr="00592064">
        <w:t>PFCC</w:t>
      </w:r>
      <w:r w:rsidR="007A67E5" w:rsidRPr="00592064">
        <w:t>)</w:t>
      </w:r>
      <w:r w:rsidR="003B2C75" w:rsidRPr="00592064">
        <w:t xml:space="preserve">, </w:t>
      </w:r>
      <w:r w:rsidR="00707BE4" w:rsidRPr="00592064">
        <w:t xml:space="preserve">the Joint Finance Team and </w:t>
      </w:r>
      <w:r w:rsidR="007A67E5" w:rsidRPr="00592064">
        <w:t>F</w:t>
      </w:r>
      <w:r w:rsidRPr="00592064">
        <w:t>ire</w:t>
      </w:r>
      <w:r w:rsidR="003B2C75" w:rsidRPr="00592064">
        <w:t xml:space="preserve"> colleague</w:t>
      </w:r>
      <w:r w:rsidR="00D67AA7" w:rsidRPr="00592064">
        <w:t>s</w:t>
      </w:r>
      <w:r w:rsidR="00B82C60" w:rsidRPr="00592064">
        <w:t>.</w:t>
      </w:r>
      <w:r w:rsidR="00CF0BBA" w:rsidRPr="00592064">
        <w:t xml:space="preserve"> </w:t>
      </w:r>
      <w:r w:rsidR="00B82C60" w:rsidRPr="00592064">
        <w:t xml:space="preserve"> It also</w:t>
      </w:r>
      <w:r w:rsidR="00F671CE" w:rsidRPr="00592064">
        <w:t xml:space="preserve"> </w:t>
      </w:r>
      <w:r w:rsidR="009331D9" w:rsidRPr="00592064">
        <w:t>includes information</w:t>
      </w:r>
      <w:r w:rsidR="00A04688" w:rsidRPr="00592064">
        <w:t xml:space="preserve"> provided by</w:t>
      </w:r>
      <w:r w:rsidR="00B82C60" w:rsidRPr="00592064">
        <w:t xml:space="preserve"> the two</w:t>
      </w:r>
      <w:r w:rsidR="00A04688" w:rsidRPr="00592064">
        <w:t xml:space="preserve"> </w:t>
      </w:r>
      <w:r w:rsidR="00E84EA9" w:rsidRPr="00592064">
        <w:t>unitary authorities</w:t>
      </w:r>
      <w:r w:rsidR="00A04688" w:rsidRPr="00592064">
        <w:t xml:space="preserve"> </w:t>
      </w:r>
      <w:r w:rsidR="003B2C75" w:rsidRPr="00592064">
        <w:t>and tak</w:t>
      </w:r>
      <w:r w:rsidR="00F671CE" w:rsidRPr="00592064">
        <w:t>es</w:t>
      </w:r>
      <w:r w:rsidR="003B2C75" w:rsidRPr="00592064">
        <w:t xml:space="preserve"> account of </w:t>
      </w:r>
      <w:r w:rsidR="00F80F47" w:rsidRPr="00592064">
        <w:t>public and stakeholder consultation</w:t>
      </w:r>
      <w:r w:rsidR="003B2C75" w:rsidRPr="00592064">
        <w:t xml:space="preserve">. </w:t>
      </w:r>
    </w:p>
    <w:p w14:paraId="0B05BEA0" w14:textId="6E0404F7" w:rsidR="002B586C" w:rsidRPr="00592064" w:rsidRDefault="00004738" w:rsidP="00BD46B3">
      <w:pPr>
        <w:pStyle w:val="PanelPara"/>
      </w:pPr>
      <w:r w:rsidRPr="00592064">
        <w:t xml:space="preserve">NCFRA </w:t>
      </w:r>
      <w:r w:rsidR="003B2C75" w:rsidRPr="00592064">
        <w:t xml:space="preserve">has considered </w:t>
      </w:r>
      <w:r w:rsidR="00F671CE" w:rsidRPr="00592064">
        <w:t xml:space="preserve">the local government </w:t>
      </w:r>
      <w:r w:rsidR="00E84EA9" w:rsidRPr="00592064">
        <w:t>provisional settlement</w:t>
      </w:r>
      <w:r w:rsidR="00F671CE" w:rsidRPr="00592064">
        <w:t xml:space="preserve"> which set out government expectations, </w:t>
      </w:r>
      <w:r w:rsidR="003B2C75" w:rsidRPr="00592064">
        <w:t xml:space="preserve">current and future funding levels, </w:t>
      </w:r>
      <w:r w:rsidR="003A432E" w:rsidRPr="00592064">
        <w:t xml:space="preserve">the </w:t>
      </w:r>
      <w:r w:rsidR="002C0234" w:rsidRPr="00592064">
        <w:t>pre</w:t>
      </w:r>
      <w:r w:rsidR="00A04688" w:rsidRPr="00592064">
        <w:t>-</w:t>
      </w:r>
      <w:r w:rsidR="002C0234" w:rsidRPr="00592064">
        <w:t>budget engagement</w:t>
      </w:r>
      <w:r w:rsidR="00F671CE" w:rsidRPr="00592064">
        <w:t xml:space="preserve"> and the</w:t>
      </w:r>
      <w:r w:rsidR="002C0234" w:rsidRPr="00592064">
        <w:t xml:space="preserve"> </w:t>
      </w:r>
      <w:r w:rsidR="00145044" w:rsidRPr="00592064">
        <w:t xml:space="preserve">outcome of the public </w:t>
      </w:r>
      <w:r w:rsidR="00F47639" w:rsidRPr="00592064">
        <w:t>survey</w:t>
      </w:r>
      <w:r w:rsidR="00F671CE" w:rsidRPr="00592064">
        <w:t>.</w:t>
      </w:r>
    </w:p>
    <w:p w14:paraId="44A7F76D" w14:textId="77777777" w:rsidR="00832816" w:rsidRPr="004717D1" w:rsidRDefault="00832816" w:rsidP="00BD46B3">
      <w:pPr>
        <w:pStyle w:val="PanelPara"/>
      </w:pPr>
      <w:bookmarkStart w:id="1" w:name="_Hlk186445231"/>
      <w:r w:rsidRPr="004717D1">
        <w:t xml:space="preserve">The PFCC and the s151 Officer are </w:t>
      </w:r>
      <w:r>
        <w:t>grateful for</w:t>
      </w:r>
      <w:r w:rsidRPr="004717D1">
        <w:t xml:space="preserve"> the updates provided by colleagues in the unitary authorities in respect of the taxbase and council tax collection fund.</w:t>
      </w:r>
    </w:p>
    <w:p w14:paraId="7ACBF320" w14:textId="77777777" w:rsidR="00832816" w:rsidRPr="00FF6886" w:rsidRDefault="00832816" w:rsidP="00BD46B3">
      <w:pPr>
        <w:pStyle w:val="PanelPara"/>
      </w:pPr>
      <w:bookmarkStart w:id="2" w:name="_Hlk186449242"/>
      <w:bookmarkEnd w:id="1"/>
      <w:r w:rsidRPr="00FF6886">
        <w:t xml:space="preserve">The proposals are set in a context of the current economic climate. </w:t>
      </w:r>
    </w:p>
    <w:bookmarkEnd w:id="2"/>
    <w:p w14:paraId="7D3B0D5B" w14:textId="77777777" w:rsidR="00832816" w:rsidRPr="0043264C" w:rsidRDefault="00832816" w:rsidP="00BD46B3">
      <w:pPr>
        <w:pStyle w:val="PanelPara"/>
      </w:pPr>
      <w:r w:rsidRPr="00592064">
        <w:t>Despite challenges, the budget is balanced for 2025/26 with a funded capital programme and an adequate level of reserves in place.</w:t>
      </w:r>
      <w:r>
        <w:t xml:space="preserve">  However</w:t>
      </w:r>
      <w:r w:rsidRPr="0043264C">
        <w:t xml:space="preserve">, achieving this across the medium term will be more challenging.  Prudent assumptions of future income streams have been used which identify the need for future efficiencies.    </w:t>
      </w:r>
    </w:p>
    <w:p w14:paraId="5D7C4A47" w14:textId="77777777" w:rsidR="00832816" w:rsidRPr="00FF6886" w:rsidRDefault="00832816" w:rsidP="00BD46B3">
      <w:pPr>
        <w:pStyle w:val="PanelPara"/>
      </w:pPr>
      <w:bookmarkStart w:id="3" w:name="_Hlk186449510"/>
      <w:r w:rsidRPr="00FF6886">
        <w:t>The PFCC has conducted, and been informed by, a survey of Northamptonshire residents</w:t>
      </w:r>
      <w:r>
        <w:t xml:space="preserve"> to gain feedback on both the Public Safety Plan and the precept intentions</w:t>
      </w:r>
      <w:r w:rsidRPr="00FF6886">
        <w:t>.  The results of the survey are summarised in this report and will be available on the PFCC website in due course.</w:t>
      </w:r>
      <w:bookmarkEnd w:id="3"/>
    </w:p>
    <w:p w14:paraId="3275B493" w14:textId="449C6AAB" w:rsidR="00832816" w:rsidRPr="00B86341" w:rsidRDefault="00832816" w:rsidP="00BD46B3">
      <w:pPr>
        <w:pStyle w:val="PanelPara"/>
      </w:pPr>
      <w:r w:rsidRPr="00B86341">
        <w:t xml:space="preserve">In order to achieve the </w:t>
      </w:r>
      <w:proofErr w:type="gramStart"/>
      <w:r w:rsidRPr="00B86341">
        <w:t>missions</w:t>
      </w:r>
      <w:proofErr w:type="gramEnd"/>
      <w:r w:rsidRPr="00B86341">
        <w:t xml:space="preserve"> set out in the new ‘Safe and Sound’ Public Safety Plan, the PFCC is working with the </w:t>
      </w:r>
      <w:r>
        <w:t>Service</w:t>
      </w:r>
      <w:r w:rsidRPr="00B86341">
        <w:t xml:space="preserve"> to ensure the </w:t>
      </w:r>
      <w:r>
        <w:t>Fire Strategy</w:t>
      </w:r>
      <w:r w:rsidR="003F3CF0">
        <w:t xml:space="preserve">, known as the </w:t>
      </w:r>
      <w:r>
        <w:t>Community Risk Management Plan</w:t>
      </w:r>
      <w:r w:rsidR="003F3CF0">
        <w:t xml:space="preserve"> (CRMP</w:t>
      </w:r>
      <w:r>
        <w:t>)</w:t>
      </w:r>
      <w:r w:rsidR="003F3CF0">
        <w:t>,</w:t>
      </w:r>
      <w:r>
        <w:t xml:space="preserve"> is in alignment</w:t>
      </w:r>
      <w:r w:rsidRPr="00B86341">
        <w:t>.  The missions</w:t>
      </w:r>
      <w:r w:rsidR="003F3CF0">
        <w:t xml:space="preserve">, </w:t>
      </w:r>
      <w:r w:rsidRPr="00B86341">
        <w:t>expanded later in this report</w:t>
      </w:r>
      <w:r w:rsidR="003F3CF0">
        <w:t>,</w:t>
      </w:r>
      <w:r w:rsidRPr="00B86341">
        <w:t xml:space="preserve"> are:</w:t>
      </w:r>
    </w:p>
    <w:p w14:paraId="689D2997" w14:textId="77777777" w:rsidR="00832816" w:rsidRPr="00B86341" w:rsidRDefault="00832816" w:rsidP="00BD46B3">
      <w:pPr>
        <w:pStyle w:val="PanelPara2"/>
      </w:pPr>
      <w:r w:rsidRPr="00B86341">
        <w:t>Visible and Accessible Community Services</w:t>
      </w:r>
    </w:p>
    <w:p w14:paraId="70517CEA" w14:textId="77777777" w:rsidR="00832816" w:rsidRPr="00B86341" w:rsidRDefault="00832816" w:rsidP="00BD46B3">
      <w:pPr>
        <w:pStyle w:val="PanelPara2"/>
      </w:pPr>
      <w:r w:rsidRPr="00B86341">
        <w:t>Professionalism and Standards</w:t>
      </w:r>
    </w:p>
    <w:p w14:paraId="01320EE7" w14:textId="77777777" w:rsidR="00832816" w:rsidRPr="00B86341" w:rsidRDefault="00832816" w:rsidP="00BD46B3">
      <w:pPr>
        <w:pStyle w:val="PanelPara2"/>
      </w:pPr>
      <w:r w:rsidRPr="00B86341">
        <w:t>Stronger Public Safety Partnerships</w:t>
      </w:r>
    </w:p>
    <w:p w14:paraId="43680B3A" w14:textId="7315C7FB" w:rsidR="00CF0BBA" w:rsidRPr="0043264C" w:rsidRDefault="00832816" w:rsidP="00BD46B3">
      <w:pPr>
        <w:pStyle w:val="PanelPara"/>
      </w:pPr>
      <w:r>
        <w:t>The</w:t>
      </w:r>
      <w:r w:rsidR="0043264C" w:rsidRPr="0043264C">
        <w:t xml:space="preserve"> budget</w:t>
      </w:r>
      <w:r>
        <w:t xml:space="preserve"> and reserves strategy includes funds</w:t>
      </w:r>
      <w:r w:rsidR="0043264C" w:rsidRPr="0043264C">
        <w:t xml:space="preserve"> to support delivery of transformational projects such as ‘Your Future Service’ </w:t>
      </w:r>
      <w:r w:rsidR="00345BB9">
        <w:t>which will</w:t>
      </w:r>
      <w:r w:rsidR="0043264C" w:rsidRPr="0043264C">
        <w:t xml:space="preserve"> optimise productivity and efficiency and deliver the best possible service to the public.  </w:t>
      </w:r>
      <w:r w:rsidR="00345BB9">
        <w:t>In 2025/26 there is</w:t>
      </w:r>
      <w:r w:rsidR="0043264C" w:rsidRPr="0043264C">
        <w:t xml:space="preserve"> £0.25m in base budget for in-year innovation and £1m ringfenced in earmarked reserves.</w:t>
      </w:r>
    </w:p>
    <w:p w14:paraId="127249EA" w14:textId="77777777" w:rsidR="00345BB9" w:rsidRPr="00C516B1" w:rsidRDefault="00345BB9" w:rsidP="00BD46B3">
      <w:pPr>
        <w:pStyle w:val="PanelPara"/>
      </w:pPr>
      <w:r w:rsidRPr="00C516B1">
        <w:lastRenderedPageBreak/>
        <w:t>The s151 Officer has reviewed the adequacy and level of reserves to ensure that funds are still available to support investment in innovative solutions and ensure the level is adequate to meet one-off short term funding shortfalls if savings and efficiencies are not identified.</w:t>
      </w:r>
    </w:p>
    <w:p w14:paraId="6F0F77C7" w14:textId="6A9AE036" w:rsidR="00477074" w:rsidRPr="00B20620" w:rsidRDefault="005416FC" w:rsidP="00BD46B3">
      <w:pPr>
        <w:pStyle w:val="PanelPara"/>
      </w:pPr>
      <w:r w:rsidRPr="00B20620">
        <w:t xml:space="preserve">Given the legacy </w:t>
      </w:r>
      <w:r w:rsidR="00477074" w:rsidRPr="00B20620">
        <w:t>of under-investment prior to 2019</w:t>
      </w:r>
      <w:r w:rsidRPr="00B20620">
        <w:t xml:space="preserve">, the </w:t>
      </w:r>
      <w:r w:rsidR="00F671CE" w:rsidRPr="00B20620">
        <w:t>capital programme</w:t>
      </w:r>
      <w:r w:rsidRPr="00B20620">
        <w:t xml:space="preserve"> investment requirements </w:t>
      </w:r>
      <w:r w:rsidR="00345BB9">
        <w:t>continue to be</w:t>
      </w:r>
      <w:r w:rsidRPr="00B20620">
        <w:t xml:space="preserve"> significant. </w:t>
      </w:r>
      <w:r w:rsidR="00477074" w:rsidRPr="00B20620">
        <w:t xml:space="preserve"> </w:t>
      </w:r>
      <w:r w:rsidR="0043264C" w:rsidRPr="00B20620">
        <w:t xml:space="preserve">Budget of </w:t>
      </w:r>
      <w:r w:rsidRPr="00B20620">
        <w:t xml:space="preserve">£300k </w:t>
      </w:r>
      <w:r w:rsidR="00B20620" w:rsidRPr="00B20620">
        <w:t>is</w:t>
      </w:r>
      <w:r w:rsidRPr="00B20620">
        <w:t xml:space="preserve"> </w:t>
      </w:r>
      <w:r w:rsidR="008C66D2" w:rsidRPr="00B20620">
        <w:t>allocated annually to</w:t>
      </w:r>
      <w:r w:rsidRPr="00B20620">
        <w:t xml:space="preserve"> support </w:t>
      </w:r>
      <w:r w:rsidR="00B20620" w:rsidRPr="00B20620">
        <w:t>capital</w:t>
      </w:r>
      <w:r w:rsidRPr="00B20620">
        <w:t xml:space="preserve"> </w:t>
      </w:r>
      <w:r w:rsidR="00345BB9">
        <w:t>expenditure on</w:t>
      </w:r>
      <w:r w:rsidRPr="00B20620">
        <w:t xml:space="preserve"> the </w:t>
      </w:r>
      <w:r w:rsidR="00B57A23" w:rsidRPr="00B20620">
        <w:t xml:space="preserve">shorter life assets </w:t>
      </w:r>
      <w:r w:rsidR="00B20620" w:rsidRPr="00B20620">
        <w:t>to</w:t>
      </w:r>
      <w:r w:rsidRPr="00B20620">
        <w:t xml:space="preserve"> minimise </w:t>
      </w:r>
      <w:r w:rsidR="00B20620" w:rsidRPr="00B20620">
        <w:t>future borrowing costs</w:t>
      </w:r>
      <w:r w:rsidRPr="00B20620">
        <w:t xml:space="preserve">. </w:t>
      </w:r>
    </w:p>
    <w:p w14:paraId="32A0DC18" w14:textId="77777777" w:rsidR="00E37DC7" w:rsidRPr="00D010E7" w:rsidRDefault="00E37DC7" w:rsidP="00E37DC7">
      <w:pPr>
        <w:pStyle w:val="PanelPara"/>
      </w:pPr>
      <w:r w:rsidRPr="0092347F">
        <w:t>Fire governance transferred to the Northamptonshire PFCC on the 1</w:t>
      </w:r>
      <w:r w:rsidRPr="00D010E7">
        <w:rPr>
          <w:vertAlign w:val="superscript"/>
        </w:rPr>
        <w:t>st</w:t>
      </w:r>
      <w:r w:rsidRPr="0092347F">
        <w:t xml:space="preserve"> January 2019.  The PFCC is currently one of five in the country and is one of only two to transfer governance from a </w:t>
      </w:r>
      <w:r w:rsidRPr="00D010E7">
        <w:t>county council.</w:t>
      </w:r>
    </w:p>
    <w:p w14:paraId="5501EBA2" w14:textId="02552218" w:rsidR="00E37DC7" w:rsidRPr="00592064" w:rsidRDefault="00E37DC7" w:rsidP="00E37DC7">
      <w:pPr>
        <w:pStyle w:val="PanelPara"/>
      </w:pPr>
      <w:r>
        <w:t>As outlined later in this report, Northamptonshire is still one of the lowest funded Fire and Rescue Authorities (FRAs) in the country.  P</w:t>
      </w:r>
      <w:r w:rsidRPr="00BD46B3">
        <w:t>recept</w:t>
      </w:r>
      <w:r w:rsidRPr="00D010E7">
        <w:t xml:space="preserve"> flexibility is gratefully received but is afforded to all authorities so does not address the disparity between Northamptonshire and other </w:t>
      </w:r>
      <w:r>
        <w:t>FRAs</w:t>
      </w:r>
      <w:r w:rsidRPr="00D010E7">
        <w:t>.</w:t>
      </w:r>
      <w:r w:rsidRPr="00E37DC7">
        <w:t xml:space="preserve"> </w:t>
      </w:r>
      <w:r>
        <w:t xml:space="preserve"> </w:t>
      </w:r>
      <w:r w:rsidRPr="00592064">
        <w:t>In considering the Fire budget and proposed precept for 2025/26, the PFCC considered th</w:t>
      </w:r>
      <w:r>
        <w:t>is</w:t>
      </w:r>
      <w:r w:rsidRPr="00592064">
        <w:t xml:space="preserve"> national context and NCFRA’s lower precept, core spending power and reserves position relative to other</w:t>
      </w:r>
      <w:r>
        <w:t>s</w:t>
      </w:r>
      <w:r w:rsidRPr="00592064">
        <w:t>.</w:t>
      </w:r>
    </w:p>
    <w:p w14:paraId="4278F3F8" w14:textId="6AFC7774" w:rsidR="005416FC" w:rsidRPr="00592064" w:rsidRDefault="00477074" w:rsidP="00BD46B3">
      <w:pPr>
        <w:pStyle w:val="PanelPara"/>
      </w:pPr>
      <w:bookmarkStart w:id="4" w:name="_Hlk156379175"/>
      <w:r w:rsidRPr="00592064">
        <w:t>T</w:t>
      </w:r>
      <w:r w:rsidR="002336B4" w:rsidRPr="00592064">
        <w:t xml:space="preserve">he budget and precept </w:t>
      </w:r>
      <w:r w:rsidR="001171A6" w:rsidRPr="00592064">
        <w:t>recognise</w:t>
      </w:r>
      <w:r w:rsidR="00034EB5" w:rsidRPr="00592064">
        <w:t xml:space="preserve"> the importance of collaborative working with Police</w:t>
      </w:r>
      <w:r w:rsidR="00176903" w:rsidRPr="00592064">
        <w:t xml:space="preserve"> and the OPFCC</w:t>
      </w:r>
      <w:r w:rsidR="00B82C60" w:rsidRPr="00592064">
        <w:t xml:space="preserve">, </w:t>
      </w:r>
      <w:r w:rsidRPr="00592064">
        <w:t>with</w:t>
      </w:r>
      <w:r w:rsidR="005416FC" w:rsidRPr="00592064">
        <w:t xml:space="preserve"> enabling services support areas </w:t>
      </w:r>
      <w:r w:rsidR="00176903" w:rsidRPr="00592064">
        <w:t>embedded</w:t>
      </w:r>
      <w:r w:rsidR="0030759E" w:rsidRPr="00592064">
        <w:t xml:space="preserve"> across Fire and Policing</w:t>
      </w:r>
      <w:r w:rsidR="005416FC" w:rsidRPr="00592064">
        <w:t xml:space="preserve"> under the leadership and direction of the Joint Assistant Chief Officer.</w:t>
      </w:r>
    </w:p>
    <w:p w14:paraId="39B5F8F3" w14:textId="585BD001" w:rsidR="00345BB9" w:rsidRPr="00C516B1" w:rsidRDefault="00345BB9" w:rsidP="00BD46B3">
      <w:pPr>
        <w:pStyle w:val="PanelPara"/>
      </w:pPr>
      <w:bookmarkStart w:id="5" w:name="_Hlk156379198"/>
      <w:bookmarkEnd w:id="4"/>
      <w:r w:rsidRPr="00C516B1">
        <w:t xml:space="preserve">The PFCC requires both </w:t>
      </w:r>
      <w:r>
        <w:t xml:space="preserve">police and fire </w:t>
      </w:r>
      <w:r w:rsidRPr="00C516B1">
        <w:t xml:space="preserve">services to actively seek opportunities to work together to deliver more efficient and effective public services and in 2025/26 it is intended that opportunities bring together further functions will continue to be explored, and that existing shared arrangements are regularly reviewed and optimised. </w:t>
      </w:r>
      <w:r>
        <w:t xml:space="preserve"> An Enabling Services Board, attended by both Chiefs is in place to monitor joint arrangements and to identify further opportunities for collaboration.</w:t>
      </w:r>
    </w:p>
    <w:bookmarkEnd w:id="5"/>
    <w:p w14:paraId="48E3C3DB" w14:textId="77777777" w:rsidR="00CE5457" w:rsidRDefault="00EC6FB2" w:rsidP="00BD46B3">
      <w:pPr>
        <w:pStyle w:val="PanelPara"/>
      </w:pPr>
      <w:r w:rsidRPr="00592064">
        <w:t>As there is</w:t>
      </w:r>
      <w:r w:rsidR="00480243" w:rsidRPr="00592064">
        <w:t xml:space="preserve"> only a one year settlement and </w:t>
      </w:r>
      <w:r w:rsidR="005416FC" w:rsidRPr="00592064">
        <w:t>minimal</w:t>
      </w:r>
      <w:r w:rsidR="00480243" w:rsidRPr="00592064">
        <w:t xml:space="preserve"> indication of future funding for F</w:t>
      </w:r>
      <w:r w:rsidR="00203AAF" w:rsidRPr="00592064">
        <w:t>ire and Rescue Authorities</w:t>
      </w:r>
      <w:r w:rsidR="00480243" w:rsidRPr="00592064">
        <w:t>, t</w:t>
      </w:r>
      <w:r w:rsidR="00C270EC" w:rsidRPr="00592064">
        <w:t xml:space="preserve">he </w:t>
      </w:r>
      <w:r w:rsidR="008844B8" w:rsidRPr="00592064">
        <w:t xml:space="preserve">MTFP </w:t>
      </w:r>
      <w:r w:rsidR="00A14F12" w:rsidRPr="00592064">
        <w:t xml:space="preserve">has been prepared on prudent funding assumptions and </w:t>
      </w:r>
      <w:r w:rsidR="002336B4" w:rsidRPr="00592064">
        <w:t>shows that</w:t>
      </w:r>
      <w:r w:rsidR="00847633" w:rsidRPr="00592064">
        <w:t xml:space="preserve"> even with a </w:t>
      </w:r>
      <w:r w:rsidR="00592064" w:rsidRPr="00592064">
        <w:t>£5</w:t>
      </w:r>
      <w:r w:rsidR="00847633" w:rsidRPr="00592064">
        <w:t xml:space="preserve"> precept increase</w:t>
      </w:r>
      <w:r w:rsidR="002336B4" w:rsidRPr="00592064">
        <w:t xml:space="preserve"> there are</w:t>
      </w:r>
      <w:r w:rsidR="00BA2259" w:rsidRPr="00592064">
        <w:t xml:space="preserve"> </w:t>
      </w:r>
      <w:r w:rsidR="002336B4" w:rsidRPr="00592064">
        <w:t>financial challenges</w:t>
      </w:r>
      <w:r w:rsidR="00480243" w:rsidRPr="00592064">
        <w:t xml:space="preserve"> ahead</w:t>
      </w:r>
      <w:r w:rsidR="00F4100B" w:rsidRPr="00592064">
        <w:t xml:space="preserve"> in future years.</w:t>
      </w:r>
      <w:r w:rsidRPr="00592064">
        <w:t xml:space="preserve">  </w:t>
      </w:r>
      <w:r w:rsidR="004B580C" w:rsidRPr="00592064">
        <w:t xml:space="preserve">The Chief Fire Officer </w:t>
      </w:r>
      <w:r w:rsidR="005416FC" w:rsidRPr="00592064">
        <w:t xml:space="preserve">will continue to work </w:t>
      </w:r>
      <w:r w:rsidR="00B57A23" w:rsidRPr="00592064">
        <w:t xml:space="preserve">with the PFCC </w:t>
      </w:r>
      <w:r w:rsidR="005416FC" w:rsidRPr="00592064">
        <w:t>on</w:t>
      </w:r>
      <w:r w:rsidR="004B580C" w:rsidRPr="00592064">
        <w:t xml:space="preserve"> plans to meet these shortfalls.</w:t>
      </w:r>
    </w:p>
    <w:p w14:paraId="693C5232" w14:textId="77777777" w:rsidR="00E37DC7" w:rsidRDefault="00E37DC7" w:rsidP="00CE5457">
      <w:pPr>
        <w:pStyle w:val="PanelHeading"/>
      </w:pPr>
    </w:p>
    <w:p w14:paraId="64294034" w14:textId="77777777" w:rsidR="00B8603D" w:rsidRDefault="00B8603D">
      <w:pPr>
        <w:spacing w:line="240" w:lineRule="auto"/>
        <w:rPr>
          <w:rFonts w:asciiTheme="minorHAnsi" w:hAnsiTheme="minorHAnsi" w:cstheme="minorHAnsi"/>
          <w:b/>
          <w:sz w:val="24"/>
          <w:szCs w:val="24"/>
        </w:rPr>
      </w:pPr>
      <w:r>
        <w:br w:type="page"/>
      </w:r>
    </w:p>
    <w:p w14:paraId="218D3FE9" w14:textId="26674E08" w:rsidR="00CE5457" w:rsidRPr="00EA1F71" w:rsidRDefault="00CE5457" w:rsidP="00CE5457">
      <w:pPr>
        <w:pStyle w:val="PanelHeading"/>
      </w:pPr>
      <w:r w:rsidRPr="00EA1F71">
        <w:lastRenderedPageBreak/>
        <w:t>PRECEPT PROPOSAL</w:t>
      </w:r>
    </w:p>
    <w:p w14:paraId="42D99487" w14:textId="60F408D4" w:rsidR="00CE5457" w:rsidRPr="002C7D89" w:rsidRDefault="00CE5457" w:rsidP="00BD46B3">
      <w:pPr>
        <w:pStyle w:val="PanelPara"/>
        <w:rPr>
          <w:b/>
          <w:bCs/>
        </w:rPr>
      </w:pPr>
      <w:r w:rsidRPr="002C7D89">
        <w:rPr>
          <w:b/>
          <w:bCs/>
        </w:rPr>
        <w:t>After careful consideration of the factors outlined in this report, the PFCC proposes a precept increase of £5 a year (</w:t>
      </w:r>
      <w:r w:rsidR="0061459D">
        <w:rPr>
          <w:b/>
          <w:bCs/>
        </w:rPr>
        <w:t>10</w:t>
      </w:r>
      <w:r w:rsidRPr="002C7D89">
        <w:rPr>
          <w:b/>
          <w:bCs/>
        </w:rPr>
        <w:t xml:space="preserve"> pence per week) to £80.39 for a Band D property.  This will enable Fire to maintain the investment in firefighters, push forward structural improvements, maintain an adequate level of reserves and deliver against the new Public Safety Plan. </w:t>
      </w:r>
    </w:p>
    <w:p w14:paraId="3023D270" w14:textId="4694F7F3" w:rsidR="00CE5457" w:rsidRPr="00EA1F71" w:rsidRDefault="00CE5457" w:rsidP="00BD46B3">
      <w:pPr>
        <w:pStyle w:val="PanelPara"/>
      </w:pPr>
      <w:r w:rsidRPr="00EA1F71">
        <w:t xml:space="preserve">The PFCC appreciates the impact on the taxpayer. </w:t>
      </w:r>
      <w:r>
        <w:t xml:space="preserve"> </w:t>
      </w:r>
      <w:r w:rsidRPr="00EA1F71">
        <w:t xml:space="preserve">Whilst this is a pressure on households, the PFCC needs to ensure that </w:t>
      </w:r>
      <w:r w:rsidR="00D010E7">
        <w:t>fire</w:t>
      </w:r>
      <w:r w:rsidRPr="00EA1F71">
        <w:t xml:space="preserve"> has the resources it needs to meet the current and future spending challenges, but also reflects the current financial climate and the views of those who took part in the precept survey. </w:t>
      </w:r>
    </w:p>
    <w:p w14:paraId="53DAF88B" w14:textId="33E30579" w:rsidR="00BB04C7" w:rsidRPr="00D010E7" w:rsidRDefault="00CE5457" w:rsidP="00BD46B3">
      <w:pPr>
        <w:pStyle w:val="PanelPara"/>
      </w:pPr>
      <w:r w:rsidRPr="00EA1F71">
        <w:t>The PFCC is grateful to all those who took part in the survey and their willingness to pay more in order to safeguard and develop policing in the county.</w:t>
      </w:r>
    </w:p>
    <w:p w14:paraId="6EEF738E" w14:textId="4A2A454B" w:rsidR="008C66D2" w:rsidRPr="00B20620" w:rsidRDefault="008C66D2">
      <w:pPr>
        <w:spacing w:line="240" w:lineRule="auto"/>
        <w:rPr>
          <w:rFonts w:asciiTheme="minorHAnsi" w:hAnsiTheme="minorHAnsi" w:cstheme="minorHAnsi"/>
          <w:b/>
          <w:sz w:val="24"/>
          <w:szCs w:val="24"/>
        </w:rPr>
      </w:pPr>
    </w:p>
    <w:p w14:paraId="364B5534" w14:textId="77777777" w:rsidR="00D010E7" w:rsidRPr="00B22494" w:rsidRDefault="00D010E7" w:rsidP="00D010E7">
      <w:pPr>
        <w:pStyle w:val="PanelHeading"/>
      </w:pPr>
      <w:r w:rsidRPr="00B22494">
        <w:t>PUBLIC SAFETY PLAN – ‘SAFE AND SOUND’</w:t>
      </w:r>
    </w:p>
    <w:p w14:paraId="03108570" w14:textId="77777777" w:rsidR="00D010E7" w:rsidRDefault="00D010E7" w:rsidP="00BD46B3">
      <w:pPr>
        <w:pStyle w:val="PanelPara"/>
      </w:pPr>
      <w:r>
        <w:t>A new 5-year strategic plan has been developed by the PFCC to set out priorities for how police and fire services keep our communities safe.  This followed significant engagement across the county that the PFCC has called the ‘Big Conversation’ and sets out three missions:</w:t>
      </w:r>
    </w:p>
    <w:p w14:paraId="2BDBC021" w14:textId="77777777" w:rsidR="00D010E7" w:rsidRDefault="00D010E7" w:rsidP="00BD46B3">
      <w:pPr>
        <w:pStyle w:val="PanelPara"/>
        <w:numPr>
          <w:ilvl w:val="1"/>
          <w:numId w:val="7"/>
        </w:numPr>
      </w:pPr>
      <w:r>
        <w:t>Visible and Accessible Community Services</w:t>
      </w:r>
    </w:p>
    <w:p w14:paraId="28666C70" w14:textId="77777777" w:rsidR="00D010E7" w:rsidRDefault="00D010E7" w:rsidP="00BD46B3">
      <w:pPr>
        <w:pStyle w:val="PanelPara"/>
        <w:numPr>
          <w:ilvl w:val="1"/>
          <w:numId w:val="7"/>
        </w:numPr>
      </w:pPr>
      <w:r>
        <w:t>Professionalism and Standards</w:t>
      </w:r>
    </w:p>
    <w:p w14:paraId="7C5AC2E0" w14:textId="77777777" w:rsidR="00D010E7" w:rsidRPr="00B22494" w:rsidRDefault="00D010E7" w:rsidP="00BD46B3">
      <w:pPr>
        <w:pStyle w:val="PanelPara"/>
        <w:numPr>
          <w:ilvl w:val="1"/>
          <w:numId w:val="7"/>
        </w:numPr>
      </w:pPr>
      <w:r>
        <w:t>Stronger Public Safety Partnerships</w:t>
      </w:r>
    </w:p>
    <w:p w14:paraId="40F30270" w14:textId="77777777" w:rsidR="00D010E7" w:rsidRPr="00B22494" w:rsidRDefault="00D010E7" w:rsidP="00BD46B3">
      <w:pPr>
        <w:pStyle w:val="PanelPara"/>
      </w:pPr>
      <w:r w:rsidRPr="00B22494">
        <w:t>The PFCC said:</w:t>
      </w:r>
    </w:p>
    <w:p w14:paraId="45B14E4A" w14:textId="77777777" w:rsidR="00D010E7" w:rsidRPr="00B22494" w:rsidRDefault="00D010E7" w:rsidP="00BD46B3">
      <w:pPr>
        <w:pStyle w:val="PanelPara"/>
        <w:numPr>
          <w:ilvl w:val="0"/>
          <w:numId w:val="0"/>
        </w:numPr>
        <w:ind w:left="567"/>
        <w:rPr>
          <w:lang w:eastAsia="en-GB"/>
        </w:rPr>
      </w:pPr>
      <w:r w:rsidRPr="00B22494">
        <w:rPr>
          <w:lang w:eastAsia="en-GB"/>
        </w:rPr>
        <w:t>“The Big Conversation told me very clearly that people just want to feel safer. They want to know that police, fire, and all the public safety partners will be there when they need them.</w:t>
      </w:r>
    </w:p>
    <w:p w14:paraId="3E15514A" w14:textId="77777777" w:rsidR="00D010E7" w:rsidRPr="00B22494" w:rsidRDefault="00D010E7" w:rsidP="00BD46B3">
      <w:pPr>
        <w:pStyle w:val="PanelPara"/>
        <w:numPr>
          <w:ilvl w:val="0"/>
          <w:numId w:val="0"/>
        </w:numPr>
        <w:ind w:left="567"/>
        <w:rPr>
          <w:lang w:eastAsia="en-GB"/>
        </w:rPr>
      </w:pPr>
      <w:r w:rsidRPr="00B22494">
        <w:rPr>
          <w:lang w:eastAsia="en-GB"/>
        </w:rPr>
        <w:t xml:space="preserve">Trust and confidence </w:t>
      </w:r>
      <w:proofErr w:type="gramStart"/>
      <w:r w:rsidRPr="00B22494">
        <w:rPr>
          <w:lang w:eastAsia="en-GB"/>
        </w:rPr>
        <w:t>is</w:t>
      </w:r>
      <w:proofErr w:type="gramEnd"/>
      <w:r w:rsidRPr="00B22494">
        <w:rPr>
          <w:lang w:eastAsia="en-GB"/>
        </w:rPr>
        <w:t xml:space="preserve"> such a big issue for the emergency services, and people want to know that their local services will listen to their concerns and take them seriously, and always work to the highest standards.</w:t>
      </w:r>
    </w:p>
    <w:p w14:paraId="52DC46A5" w14:textId="77777777" w:rsidR="00D010E7" w:rsidRPr="00B22494" w:rsidRDefault="00D010E7" w:rsidP="00BD46B3">
      <w:pPr>
        <w:pStyle w:val="PanelPara"/>
        <w:numPr>
          <w:ilvl w:val="0"/>
          <w:numId w:val="0"/>
        </w:numPr>
        <w:ind w:left="567"/>
        <w:rPr>
          <w:lang w:eastAsia="en-GB"/>
        </w:rPr>
      </w:pPr>
      <w:r w:rsidRPr="00B22494">
        <w:rPr>
          <w:lang w:eastAsia="en-GB"/>
        </w:rPr>
        <w:t>That’s why this strategic plan prioritises visible and accessible local policing, fire and rescue professionals who are fully engaged in their local communities and helping people to protect themselves from risk, improved standards across the board, and partners working together with just one aim, a safe and sound Northamptonshire.”</w:t>
      </w:r>
    </w:p>
    <w:p w14:paraId="678EFBB6" w14:textId="77777777" w:rsidR="00D010E7" w:rsidRPr="00526D9C" w:rsidRDefault="00D010E7" w:rsidP="00BD46B3">
      <w:pPr>
        <w:pStyle w:val="PanelPara"/>
      </w:pPr>
      <w:r w:rsidRPr="00526D9C">
        <w:t>The 2025/26 budget has been built to support the Plan:</w:t>
      </w:r>
    </w:p>
    <w:p w14:paraId="521A89D2" w14:textId="6D0A48CB" w:rsidR="009847D6" w:rsidRPr="00CA03C5" w:rsidRDefault="00D010E7" w:rsidP="00BD46B3">
      <w:pPr>
        <w:pStyle w:val="PanelPara"/>
      </w:pPr>
      <w:r w:rsidRPr="002201AB">
        <w:rPr>
          <w:b/>
          <w:bCs/>
        </w:rPr>
        <w:t>Visible and Accessible Community Services</w:t>
      </w:r>
      <w:r w:rsidRPr="002201AB">
        <w:t xml:space="preserve"> – </w:t>
      </w:r>
      <w:r w:rsidR="00CF4EF4" w:rsidRPr="002201AB">
        <w:t>this means capitalising on the service’s unique</w:t>
      </w:r>
      <w:r w:rsidR="00CF4EF4">
        <w:t xml:space="preserve"> presence in our communities to maximise the impact of the prevention and protection activity that we know to be crucial.  Our fire and rescue service has a strong record of reducing fires and could further extend its reach into all our communities. </w:t>
      </w:r>
      <w:r w:rsidR="00CA03C5">
        <w:t xml:space="preserve"> </w:t>
      </w:r>
      <w:r w:rsidR="00CF4EF4">
        <w:t xml:space="preserve">By working with fire leaders to refresh the Community Risk Management Plan and deliver on the Your Future Service transformation programme, we will both improve response times to the highest risk incidents </w:t>
      </w:r>
      <w:r w:rsidR="00CF4EF4">
        <w:lastRenderedPageBreak/>
        <w:t>and enable the service to take its place at the heart of the community.  This will mean opening up fire stations to the public and making the best use of an extensive estate as a community asset, bringing highly skilled fire professionals out of the station and into the community wherever possible.</w:t>
      </w:r>
      <w:r w:rsidR="009847D6">
        <w:t xml:space="preserve">  </w:t>
      </w:r>
      <w:r w:rsidR="00CF4EF4">
        <w:t>There is more that they could do to protect communities and</w:t>
      </w:r>
      <w:r w:rsidR="009847D6">
        <w:t xml:space="preserve"> </w:t>
      </w:r>
      <w:r w:rsidR="00CF4EF4">
        <w:t>prevent harm, including closer work with other services.</w:t>
      </w:r>
      <w:r w:rsidR="009847D6">
        <w:t xml:space="preserve">  </w:t>
      </w:r>
      <w:r w:rsidR="00CF4EF4">
        <w:t>Inspection and national reports tell us how critical this focus on</w:t>
      </w:r>
      <w:r w:rsidR="009847D6">
        <w:t xml:space="preserve"> </w:t>
      </w:r>
      <w:r w:rsidR="00CF4EF4">
        <w:t>prevention, protection and supporting the vulnerable must be for</w:t>
      </w:r>
      <w:r w:rsidR="009847D6">
        <w:t xml:space="preserve"> </w:t>
      </w:r>
      <w:r w:rsidR="00CF4EF4">
        <w:t xml:space="preserve">a </w:t>
      </w:r>
      <w:r w:rsidR="00CF4EF4" w:rsidRPr="00CA03C5">
        <w:t>modern service.</w:t>
      </w:r>
      <w:r w:rsidR="009847D6" w:rsidRPr="00CA03C5">
        <w:t xml:space="preserve">  </w:t>
      </w:r>
    </w:p>
    <w:p w14:paraId="5FEA07A1" w14:textId="431CD01C" w:rsidR="009847D6" w:rsidRPr="002201AB" w:rsidRDefault="00D010E7" w:rsidP="00BD46B3">
      <w:pPr>
        <w:pStyle w:val="PanelPara"/>
      </w:pPr>
      <w:r w:rsidRPr="002201AB">
        <w:rPr>
          <w:b/>
          <w:bCs/>
        </w:rPr>
        <w:t>Professionalism and Standards</w:t>
      </w:r>
      <w:r w:rsidRPr="002201AB">
        <w:t xml:space="preserve"> –</w:t>
      </w:r>
      <w:r w:rsidR="009847D6" w:rsidRPr="002201AB">
        <w:t xml:space="preserve"> this means delivering on our </w:t>
      </w:r>
      <w:r w:rsidR="009847D6" w:rsidRPr="002201AB">
        <w:rPr>
          <w:i/>
          <w:iCs/>
        </w:rPr>
        <w:t>Serving with Pride</w:t>
      </w:r>
      <w:r w:rsidR="009847D6" w:rsidRPr="002201AB">
        <w:t xml:space="preserve"> strategy, which seeks to support fire professionals to create the open, inclusive workplace that we know they want to see.</w:t>
      </w:r>
      <w:r w:rsidR="002201AB" w:rsidRPr="002201AB">
        <w:t xml:space="preserve"> </w:t>
      </w:r>
      <w:r w:rsidR="009847D6" w:rsidRPr="002201AB">
        <w:t xml:space="preserve"> Independent inspection flagged concerns but said that we are on the right path to improve things. </w:t>
      </w:r>
      <w:r w:rsidR="002201AB" w:rsidRPr="002201AB">
        <w:t xml:space="preserve"> </w:t>
      </w:r>
      <w:r w:rsidR="009847D6" w:rsidRPr="002201AB">
        <w:t>There is more to do to ensure that people at all levels of our service, both frontline sta</w:t>
      </w:r>
      <w:r w:rsidR="009847D6" w:rsidRPr="002201AB">
        <w:rPr>
          <w:rFonts w:ascii="Calibri" w:hAnsi="Calibri" w:cs="Calibri"/>
        </w:rPr>
        <w:t>ff</w:t>
      </w:r>
      <w:r w:rsidR="009847D6" w:rsidRPr="002201AB">
        <w:t xml:space="preserve"> and those who support them, treat each other with respect and put the public first. </w:t>
      </w:r>
      <w:r w:rsidR="002201AB" w:rsidRPr="002201AB">
        <w:t xml:space="preserve"> </w:t>
      </w:r>
      <w:r w:rsidR="009847D6" w:rsidRPr="002201AB">
        <w:t xml:space="preserve">As with policing, there </w:t>
      </w:r>
      <w:r w:rsidR="002201AB">
        <w:t>should</w:t>
      </w:r>
      <w:r w:rsidR="009847D6" w:rsidRPr="002201AB">
        <w:t xml:space="preserve"> be a strong focus on wellbeing at work for fire and rescue – with safe working practices and support for people to develop as leaders. </w:t>
      </w:r>
    </w:p>
    <w:p w14:paraId="05EC6DFA" w14:textId="77777777" w:rsidR="00D010E7" w:rsidRPr="002201AB" w:rsidRDefault="00D010E7" w:rsidP="00BD46B3">
      <w:pPr>
        <w:pStyle w:val="PanelPara"/>
      </w:pPr>
      <w:r w:rsidRPr="002201AB">
        <w:rPr>
          <w:b/>
          <w:bCs/>
        </w:rPr>
        <w:t>Stronger Public Safety Partnerships</w:t>
      </w:r>
      <w:r w:rsidRPr="002201AB">
        <w:t xml:space="preserve"> – this means resetting the accountability relationship that service leaders have with the PFCC and to provide clearer support and challenge in driving performance improvement.  The OPFCC’s role in managing complaints and customer service will be deepened so that there can be even more learning from the community’s experience of police and fire.</w:t>
      </w:r>
    </w:p>
    <w:p w14:paraId="5A43B7E8" w14:textId="77777777" w:rsidR="00D010E7" w:rsidRPr="002201AB" w:rsidRDefault="00D010E7" w:rsidP="00BD46B3">
      <w:pPr>
        <w:pStyle w:val="PanelPara"/>
        <w:numPr>
          <w:ilvl w:val="0"/>
          <w:numId w:val="0"/>
        </w:numPr>
        <w:ind w:left="567"/>
      </w:pPr>
      <w:r w:rsidRPr="002201AB">
        <w:t xml:space="preserve">The OPFCC will also focus on diligent, financially sound management of our assets and will use transparency and audit to gain assurance that public money is spent wisely. </w:t>
      </w:r>
    </w:p>
    <w:p w14:paraId="72F31FF0" w14:textId="77777777" w:rsidR="00D010E7" w:rsidRPr="002201AB" w:rsidRDefault="00D010E7" w:rsidP="00BD46B3">
      <w:pPr>
        <w:pStyle w:val="PanelPara"/>
        <w:numPr>
          <w:ilvl w:val="0"/>
          <w:numId w:val="0"/>
        </w:numPr>
        <w:ind w:left="567"/>
      </w:pPr>
      <w:r w:rsidRPr="002201AB">
        <w:t xml:space="preserve">Whilst I am very clear that they must remain two distinct operationally independent services, I will also challenge the Chief Officers to maximise the scope for collaboration with each other and partnerships with the full range of bodies who can impact public safety. Northamptonshire has been at the leading edge of emergency service collaboration, and I want to explore how we can work even more efficiently together, as well as better serving the vulnerable in areas such a modern slavery or domestic abuse. </w:t>
      </w:r>
    </w:p>
    <w:p w14:paraId="741D2029" w14:textId="77777777" w:rsidR="00D010E7" w:rsidRPr="002201AB" w:rsidRDefault="00D010E7" w:rsidP="00BD46B3">
      <w:pPr>
        <w:pStyle w:val="PanelPara"/>
        <w:numPr>
          <w:ilvl w:val="0"/>
          <w:numId w:val="0"/>
        </w:numPr>
        <w:ind w:left="567"/>
      </w:pPr>
      <w:r w:rsidRPr="002201AB">
        <w:t>I want to see our emergency services involved in great collaborative work at the local level through parishes and local area partnerships. And when it comes to our estate, I want to see high quality, modern facilities for our staff that are accessible to the public, where possible, or which play an active role in the community.</w:t>
      </w:r>
    </w:p>
    <w:p w14:paraId="3D6D5C4E" w14:textId="77777777" w:rsidR="002201AB" w:rsidRPr="00CA03C5" w:rsidRDefault="002201AB" w:rsidP="002201AB">
      <w:pPr>
        <w:pStyle w:val="PanelPara"/>
      </w:pPr>
      <w:r w:rsidRPr="00CA03C5">
        <w:t>The precept proposal will enable:</w:t>
      </w:r>
    </w:p>
    <w:p w14:paraId="277B0397" w14:textId="2D954D99" w:rsidR="002201AB" w:rsidRPr="00CA03C5" w:rsidRDefault="002201AB" w:rsidP="007C15B8">
      <w:pPr>
        <w:pStyle w:val="PanelPara"/>
        <w:numPr>
          <w:ilvl w:val="1"/>
          <w:numId w:val="10"/>
        </w:numPr>
      </w:pPr>
      <w:r w:rsidRPr="00CA03C5">
        <w:t xml:space="preserve">Maintenance of </w:t>
      </w:r>
      <w:r w:rsidR="007C15B8">
        <w:t xml:space="preserve">sufficient </w:t>
      </w:r>
      <w:r w:rsidRPr="00CA03C5">
        <w:t>firefighter, prevention and protection staff numbers and a programme of recruitment that takes positive action to improve diversity and helps the workforce reflect the communities it serves.</w:t>
      </w:r>
    </w:p>
    <w:p w14:paraId="354576DF" w14:textId="69885C6E" w:rsidR="002201AB" w:rsidRPr="00CA03C5" w:rsidRDefault="002201AB" w:rsidP="007C15B8">
      <w:pPr>
        <w:pStyle w:val="PanelPara"/>
        <w:numPr>
          <w:ilvl w:val="1"/>
          <w:numId w:val="10"/>
        </w:numPr>
      </w:pPr>
      <w:r w:rsidRPr="00CA03C5">
        <w:t xml:space="preserve">Funding of resources to push forward the </w:t>
      </w:r>
      <w:r w:rsidRPr="00E37DC7">
        <w:rPr>
          <w:i/>
          <w:iCs/>
        </w:rPr>
        <w:t>Your Future Service</w:t>
      </w:r>
      <w:r w:rsidRPr="00CA03C5">
        <w:t xml:space="preserve"> programme</w:t>
      </w:r>
      <w:r>
        <w:t xml:space="preserve"> along with a budget for in-year investment that will give the Chief Fire Officer scope to develop innovative practice as opportunities arise during the year.</w:t>
      </w:r>
    </w:p>
    <w:p w14:paraId="44EE19A2" w14:textId="4513EF75" w:rsidR="002201AB" w:rsidRPr="002201AB" w:rsidRDefault="002201AB" w:rsidP="007C15B8">
      <w:pPr>
        <w:pStyle w:val="PanelPara"/>
        <w:numPr>
          <w:ilvl w:val="1"/>
          <w:numId w:val="10"/>
        </w:numPr>
      </w:pPr>
      <w:r w:rsidRPr="00CA03C5">
        <w:t>A capital Estates programme that provides premises that are fit for purpose</w:t>
      </w:r>
      <w:r>
        <w:t>, safe for all staff</w:t>
      </w:r>
      <w:r w:rsidRPr="00CA03C5">
        <w:t xml:space="preserve"> and </w:t>
      </w:r>
      <w:r w:rsidRPr="002201AB">
        <w:t>accessible</w:t>
      </w:r>
      <w:r>
        <w:t>, providing multi-agency and community spaces where possible.</w:t>
      </w:r>
    </w:p>
    <w:p w14:paraId="553D539A" w14:textId="23830AF5" w:rsidR="00D010E7" w:rsidRPr="002201AB" w:rsidRDefault="00D010E7" w:rsidP="007C15B8">
      <w:pPr>
        <w:pStyle w:val="PanelPara"/>
        <w:numPr>
          <w:ilvl w:val="1"/>
          <w:numId w:val="10"/>
        </w:numPr>
      </w:pPr>
      <w:r w:rsidRPr="002201AB">
        <w:lastRenderedPageBreak/>
        <w:t>Continued funding and investment in a programme of internal audit and the Joint Independent Audit Committee.</w:t>
      </w:r>
    </w:p>
    <w:p w14:paraId="033C2B07" w14:textId="7CF9CFB6" w:rsidR="00D010E7" w:rsidRPr="002201AB" w:rsidRDefault="00D010E7" w:rsidP="007C15B8">
      <w:pPr>
        <w:pStyle w:val="PanelPara"/>
        <w:numPr>
          <w:ilvl w:val="1"/>
          <w:numId w:val="10"/>
        </w:numPr>
      </w:pPr>
      <w:r w:rsidRPr="002201AB">
        <w:t>Continued investment in Enabling Services across Police and Fire.  This includes resources in the Commercial Team that focusses on more than just compliant procurement – they also deliver on sustainability, social value and value-for-money.</w:t>
      </w:r>
    </w:p>
    <w:p w14:paraId="4D26366B" w14:textId="77777777" w:rsidR="006A2693" w:rsidRDefault="006A2693" w:rsidP="00B8603D"/>
    <w:p w14:paraId="3F4FC25F" w14:textId="1A65C43E" w:rsidR="006C5D8B" w:rsidRPr="00707398" w:rsidRDefault="002201AB" w:rsidP="006F03BB">
      <w:pPr>
        <w:pStyle w:val="PanelHeading"/>
      </w:pPr>
      <w:r w:rsidRPr="00707398">
        <w:t>PROVISIONAL LOCAL GOVERNMENT FINANCE SETTLEMENT</w:t>
      </w:r>
    </w:p>
    <w:p w14:paraId="675FC9DA" w14:textId="77777777" w:rsidR="002C7D89" w:rsidRDefault="002C7D89" w:rsidP="002C7D89">
      <w:pPr>
        <w:pStyle w:val="PanelPara"/>
      </w:pPr>
      <w:r>
        <w:t>A breakdown of anticipated grant funding and proposed precept funding compared to the previous year for Northamptonshire is as follows:</w:t>
      </w:r>
    </w:p>
    <w:tbl>
      <w:tblPr>
        <w:tblW w:w="6200" w:type="dxa"/>
        <w:tblInd w:w="562" w:type="dxa"/>
        <w:tblLook w:val="04A0" w:firstRow="1" w:lastRow="0" w:firstColumn="1" w:lastColumn="0" w:noHBand="0" w:noVBand="1"/>
      </w:tblPr>
      <w:tblGrid>
        <w:gridCol w:w="1240"/>
        <w:gridCol w:w="3720"/>
        <w:gridCol w:w="1240"/>
      </w:tblGrid>
      <w:tr w:rsidR="006A2693" w:rsidRPr="006A2693" w14:paraId="085FDE69" w14:textId="77777777" w:rsidTr="006A2693">
        <w:trPr>
          <w:trHeight w:val="630"/>
        </w:trPr>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490BB3" w14:textId="77777777" w:rsidR="006A2693" w:rsidRPr="006A2693" w:rsidRDefault="006A2693" w:rsidP="006A2693">
            <w:pPr>
              <w:spacing w:line="240" w:lineRule="auto"/>
              <w:jc w:val="center"/>
              <w:rPr>
                <w:rFonts w:eastAsia="Times New Roman" w:cs="Calibri"/>
                <w:b/>
                <w:bCs/>
                <w:color w:val="000000"/>
                <w:sz w:val="24"/>
                <w:szCs w:val="24"/>
                <w:lang w:eastAsia="en-GB"/>
              </w:rPr>
            </w:pPr>
            <w:r w:rsidRPr="006A2693">
              <w:rPr>
                <w:rFonts w:eastAsia="Times New Roman" w:cs="Calibri"/>
                <w:b/>
                <w:bCs/>
                <w:color w:val="000000"/>
                <w:sz w:val="24"/>
                <w:szCs w:val="24"/>
                <w:lang w:eastAsia="en-GB"/>
              </w:rPr>
              <w:t>2024/25</w:t>
            </w:r>
            <w:r w:rsidRPr="006A2693">
              <w:rPr>
                <w:rFonts w:eastAsia="Times New Roman" w:cs="Calibri"/>
                <w:b/>
                <w:bCs/>
                <w:color w:val="000000"/>
                <w:sz w:val="24"/>
                <w:szCs w:val="24"/>
                <w:lang w:eastAsia="en-GB"/>
              </w:rPr>
              <w:br/>
              <w:t>£m</w:t>
            </w:r>
          </w:p>
        </w:tc>
        <w:tc>
          <w:tcPr>
            <w:tcW w:w="3720" w:type="dxa"/>
            <w:tcBorders>
              <w:top w:val="single" w:sz="4" w:space="0" w:color="auto"/>
              <w:left w:val="nil"/>
              <w:bottom w:val="single" w:sz="4" w:space="0" w:color="auto"/>
              <w:right w:val="single" w:sz="4" w:space="0" w:color="auto"/>
            </w:tcBorders>
            <w:shd w:val="clear" w:color="000000" w:fill="FFFFFF"/>
            <w:noWrap/>
            <w:vAlign w:val="center"/>
            <w:hideMark/>
          </w:tcPr>
          <w:p w14:paraId="41529E01" w14:textId="77777777" w:rsidR="006A2693" w:rsidRPr="006A2693" w:rsidRDefault="006A2693" w:rsidP="006A2693">
            <w:pPr>
              <w:spacing w:line="240" w:lineRule="auto"/>
              <w:rPr>
                <w:rFonts w:eastAsia="Times New Roman" w:cs="Calibri"/>
                <w:b/>
                <w:bCs/>
                <w:color w:val="000000"/>
                <w:sz w:val="24"/>
                <w:szCs w:val="24"/>
                <w:lang w:eastAsia="en-GB"/>
              </w:rPr>
            </w:pPr>
            <w:r w:rsidRPr="006A2693">
              <w:rPr>
                <w:rFonts w:eastAsia="Times New Roman" w:cs="Calibri"/>
                <w:b/>
                <w:bCs/>
                <w:color w:val="000000"/>
                <w:sz w:val="24"/>
                <w:szCs w:val="24"/>
                <w:lang w:eastAsia="en-GB"/>
              </w:rPr>
              <w:t>Funding</w:t>
            </w:r>
          </w:p>
        </w:tc>
        <w:tc>
          <w:tcPr>
            <w:tcW w:w="1240" w:type="dxa"/>
            <w:tcBorders>
              <w:top w:val="single" w:sz="4" w:space="0" w:color="auto"/>
              <w:left w:val="nil"/>
              <w:bottom w:val="single" w:sz="4" w:space="0" w:color="auto"/>
              <w:right w:val="single" w:sz="4" w:space="0" w:color="auto"/>
            </w:tcBorders>
            <w:shd w:val="clear" w:color="000000" w:fill="FFDDDD"/>
            <w:vAlign w:val="center"/>
            <w:hideMark/>
          </w:tcPr>
          <w:p w14:paraId="19846D40" w14:textId="77777777" w:rsidR="006A2693" w:rsidRPr="006A2693" w:rsidRDefault="006A2693" w:rsidP="006A2693">
            <w:pPr>
              <w:spacing w:line="240" w:lineRule="auto"/>
              <w:jc w:val="center"/>
              <w:rPr>
                <w:rFonts w:eastAsia="Times New Roman" w:cs="Calibri"/>
                <w:b/>
                <w:bCs/>
                <w:color w:val="000000"/>
                <w:sz w:val="24"/>
                <w:szCs w:val="24"/>
                <w:lang w:eastAsia="en-GB"/>
              </w:rPr>
            </w:pPr>
            <w:r w:rsidRPr="006A2693">
              <w:rPr>
                <w:rFonts w:eastAsia="Times New Roman" w:cs="Calibri"/>
                <w:b/>
                <w:bCs/>
                <w:color w:val="000000"/>
                <w:sz w:val="24"/>
                <w:szCs w:val="24"/>
                <w:lang w:eastAsia="en-GB"/>
              </w:rPr>
              <w:t>2025/26</w:t>
            </w:r>
            <w:r w:rsidRPr="006A2693">
              <w:rPr>
                <w:rFonts w:eastAsia="Times New Roman" w:cs="Calibri"/>
                <w:b/>
                <w:bCs/>
                <w:color w:val="000000"/>
                <w:sz w:val="24"/>
                <w:szCs w:val="24"/>
                <w:lang w:eastAsia="en-GB"/>
              </w:rPr>
              <w:br/>
              <w:t>£m</w:t>
            </w:r>
          </w:p>
        </w:tc>
      </w:tr>
      <w:tr w:rsidR="006A2693" w:rsidRPr="006A2693" w14:paraId="78E15459" w14:textId="77777777" w:rsidTr="006A2693">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60E4116C"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3.944</w:t>
            </w:r>
          </w:p>
        </w:tc>
        <w:tc>
          <w:tcPr>
            <w:tcW w:w="3720" w:type="dxa"/>
            <w:tcBorders>
              <w:top w:val="nil"/>
              <w:left w:val="nil"/>
              <w:bottom w:val="nil"/>
              <w:right w:val="single" w:sz="4" w:space="0" w:color="auto"/>
            </w:tcBorders>
            <w:shd w:val="clear" w:color="000000" w:fill="FFFFFF"/>
            <w:noWrap/>
            <w:vAlign w:val="bottom"/>
            <w:hideMark/>
          </w:tcPr>
          <w:p w14:paraId="287D4DAD"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Revenue Support Grant</w:t>
            </w:r>
          </w:p>
        </w:tc>
        <w:tc>
          <w:tcPr>
            <w:tcW w:w="1240" w:type="dxa"/>
            <w:tcBorders>
              <w:top w:val="nil"/>
              <w:left w:val="nil"/>
              <w:bottom w:val="nil"/>
              <w:right w:val="single" w:sz="4" w:space="0" w:color="auto"/>
            </w:tcBorders>
            <w:shd w:val="clear" w:color="000000" w:fill="FFDDDD"/>
            <w:noWrap/>
            <w:vAlign w:val="bottom"/>
            <w:hideMark/>
          </w:tcPr>
          <w:p w14:paraId="6A19BFD6"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4.013</w:t>
            </w:r>
          </w:p>
        </w:tc>
      </w:tr>
      <w:tr w:rsidR="006A2693" w:rsidRPr="006A2693" w14:paraId="78AD7A83" w14:textId="77777777" w:rsidTr="006A2693">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776DD1D7"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1.186</w:t>
            </w:r>
          </w:p>
        </w:tc>
        <w:tc>
          <w:tcPr>
            <w:tcW w:w="3720" w:type="dxa"/>
            <w:tcBorders>
              <w:top w:val="nil"/>
              <w:left w:val="nil"/>
              <w:bottom w:val="nil"/>
              <w:right w:val="single" w:sz="4" w:space="0" w:color="auto"/>
            </w:tcBorders>
            <w:shd w:val="clear" w:color="000000" w:fill="FFFFFF"/>
            <w:noWrap/>
            <w:vAlign w:val="bottom"/>
            <w:hideMark/>
          </w:tcPr>
          <w:p w14:paraId="4B181A85"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Pensions Grant</w:t>
            </w:r>
          </w:p>
        </w:tc>
        <w:tc>
          <w:tcPr>
            <w:tcW w:w="1240" w:type="dxa"/>
            <w:tcBorders>
              <w:top w:val="nil"/>
              <w:left w:val="nil"/>
              <w:bottom w:val="nil"/>
              <w:right w:val="single" w:sz="4" w:space="0" w:color="auto"/>
            </w:tcBorders>
            <w:shd w:val="clear" w:color="000000" w:fill="FFDDDD"/>
            <w:noWrap/>
            <w:vAlign w:val="bottom"/>
            <w:hideMark/>
          </w:tcPr>
          <w:p w14:paraId="76BE2C11"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1.186</w:t>
            </w:r>
          </w:p>
        </w:tc>
      </w:tr>
      <w:tr w:rsidR="006A2693" w:rsidRPr="006A2693" w14:paraId="772313EB" w14:textId="77777777" w:rsidTr="006A2693">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3241FAFD"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1.479</w:t>
            </w:r>
          </w:p>
        </w:tc>
        <w:tc>
          <w:tcPr>
            <w:tcW w:w="3720" w:type="dxa"/>
            <w:tcBorders>
              <w:top w:val="nil"/>
              <w:left w:val="nil"/>
              <w:bottom w:val="nil"/>
              <w:right w:val="single" w:sz="4" w:space="0" w:color="auto"/>
            </w:tcBorders>
            <w:shd w:val="clear" w:color="000000" w:fill="FFFFFF"/>
            <w:noWrap/>
            <w:vAlign w:val="bottom"/>
            <w:hideMark/>
          </w:tcPr>
          <w:p w14:paraId="28467814"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Top Up Grant</w:t>
            </w:r>
          </w:p>
        </w:tc>
        <w:tc>
          <w:tcPr>
            <w:tcW w:w="1240" w:type="dxa"/>
            <w:tcBorders>
              <w:top w:val="nil"/>
              <w:left w:val="nil"/>
              <w:bottom w:val="nil"/>
              <w:right w:val="single" w:sz="4" w:space="0" w:color="auto"/>
            </w:tcBorders>
            <w:shd w:val="clear" w:color="000000" w:fill="FFDDDD"/>
            <w:noWrap/>
            <w:vAlign w:val="bottom"/>
            <w:hideMark/>
          </w:tcPr>
          <w:p w14:paraId="32796BA3"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1.504</w:t>
            </w:r>
          </w:p>
        </w:tc>
      </w:tr>
      <w:tr w:rsidR="006A2693" w:rsidRPr="006A2693" w14:paraId="5D0A6AD4" w14:textId="77777777" w:rsidTr="006A2693">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17C0180F"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0.034</w:t>
            </w:r>
          </w:p>
        </w:tc>
        <w:tc>
          <w:tcPr>
            <w:tcW w:w="3720" w:type="dxa"/>
            <w:tcBorders>
              <w:top w:val="nil"/>
              <w:left w:val="nil"/>
              <w:bottom w:val="nil"/>
              <w:right w:val="single" w:sz="4" w:space="0" w:color="auto"/>
            </w:tcBorders>
            <w:shd w:val="clear" w:color="000000" w:fill="FFFFFF"/>
            <w:noWrap/>
            <w:vAlign w:val="bottom"/>
            <w:hideMark/>
          </w:tcPr>
          <w:p w14:paraId="3F67AA53"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Services Grant</w:t>
            </w:r>
          </w:p>
        </w:tc>
        <w:tc>
          <w:tcPr>
            <w:tcW w:w="1240" w:type="dxa"/>
            <w:tcBorders>
              <w:top w:val="nil"/>
              <w:left w:val="nil"/>
              <w:bottom w:val="nil"/>
              <w:right w:val="single" w:sz="4" w:space="0" w:color="auto"/>
            </w:tcBorders>
            <w:shd w:val="clear" w:color="000000" w:fill="FFDDDD"/>
            <w:noWrap/>
            <w:vAlign w:val="bottom"/>
            <w:hideMark/>
          </w:tcPr>
          <w:p w14:paraId="06FE18CF"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w:t>
            </w:r>
          </w:p>
        </w:tc>
      </w:tr>
      <w:tr w:rsidR="006A2693" w:rsidRPr="006A2693" w14:paraId="68512819" w14:textId="77777777" w:rsidTr="006A2693">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73B1389B"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0.231</w:t>
            </w:r>
          </w:p>
        </w:tc>
        <w:tc>
          <w:tcPr>
            <w:tcW w:w="3720" w:type="dxa"/>
            <w:tcBorders>
              <w:top w:val="nil"/>
              <w:left w:val="nil"/>
              <w:bottom w:val="nil"/>
              <w:right w:val="single" w:sz="4" w:space="0" w:color="auto"/>
            </w:tcBorders>
            <w:shd w:val="clear" w:color="000000" w:fill="FFFFFF"/>
            <w:noWrap/>
            <w:vAlign w:val="bottom"/>
            <w:hideMark/>
          </w:tcPr>
          <w:p w14:paraId="70D57A3B"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Funding Guarantee</w:t>
            </w:r>
          </w:p>
        </w:tc>
        <w:tc>
          <w:tcPr>
            <w:tcW w:w="1240" w:type="dxa"/>
            <w:tcBorders>
              <w:top w:val="nil"/>
              <w:left w:val="nil"/>
              <w:bottom w:val="nil"/>
              <w:right w:val="single" w:sz="4" w:space="0" w:color="auto"/>
            </w:tcBorders>
            <w:shd w:val="clear" w:color="000000" w:fill="FFDDDD"/>
            <w:noWrap/>
            <w:vAlign w:val="bottom"/>
            <w:hideMark/>
          </w:tcPr>
          <w:p w14:paraId="48BF273D"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w:t>
            </w:r>
          </w:p>
        </w:tc>
      </w:tr>
      <w:tr w:rsidR="006A2693" w:rsidRPr="006A2693" w14:paraId="428BAF45" w14:textId="77777777" w:rsidTr="006A2693">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0C7C383A"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1.089</w:t>
            </w:r>
          </w:p>
        </w:tc>
        <w:tc>
          <w:tcPr>
            <w:tcW w:w="3720" w:type="dxa"/>
            <w:tcBorders>
              <w:top w:val="nil"/>
              <w:left w:val="nil"/>
              <w:bottom w:val="nil"/>
              <w:right w:val="single" w:sz="4" w:space="0" w:color="auto"/>
            </w:tcBorders>
            <w:shd w:val="clear" w:color="000000" w:fill="FFFFFF"/>
            <w:noWrap/>
            <w:vAlign w:val="bottom"/>
            <w:hideMark/>
          </w:tcPr>
          <w:p w14:paraId="1485C730"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S31 Grant</w:t>
            </w:r>
          </w:p>
        </w:tc>
        <w:tc>
          <w:tcPr>
            <w:tcW w:w="1240" w:type="dxa"/>
            <w:tcBorders>
              <w:top w:val="nil"/>
              <w:left w:val="nil"/>
              <w:bottom w:val="nil"/>
              <w:right w:val="single" w:sz="4" w:space="0" w:color="auto"/>
            </w:tcBorders>
            <w:shd w:val="clear" w:color="000000" w:fill="FFDDDD"/>
            <w:noWrap/>
            <w:vAlign w:val="bottom"/>
            <w:hideMark/>
          </w:tcPr>
          <w:p w14:paraId="6B37462A"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1.132</w:t>
            </w:r>
          </w:p>
        </w:tc>
      </w:tr>
      <w:tr w:rsidR="006A2693" w:rsidRPr="006A2693" w14:paraId="239F180E" w14:textId="77777777" w:rsidTr="006A2693">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03CFC735"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w:t>
            </w:r>
          </w:p>
        </w:tc>
        <w:tc>
          <w:tcPr>
            <w:tcW w:w="3720" w:type="dxa"/>
            <w:tcBorders>
              <w:top w:val="nil"/>
              <w:left w:val="nil"/>
              <w:bottom w:val="nil"/>
              <w:right w:val="single" w:sz="4" w:space="0" w:color="auto"/>
            </w:tcBorders>
            <w:shd w:val="clear" w:color="000000" w:fill="FFFFFF"/>
            <w:noWrap/>
            <w:vAlign w:val="bottom"/>
            <w:hideMark/>
          </w:tcPr>
          <w:p w14:paraId="5519E743"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National Insurance Reimbursement</w:t>
            </w:r>
          </w:p>
        </w:tc>
        <w:tc>
          <w:tcPr>
            <w:tcW w:w="1240" w:type="dxa"/>
            <w:tcBorders>
              <w:top w:val="nil"/>
              <w:left w:val="nil"/>
              <w:bottom w:val="nil"/>
              <w:right w:val="single" w:sz="4" w:space="0" w:color="auto"/>
            </w:tcBorders>
            <w:shd w:val="clear" w:color="000000" w:fill="FFDDDD"/>
            <w:noWrap/>
            <w:vAlign w:val="bottom"/>
            <w:hideMark/>
          </w:tcPr>
          <w:p w14:paraId="5DC9D938"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0.181</w:t>
            </w:r>
          </w:p>
        </w:tc>
      </w:tr>
      <w:tr w:rsidR="006A2693" w:rsidRPr="006A2693" w14:paraId="4A219021" w14:textId="77777777" w:rsidTr="006A2693">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296A9B57"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3.686</w:t>
            </w:r>
          </w:p>
        </w:tc>
        <w:tc>
          <w:tcPr>
            <w:tcW w:w="3720" w:type="dxa"/>
            <w:tcBorders>
              <w:top w:val="nil"/>
              <w:left w:val="nil"/>
              <w:bottom w:val="nil"/>
              <w:right w:val="single" w:sz="4" w:space="0" w:color="auto"/>
            </w:tcBorders>
            <w:shd w:val="clear" w:color="000000" w:fill="FFFFFF"/>
            <w:noWrap/>
            <w:vAlign w:val="bottom"/>
            <w:hideMark/>
          </w:tcPr>
          <w:p w14:paraId="79D632AB"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Business Rates</w:t>
            </w:r>
          </w:p>
        </w:tc>
        <w:tc>
          <w:tcPr>
            <w:tcW w:w="1240" w:type="dxa"/>
            <w:tcBorders>
              <w:top w:val="nil"/>
              <w:left w:val="nil"/>
              <w:bottom w:val="nil"/>
              <w:right w:val="single" w:sz="4" w:space="0" w:color="auto"/>
            </w:tcBorders>
            <w:shd w:val="clear" w:color="000000" w:fill="FFDDDD"/>
            <w:noWrap/>
            <w:vAlign w:val="bottom"/>
            <w:hideMark/>
          </w:tcPr>
          <w:p w14:paraId="2962B0B3"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4.294</w:t>
            </w:r>
          </w:p>
        </w:tc>
      </w:tr>
      <w:tr w:rsidR="006A2693" w:rsidRPr="006A2693" w14:paraId="1FD3AD5D" w14:textId="77777777" w:rsidTr="006A2693">
        <w:trPr>
          <w:trHeight w:val="315"/>
        </w:trPr>
        <w:tc>
          <w:tcPr>
            <w:tcW w:w="1240" w:type="dxa"/>
            <w:tcBorders>
              <w:top w:val="single" w:sz="4" w:space="0" w:color="auto"/>
              <w:left w:val="single" w:sz="4" w:space="0" w:color="auto"/>
              <w:bottom w:val="nil"/>
              <w:right w:val="single" w:sz="4" w:space="0" w:color="auto"/>
            </w:tcBorders>
            <w:shd w:val="clear" w:color="000000" w:fill="FFFFFF"/>
            <w:noWrap/>
            <w:vAlign w:val="bottom"/>
            <w:hideMark/>
          </w:tcPr>
          <w:p w14:paraId="04A3184F" w14:textId="77777777" w:rsidR="006A2693" w:rsidRPr="006A2693" w:rsidRDefault="006A2693" w:rsidP="006A2693">
            <w:pPr>
              <w:spacing w:line="240" w:lineRule="auto"/>
              <w:jc w:val="right"/>
              <w:rPr>
                <w:rFonts w:eastAsia="Times New Roman" w:cs="Calibri"/>
                <w:b/>
                <w:bCs/>
                <w:color w:val="000000"/>
                <w:sz w:val="24"/>
                <w:szCs w:val="24"/>
                <w:lang w:eastAsia="en-GB"/>
              </w:rPr>
            </w:pPr>
            <w:r w:rsidRPr="006A2693">
              <w:rPr>
                <w:rFonts w:eastAsia="Times New Roman" w:cs="Calibri"/>
                <w:b/>
                <w:bCs/>
                <w:color w:val="000000"/>
                <w:sz w:val="24"/>
                <w:szCs w:val="24"/>
                <w:lang w:eastAsia="en-GB"/>
              </w:rPr>
              <w:t>11.650</w:t>
            </w:r>
          </w:p>
        </w:tc>
        <w:tc>
          <w:tcPr>
            <w:tcW w:w="3720" w:type="dxa"/>
            <w:tcBorders>
              <w:top w:val="single" w:sz="4" w:space="0" w:color="auto"/>
              <w:left w:val="nil"/>
              <w:bottom w:val="nil"/>
              <w:right w:val="single" w:sz="4" w:space="0" w:color="auto"/>
            </w:tcBorders>
            <w:shd w:val="clear" w:color="000000" w:fill="FFFFFF"/>
            <w:noWrap/>
            <w:vAlign w:val="bottom"/>
            <w:hideMark/>
          </w:tcPr>
          <w:p w14:paraId="7FE84BC3" w14:textId="77777777" w:rsidR="006A2693" w:rsidRPr="006A2693" w:rsidRDefault="006A2693" w:rsidP="006A2693">
            <w:pPr>
              <w:spacing w:line="240" w:lineRule="auto"/>
              <w:rPr>
                <w:rFonts w:eastAsia="Times New Roman" w:cs="Calibri"/>
                <w:b/>
                <w:bCs/>
                <w:color w:val="000000"/>
                <w:sz w:val="24"/>
                <w:szCs w:val="24"/>
                <w:lang w:eastAsia="en-GB"/>
              </w:rPr>
            </w:pPr>
            <w:r w:rsidRPr="006A2693">
              <w:rPr>
                <w:rFonts w:eastAsia="Times New Roman" w:cs="Calibri"/>
                <w:b/>
                <w:bCs/>
                <w:color w:val="000000"/>
                <w:sz w:val="24"/>
                <w:szCs w:val="24"/>
                <w:lang w:eastAsia="en-GB"/>
              </w:rPr>
              <w:t>Total Grant Funding</w:t>
            </w:r>
          </w:p>
        </w:tc>
        <w:tc>
          <w:tcPr>
            <w:tcW w:w="1240" w:type="dxa"/>
            <w:tcBorders>
              <w:top w:val="single" w:sz="4" w:space="0" w:color="auto"/>
              <w:left w:val="nil"/>
              <w:bottom w:val="nil"/>
              <w:right w:val="single" w:sz="4" w:space="0" w:color="auto"/>
            </w:tcBorders>
            <w:shd w:val="clear" w:color="000000" w:fill="FFDDDD"/>
            <w:noWrap/>
            <w:vAlign w:val="bottom"/>
            <w:hideMark/>
          </w:tcPr>
          <w:p w14:paraId="0DAF7978" w14:textId="77777777" w:rsidR="006A2693" w:rsidRPr="006A2693" w:rsidRDefault="006A2693" w:rsidP="006A2693">
            <w:pPr>
              <w:spacing w:line="240" w:lineRule="auto"/>
              <w:jc w:val="right"/>
              <w:rPr>
                <w:rFonts w:eastAsia="Times New Roman" w:cs="Calibri"/>
                <w:b/>
                <w:bCs/>
                <w:color w:val="000000"/>
                <w:sz w:val="24"/>
                <w:szCs w:val="24"/>
                <w:lang w:eastAsia="en-GB"/>
              </w:rPr>
            </w:pPr>
            <w:r w:rsidRPr="006A2693">
              <w:rPr>
                <w:rFonts w:eastAsia="Times New Roman" w:cs="Calibri"/>
                <w:b/>
                <w:bCs/>
                <w:color w:val="000000"/>
                <w:sz w:val="24"/>
                <w:szCs w:val="24"/>
                <w:lang w:eastAsia="en-GB"/>
              </w:rPr>
              <w:t>12.310</w:t>
            </w:r>
          </w:p>
        </w:tc>
      </w:tr>
      <w:tr w:rsidR="006A2693" w:rsidRPr="006A2693" w14:paraId="3448D126" w14:textId="77777777" w:rsidTr="006A2693">
        <w:trPr>
          <w:trHeight w:val="315"/>
        </w:trPr>
        <w:tc>
          <w:tcPr>
            <w:tcW w:w="1240" w:type="dxa"/>
            <w:tcBorders>
              <w:top w:val="nil"/>
              <w:left w:val="single" w:sz="4" w:space="0" w:color="auto"/>
              <w:bottom w:val="nil"/>
              <w:right w:val="single" w:sz="4" w:space="0" w:color="auto"/>
            </w:tcBorders>
            <w:shd w:val="clear" w:color="auto" w:fill="auto"/>
            <w:noWrap/>
            <w:vAlign w:val="bottom"/>
            <w:hideMark/>
          </w:tcPr>
          <w:p w14:paraId="16AE882D"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 </w:t>
            </w:r>
          </w:p>
        </w:tc>
        <w:tc>
          <w:tcPr>
            <w:tcW w:w="3720" w:type="dxa"/>
            <w:tcBorders>
              <w:top w:val="nil"/>
              <w:left w:val="nil"/>
              <w:bottom w:val="nil"/>
              <w:right w:val="single" w:sz="4" w:space="0" w:color="auto"/>
            </w:tcBorders>
            <w:shd w:val="clear" w:color="auto" w:fill="auto"/>
            <w:noWrap/>
            <w:vAlign w:val="bottom"/>
            <w:hideMark/>
          </w:tcPr>
          <w:p w14:paraId="40AAF373"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 </w:t>
            </w:r>
          </w:p>
        </w:tc>
        <w:tc>
          <w:tcPr>
            <w:tcW w:w="1240" w:type="dxa"/>
            <w:tcBorders>
              <w:top w:val="nil"/>
              <w:left w:val="nil"/>
              <w:bottom w:val="nil"/>
              <w:right w:val="single" w:sz="4" w:space="0" w:color="auto"/>
            </w:tcBorders>
            <w:shd w:val="clear" w:color="000000" w:fill="FFDDDD"/>
            <w:noWrap/>
            <w:vAlign w:val="bottom"/>
            <w:hideMark/>
          </w:tcPr>
          <w:p w14:paraId="794A5917"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 </w:t>
            </w:r>
          </w:p>
        </w:tc>
      </w:tr>
      <w:tr w:rsidR="006A2693" w:rsidRPr="006A2693" w14:paraId="0D21C2F5" w14:textId="77777777" w:rsidTr="006A2693">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688C7A24"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19.489</w:t>
            </w:r>
          </w:p>
        </w:tc>
        <w:tc>
          <w:tcPr>
            <w:tcW w:w="3720" w:type="dxa"/>
            <w:tcBorders>
              <w:top w:val="nil"/>
              <w:left w:val="nil"/>
              <w:bottom w:val="nil"/>
              <w:right w:val="single" w:sz="4" w:space="0" w:color="auto"/>
            </w:tcBorders>
            <w:shd w:val="clear" w:color="000000" w:fill="FFFFFF"/>
            <w:noWrap/>
            <w:vAlign w:val="bottom"/>
            <w:hideMark/>
          </w:tcPr>
          <w:p w14:paraId="7036A106"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Precept</w:t>
            </w:r>
          </w:p>
        </w:tc>
        <w:tc>
          <w:tcPr>
            <w:tcW w:w="1240" w:type="dxa"/>
            <w:tcBorders>
              <w:top w:val="nil"/>
              <w:left w:val="nil"/>
              <w:bottom w:val="nil"/>
              <w:right w:val="single" w:sz="4" w:space="0" w:color="auto"/>
            </w:tcBorders>
            <w:shd w:val="clear" w:color="000000" w:fill="FFDDDD"/>
            <w:noWrap/>
            <w:vAlign w:val="bottom"/>
            <w:hideMark/>
          </w:tcPr>
          <w:p w14:paraId="7ACC5D3C"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21.202</w:t>
            </w:r>
          </w:p>
        </w:tc>
      </w:tr>
      <w:tr w:rsidR="006A2693" w:rsidRPr="006A2693" w14:paraId="6D57A7F9" w14:textId="77777777" w:rsidTr="006A2693">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6340E3BB"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0.315</w:t>
            </w:r>
          </w:p>
        </w:tc>
        <w:tc>
          <w:tcPr>
            <w:tcW w:w="3720" w:type="dxa"/>
            <w:tcBorders>
              <w:top w:val="nil"/>
              <w:left w:val="nil"/>
              <w:bottom w:val="nil"/>
              <w:right w:val="single" w:sz="4" w:space="0" w:color="auto"/>
            </w:tcBorders>
            <w:shd w:val="clear" w:color="000000" w:fill="FFFFFF"/>
            <w:noWrap/>
            <w:vAlign w:val="bottom"/>
            <w:hideMark/>
          </w:tcPr>
          <w:p w14:paraId="4B6D55A6"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Collection Fund Surplus</w:t>
            </w:r>
          </w:p>
        </w:tc>
        <w:tc>
          <w:tcPr>
            <w:tcW w:w="1240" w:type="dxa"/>
            <w:tcBorders>
              <w:top w:val="nil"/>
              <w:left w:val="nil"/>
              <w:bottom w:val="nil"/>
              <w:right w:val="single" w:sz="4" w:space="0" w:color="auto"/>
            </w:tcBorders>
            <w:shd w:val="clear" w:color="000000" w:fill="FFDDDD"/>
            <w:noWrap/>
            <w:vAlign w:val="bottom"/>
            <w:hideMark/>
          </w:tcPr>
          <w:p w14:paraId="3C7B9D8B"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0.211</w:t>
            </w:r>
          </w:p>
        </w:tc>
      </w:tr>
      <w:tr w:rsidR="006A2693" w:rsidRPr="006A2693" w14:paraId="74EE8927" w14:textId="77777777" w:rsidTr="006A2693">
        <w:trPr>
          <w:trHeight w:val="315"/>
        </w:trPr>
        <w:tc>
          <w:tcPr>
            <w:tcW w:w="1240" w:type="dxa"/>
            <w:tcBorders>
              <w:top w:val="single" w:sz="4" w:space="0" w:color="auto"/>
              <w:left w:val="single" w:sz="4" w:space="0" w:color="auto"/>
              <w:bottom w:val="nil"/>
              <w:right w:val="single" w:sz="4" w:space="0" w:color="auto"/>
            </w:tcBorders>
            <w:shd w:val="clear" w:color="000000" w:fill="FFFFFF"/>
            <w:noWrap/>
            <w:vAlign w:val="bottom"/>
            <w:hideMark/>
          </w:tcPr>
          <w:p w14:paraId="56D3EA6D" w14:textId="77777777" w:rsidR="006A2693" w:rsidRPr="006A2693" w:rsidRDefault="006A2693" w:rsidP="006A2693">
            <w:pPr>
              <w:spacing w:line="240" w:lineRule="auto"/>
              <w:jc w:val="right"/>
              <w:rPr>
                <w:rFonts w:eastAsia="Times New Roman" w:cs="Calibri"/>
                <w:b/>
                <w:bCs/>
                <w:color w:val="000000"/>
                <w:sz w:val="24"/>
                <w:szCs w:val="24"/>
                <w:lang w:eastAsia="en-GB"/>
              </w:rPr>
            </w:pPr>
            <w:r w:rsidRPr="006A2693">
              <w:rPr>
                <w:rFonts w:eastAsia="Times New Roman" w:cs="Calibri"/>
                <w:b/>
                <w:bCs/>
                <w:color w:val="000000"/>
                <w:sz w:val="24"/>
                <w:szCs w:val="24"/>
                <w:lang w:eastAsia="en-GB"/>
              </w:rPr>
              <w:t>19.804</w:t>
            </w:r>
          </w:p>
        </w:tc>
        <w:tc>
          <w:tcPr>
            <w:tcW w:w="3720" w:type="dxa"/>
            <w:tcBorders>
              <w:top w:val="single" w:sz="4" w:space="0" w:color="auto"/>
              <w:left w:val="nil"/>
              <w:bottom w:val="nil"/>
              <w:right w:val="single" w:sz="4" w:space="0" w:color="auto"/>
            </w:tcBorders>
            <w:shd w:val="clear" w:color="000000" w:fill="FFFFFF"/>
            <w:noWrap/>
            <w:vAlign w:val="bottom"/>
            <w:hideMark/>
          </w:tcPr>
          <w:p w14:paraId="1AD531E4" w14:textId="77777777" w:rsidR="006A2693" w:rsidRPr="006A2693" w:rsidRDefault="006A2693" w:rsidP="006A2693">
            <w:pPr>
              <w:spacing w:line="240" w:lineRule="auto"/>
              <w:rPr>
                <w:rFonts w:eastAsia="Times New Roman" w:cs="Calibri"/>
                <w:b/>
                <w:bCs/>
                <w:color w:val="000000"/>
                <w:sz w:val="24"/>
                <w:szCs w:val="24"/>
                <w:lang w:eastAsia="en-GB"/>
              </w:rPr>
            </w:pPr>
            <w:r w:rsidRPr="006A2693">
              <w:rPr>
                <w:rFonts w:eastAsia="Times New Roman" w:cs="Calibri"/>
                <w:b/>
                <w:bCs/>
                <w:color w:val="000000"/>
                <w:sz w:val="24"/>
                <w:szCs w:val="24"/>
                <w:lang w:eastAsia="en-GB"/>
              </w:rPr>
              <w:t>Total Precept and Collection Fund</w:t>
            </w:r>
          </w:p>
        </w:tc>
        <w:tc>
          <w:tcPr>
            <w:tcW w:w="1240" w:type="dxa"/>
            <w:tcBorders>
              <w:top w:val="single" w:sz="4" w:space="0" w:color="auto"/>
              <w:left w:val="nil"/>
              <w:bottom w:val="nil"/>
              <w:right w:val="single" w:sz="4" w:space="0" w:color="auto"/>
            </w:tcBorders>
            <w:shd w:val="clear" w:color="000000" w:fill="FFDDDD"/>
            <w:noWrap/>
            <w:vAlign w:val="bottom"/>
            <w:hideMark/>
          </w:tcPr>
          <w:p w14:paraId="7FE7A694" w14:textId="77777777" w:rsidR="006A2693" w:rsidRPr="006A2693" w:rsidRDefault="006A2693" w:rsidP="006A2693">
            <w:pPr>
              <w:spacing w:line="240" w:lineRule="auto"/>
              <w:jc w:val="right"/>
              <w:rPr>
                <w:rFonts w:eastAsia="Times New Roman" w:cs="Calibri"/>
                <w:b/>
                <w:bCs/>
                <w:color w:val="000000"/>
                <w:sz w:val="24"/>
                <w:szCs w:val="24"/>
                <w:lang w:eastAsia="en-GB"/>
              </w:rPr>
            </w:pPr>
            <w:r w:rsidRPr="006A2693">
              <w:rPr>
                <w:rFonts w:eastAsia="Times New Roman" w:cs="Calibri"/>
                <w:b/>
                <w:bCs/>
                <w:color w:val="000000"/>
                <w:sz w:val="24"/>
                <w:szCs w:val="24"/>
                <w:lang w:eastAsia="en-GB"/>
              </w:rPr>
              <w:t>21.413</w:t>
            </w:r>
          </w:p>
        </w:tc>
      </w:tr>
      <w:tr w:rsidR="006A2693" w:rsidRPr="006A2693" w14:paraId="4611F713" w14:textId="77777777" w:rsidTr="006A2693">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7E109413"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 </w:t>
            </w:r>
          </w:p>
        </w:tc>
        <w:tc>
          <w:tcPr>
            <w:tcW w:w="3720" w:type="dxa"/>
            <w:tcBorders>
              <w:top w:val="nil"/>
              <w:left w:val="nil"/>
              <w:bottom w:val="nil"/>
              <w:right w:val="single" w:sz="4" w:space="0" w:color="auto"/>
            </w:tcBorders>
            <w:shd w:val="clear" w:color="000000" w:fill="FFFFFF"/>
            <w:noWrap/>
            <w:vAlign w:val="bottom"/>
            <w:hideMark/>
          </w:tcPr>
          <w:p w14:paraId="5D0DA74B"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 </w:t>
            </w:r>
          </w:p>
        </w:tc>
        <w:tc>
          <w:tcPr>
            <w:tcW w:w="1240" w:type="dxa"/>
            <w:tcBorders>
              <w:top w:val="nil"/>
              <w:left w:val="nil"/>
              <w:bottom w:val="nil"/>
              <w:right w:val="single" w:sz="4" w:space="0" w:color="auto"/>
            </w:tcBorders>
            <w:shd w:val="clear" w:color="000000" w:fill="FFDDDD"/>
            <w:noWrap/>
            <w:vAlign w:val="bottom"/>
            <w:hideMark/>
          </w:tcPr>
          <w:p w14:paraId="6FD7D4F7"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 </w:t>
            </w:r>
          </w:p>
        </w:tc>
      </w:tr>
      <w:tr w:rsidR="006A2693" w:rsidRPr="006A2693" w14:paraId="26D94834" w14:textId="77777777" w:rsidTr="006A2693">
        <w:trPr>
          <w:trHeight w:val="315"/>
        </w:trPr>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406ABF" w14:textId="77777777" w:rsidR="006A2693" w:rsidRPr="006A2693" w:rsidRDefault="006A2693" w:rsidP="006A2693">
            <w:pPr>
              <w:spacing w:line="240" w:lineRule="auto"/>
              <w:jc w:val="right"/>
              <w:rPr>
                <w:rFonts w:eastAsia="Times New Roman" w:cs="Calibri"/>
                <w:b/>
                <w:bCs/>
                <w:color w:val="000000"/>
                <w:sz w:val="24"/>
                <w:szCs w:val="24"/>
                <w:lang w:eastAsia="en-GB"/>
              </w:rPr>
            </w:pPr>
            <w:r w:rsidRPr="006A2693">
              <w:rPr>
                <w:rFonts w:eastAsia="Times New Roman" w:cs="Calibri"/>
                <w:b/>
                <w:bCs/>
                <w:color w:val="000000"/>
                <w:sz w:val="24"/>
                <w:szCs w:val="24"/>
                <w:lang w:eastAsia="en-GB"/>
              </w:rPr>
              <w:t>31.454</w:t>
            </w:r>
          </w:p>
        </w:tc>
        <w:tc>
          <w:tcPr>
            <w:tcW w:w="3720" w:type="dxa"/>
            <w:tcBorders>
              <w:top w:val="single" w:sz="4" w:space="0" w:color="auto"/>
              <w:left w:val="nil"/>
              <w:bottom w:val="single" w:sz="4" w:space="0" w:color="auto"/>
              <w:right w:val="single" w:sz="4" w:space="0" w:color="auto"/>
            </w:tcBorders>
            <w:shd w:val="clear" w:color="000000" w:fill="FFFFFF"/>
            <w:noWrap/>
            <w:vAlign w:val="bottom"/>
            <w:hideMark/>
          </w:tcPr>
          <w:p w14:paraId="544BE8DE" w14:textId="77777777" w:rsidR="006A2693" w:rsidRPr="006A2693" w:rsidRDefault="006A2693" w:rsidP="006A2693">
            <w:pPr>
              <w:spacing w:line="240" w:lineRule="auto"/>
              <w:rPr>
                <w:rFonts w:eastAsia="Times New Roman" w:cs="Calibri"/>
                <w:b/>
                <w:bCs/>
                <w:color w:val="000000"/>
                <w:sz w:val="24"/>
                <w:szCs w:val="24"/>
                <w:lang w:eastAsia="en-GB"/>
              </w:rPr>
            </w:pPr>
            <w:r w:rsidRPr="006A2693">
              <w:rPr>
                <w:rFonts w:eastAsia="Times New Roman" w:cs="Calibri"/>
                <w:b/>
                <w:bCs/>
                <w:color w:val="000000"/>
                <w:sz w:val="24"/>
                <w:szCs w:val="24"/>
                <w:lang w:eastAsia="en-GB"/>
              </w:rPr>
              <w:t>TOTAL FUNDING</w:t>
            </w:r>
          </w:p>
        </w:tc>
        <w:tc>
          <w:tcPr>
            <w:tcW w:w="1240" w:type="dxa"/>
            <w:tcBorders>
              <w:top w:val="single" w:sz="4" w:space="0" w:color="auto"/>
              <w:left w:val="nil"/>
              <w:bottom w:val="single" w:sz="4" w:space="0" w:color="auto"/>
              <w:right w:val="single" w:sz="4" w:space="0" w:color="auto"/>
            </w:tcBorders>
            <w:shd w:val="clear" w:color="000000" w:fill="FFDDDD"/>
            <w:noWrap/>
            <w:vAlign w:val="bottom"/>
            <w:hideMark/>
          </w:tcPr>
          <w:p w14:paraId="7F31716C" w14:textId="77777777" w:rsidR="006A2693" w:rsidRPr="006A2693" w:rsidRDefault="006A2693" w:rsidP="006A2693">
            <w:pPr>
              <w:spacing w:line="240" w:lineRule="auto"/>
              <w:jc w:val="right"/>
              <w:rPr>
                <w:rFonts w:eastAsia="Times New Roman" w:cs="Calibri"/>
                <w:b/>
                <w:bCs/>
                <w:color w:val="000000"/>
                <w:sz w:val="24"/>
                <w:szCs w:val="24"/>
                <w:lang w:eastAsia="en-GB"/>
              </w:rPr>
            </w:pPr>
            <w:r w:rsidRPr="006A2693">
              <w:rPr>
                <w:rFonts w:eastAsia="Times New Roman" w:cs="Calibri"/>
                <w:b/>
                <w:bCs/>
                <w:color w:val="000000"/>
                <w:sz w:val="24"/>
                <w:szCs w:val="24"/>
                <w:lang w:eastAsia="en-GB"/>
              </w:rPr>
              <w:t>33.723</w:t>
            </w:r>
          </w:p>
        </w:tc>
      </w:tr>
    </w:tbl>
    <w:p w14:paraId="1A1EB7D1" w14:textId="77777777" w:rsidR="002C7D89" w:rsidRPr="00507598" w:rsidRDefault="002C7D89" w:rsidP="002C7D89">
      <w:pPr>
        <w:pStyle w:val="ListParagraph"/>
        <w:spacing w:line="240" w:lineRule="auto"/>
        <w:ind w:left="567"/>
        <w:rPr>
          <w:i/>
          <w:iCs/>
          <w:noProof/>
        </w:rPr>
      </w:pPr>
      <w:r w:rsidRPr="00507598">
        <w:rPr>
          <w:i/>
          <w:iCs/>
        </w:rPr>
        <w:t>NB: Estimated Business Rates – At the time of writing, statutory deadlines are not yet due.</w:t>
      </w:r>
    </w:p>
    <w:p w14:paraId="584D8343" w14:textId="77777777" w:rsidR="00D54977" w:rsidRDefault="00D54977" w:rsidP="00D54977"/>
    <w:p w14:paraId="6C506AE8" w14:textId="1AE4D85F" w:rsidR="00E73100" w:rsidRPr="00111E24" w:rsidRDefault="006C5D8B" w:rsidP="00BD46B3">
      <w:pPr>
        <w:pStyle w:val="PanelPara"/>
      </w:pPr>
      <w:r w:rsidRPr="00111E24">
        <w:t xml:space="preserve">The </w:t>
      </w:r>
      <w:r w:rsidR="00E84EA9" w:rsidRPr="00111E24">
        <w:t>p</w:t>
      </w:r>
      <w:r w:rsidRPr="00111E24">
        <w:t xml:space="preserve">rovisional Local Government Finance Settlement was announced by the </w:t>
      </w:r>
      <w:r w:rsidR="00111E24" w:rsidRPr="00111E24">
        <w:t>Minister</w:t>
      </w:r>
      <w:r w:rsidRPr="00111E24">
        <w:t xml:space="preserve"> </w:t>
      </w:r>
      <w:r w:rsidR="00111E24" w:rsidRPr="00111E24">
        <w:t>for Local Government and English Devolution, Jim McMahon</w:t>
      </w:r>
      <w:r w:rsidR="003204A0" w:rsidRPr="00111E24">
        <w:t xml:space="preserve"> </w:t>
      </w:r>
      <w:r w:rsidRPr="00111E24">
        <w:t xml:space="preserve">in a written ministerial statement on </w:t>
      </w:r>
      <w:r w:rsidR="002C0234" w:rsidRPr="00111E24">
        <w:t>1</w:t>
      </w:r>
      <w:r w:rsidR="00E73100" w:rsidRPr="00111E24">
        <w:t>8</w:t>
      </w:r>
      <w:r w:rsidR="00111E24" w:rsidRPr="00111E24">
        <w:rPr>
          <w:vertAlign w:val="superscript"/>
        </w:rPr>
        <w:t>th</w:t>
      </w:r>
      <w:r w:rsidR="002C0234" w:rsidRPr="00111E24">
        <w:t xml:space="preserve"> </w:t>
      </w:r>
      <w:r w:rsidRPr="00111E24">
        <w:t>December 20</w:t>
      </w:r>
      <w:r w:rsidR="002C0234" w:rsidRPr="00111E24">
        <w:t>2</w:t>
      </w:r>
      <w:r w:rsidR="00111E24" w:rsidRPr="00111E24">
        <w:t>4</w:t>
      </w:r>
      <w:r w:rsidRPr="00111E24">
        <w:t xml:space="preserve">. </w:t>
      </w:r>
      <w:r w:rsidR="00E73100" w:rsidRPr="00111E24">
        <w:t xml:space="preserve"> </w:t>
      </w:r>
      <w:r w:rsidRPr="00111E24">
        <w:t xml:space="preserve">The announcement set out provisional allocations for </w:t>
      </w:r>
      <w:r w:rsidR="008C38F1" w:rsidRPr="00111E24">
        <w:t>202</w:t>
      </w:r>
      <w:r w:rsidR="00111E24" w:rsidRPr="00111E24">
        <w:t>5</w:t>
      </w:r>
      <w:r w:rsidR="008C38F1" w:rsidRPr="00111E24">
        <w:t>/2</w:t>
      </w:r>
      <w:r w:rsidR="00111E24" w:rsidRPr="00111E24">
        <w:t>6</w:t>
      </w:r>
      <w:r w:rsidRPr="00111E24">
        <w:t xml:space="preserve">. </w:t>
      </w:r>
    </w:p>
    <w:p w14:paraId="164C97EB" w14:textId="76E737A3" w:rsidR="006C5D8B" w:rsidRPr="00111E24" w:rsidRDefault="006C5D8B" w:rsidP="00BD46B3">
      <w:pPr>
        <w:pStyle w:val="PanelPara"/>
      </w:pPr>
      <w:r w:rsidRPr="00111E24">
        <w:t xml:space="preserve">The </w:t>
      </w:r>
      <w:r w:rsidR="00E84EA9" w:rsidRPr="00111E24">
        <w:t>provisional settlement</w:t>
      </w:r>
      <w:r w:rsidRPr="00111E24">
        <w:t xml:space="preserve"> publication </w:t>
      </w:r>
      <w:r w:rsidR="00B82C60" w:rsidRPr="00111E24">
        <w:t xml:space="preserve">marked </w:t>
      </w:r>
      <w:r w:rsidRPr="00111E24">
        <w:t xml:space="preserve">the start of </w:t>
      </w:r>
      <w:r w:rsidR="00B82C60" w:rsidRPr="00111E24">
        <w:t xml:space="preserve">a </w:t>
      </w:r>
      <w:r w:rsidRPr="00111E24">
        <w:t>four-week consultation which close</w:t>
      </w:r>
      <w:r w:rsidR="006E12D0" w:rsidRPr="00111E24">
        <w:t>d</w:t>
      </w:r>
      <w:r w:rsidRPr="00111E24">
        <w:t xml:space="preserve"> on 1</w:t>
      </w:r>
      <w:r w:rsidR="007C15B8">
        <w:t>0</w:t>
      </w:r>
      <w:r w:rsidR="007C15B8" w:rsidRPr="007C15B8">
        <w:rPr>
          <w:vertAlign w:val="superscript"/>
        </w:rPr>
        <w:t>th</w:t>
      </w:r>
      <w:r w:rsidRPr="00111E24">
        <w:t xml:space="preserve"> January 202</w:t>
      </w:r>
      <w:r w:rsidR="00111E24" w:rsidRPr="00111E24">
        <w:t>5</w:t>
      </w:r>
      <w:r w:rsidRPr="00111E24">
        <w:t>.</w:t>
      </w:r>
      <w:r w:rsidR="002F40BD" w:rsidRPr="00111E24">
        <w:t xml:space="preserve"> </w:t>
      </w:r>
      <w:r w:rsidR="00E73100" w:rsidRPr="00111E24">
        <w:t xml:space="preserve"> </w:t>
      </w:r>
      <w:r w:rsidR="002F40BD" w:rsidRPr="00111E24">
        <w:t xml:space="preserve">At the time of writing, the date of the final settlement is </w:t>
      </w:r>
      <w:r w:rsidR="006E12D0" w:rsidRPr="00111E24">
        <w:t>unknown</w:t>
      </w:r>
      <w:r w:rsidR="002F40BD" w:rsidRPr="00111E24">
        <w:t>.</w:t>
      </w:r>
    </w:p>
    <w:p w14:paraId="72172BFE" w14:textId="6A43AAFC" w:rsidR="00E73100" w:rsidRPr="00111E24" w:rsidRDefault="00111E24" w:rsidP="00BD46B3">
      <w:pPr>
        <w:pStyle w:val="PanelPara"/>
      </w:pPr>
      <w:r w:rsidRPr="00111E24">
        <w:t>A</w:t>
      </w:r>
      <w:r w:rsidR="002C0234" w:rsidRPr="00111E24">
        <w:t xml:space="preserve"> policy statement</w:t>
      </w:r>
      <w:r w:rsidRPr="00111E24">
        <w:t xml:space="preserve"> had been shared on 28</w:t>
      </w:r>
      <w:r w:rsidRPr="00111E24">
        <w:rPr>
          <w:vertAlign w:val="superscript"/>
        </w:rPr>
        <w:t>th</w:t>
      </w:r>
      <w:r w:rsidRPr="00111E24">
        <w:t xml:space="preserve"> November 2024</w:t>
      </w:r>
      <w:r w:rsidR="002C0234" w:rsidRPr="00111E24">
        <w:t xml:space="preserve"> which contained some indications of the </w:t>
      </w:r>
      <w:r w:rsidRPr="00111E24">
        <w:t xml:space="preserve">methodology for the </w:t>
      </w:r>
      <w:r w:rsidR="002C0234" w:rsidRPr="00111E24">
        <w:t xml:space="preserve">provisional settlement, but not enough information </w:t>
      </w:r>
      <w:r w:rsidR="00B82C60" w:rsidRPr="00111E24">
        <w:t>was included to provide us with</w:t>
      </w:r>
      <w:r w:rsidR="002C0234" w:rsidRPr="00111E24">
        <w:t xml:space="preserve"> a </w:t>
      </w:r>
      <w:r w:rsidR="00E84EA9" w:rsidRPr="00111E24">
        <w:t>provisional settlement</w:t>
      </w:r>
      <w:r w:rsidR="002C0234" w:rsidRPr="00111E24">
        <w:t xml:space="preserve"> figure. </w:t>
      </w:r>
    </w:p>
    <w:p w14:paraId="4E7ECC8C" w14:textId="6A1FA132" w:rsidR="006C5D8B" w:rsidRPr="00111E24" w:rsidRDefault="006C5D8B" w:rsidP="00BD46B3">
      <w:pPr>
        <w:pStyle w:val="PanelPara"/>
      </w:pPr>
      <w:r w:rsidRPr="00111E24">
        <w:t xml:space="preserve">The national Technical </w:t>
      </w:r>
      <w:r w:rsidR="00E73100" w:rsidRPr="00111E24">
        <w:t xml:space="preserve">Support </w:t>
      </w:r>
      <w:r w:rsidRPr="00111E24">
        <w:t>Team undertook an analysis of the day’s main announcements</w:t>
      </w:r>
      <w:r w:rsidR="002C0234" w:rsidRPr="00111E24">
        <w:t xml:space="preserve"> and </w:t>
      </w:r>
      <w:r w:rsidR="001E6880" w:rsidRPr="00111E24">
        <w:t xml:space="preserve">provided </w:t>
      </w:r>
      <w:r w:rsidR="002C7D89">
        <w:t>a</w:t>
      </w:r>
      <w:r w:rsidR="001E6880" w:rsidRPr="00111E24">
        <w:t xml:space="preserve"> briefing including the following</w:t>
      </w:r>
      <w:r w:rsidRPr="00111E24">
        <w:t>:</w:t>
      </w:r>
    </w:p>
    <w:p w14:paraId="0BAAC7E1" w14:textId="70DE632B" w:rsidR="001E6880" w:rsidRPr="00111E24" w:rsidRDefault="001E6880" w:rsidP="00BD46B3">
      <w:pPr>
        <w:pStyle w:val="PanelPara2"/>
      </w:pPr>
      <w:r w:rsidRPr="00111E24">
        <w:t xml:space="preserve">Fire and Rescue Authorities’ precept flexibility </w:t>
      </w:r>
      <w:r w:rsidR="00111E24" w:rsidRPr="00111E24">
        <w:t>at £5.</w:t>
      </w:r>
    </w:p>
    <w:p w14:paraId="3EB27397" w14:textId="5A77FDFD" w:rsidR="00111E24" w:rsidRDefault="00111E24" w:rsidP="00BE4384">
      <w:pPr>
        <w:pStyle w:val="PanelPara2"/>
      </w:pPr>
      <w:r>
        <w:lastRenderedPageBreak/>
        <w:t xml:space="preserve">Standalone </w:t>
      </w:r>
      <w:r w:rsidR="00BE4384">
        <w:t>Fire and Rescue Authorities (FRA</w:t>
      </w:r>
      <w:r w:rsidR="002C7D89">
        <w:t>s</w:t>
      </w:r>
      <w:r w:rsidR="00BE4384">
        <w:t>)</w:t>
      </w:r>
      <w:r>
        <w:t xml:space="preserve"> Core Spending Power rises by 2.8% in 2025/26.  This assumes that all Authorities utilise the full £5 council tax flexibility which raises Council Tax Requirement by 6.7%.</w:t>
      </w:r>
    </w:p>
    <w:p w14:paraId="7E053F8B" w14:textId="12AB07B4" w:rsidR="00111E24" w:rsidRDefault="00111E24" w:rsidP="00BE4384">
      <w:pPr>
        <w:pStyle w:val="PanelPara2"/>
      </w:pPr>
      <w:r>
        <w:t>Standalone FRAs are not eligible for the one-off Recovery Grant.</w:t>
      </w:r>
    </w:p>
    <w:p w14:paraId="4EECDB60" w14:textId="698766FE" w:rsidR="00111E24" w:rsidRPr="00BE4384" w:rsidRDefault="00BE4384" w:rsidP="00BE4384">
      <w:pPr>
        <w:pStyle w:val="PanelPara2"/>
      </w:pPr>
      <w:r>
        <w:t>FRA</w:t>
      </w:r>
      <w:r w:rsidR="00111E24">
        <w:t xml:space="preserve"> Core Spending Power is now made up of only Settlement Funding Assessment (inc. </w:t>
      </w:r>
      <w:r w:rsidR="00111E24" w:rsidRPr="00BE4384">
        <w:t>Under-indexation Compensation) and Council Tax.</w:t>
      </w:r>
    </w:p>
    <w:p w14:paraId="6AA33A84" w14:textId="7A440A09" w:rsidR="00BE4384" w:rsidRPr="00BE4384" w:rsidRDefault="00111E24" w:rsidP="00111E24">
      <w:pPr>
        <w:pStyle w:val="PanelPara2"/>
        <w:rPr>
          <w:b/>
          <w:bCs/>
        </w:rPr>
      </w:pPr>
      <w:r w:rsidRPr="00BE4384">
        <w:t>NICs Compensation to total £515m for all local government (inc. FRAs) based on Net Current Expenditure</w:t>
      </w:r>
      <w:r w:rsidR="00BE4384" w:rsidRPr="00BE4384">
        <w:t xml:space="preserve">, which is </w:t>
      </w:r>
      <w:r w:rsidRPr="00BE4384">
        <w:t>not expected to fully cover costs</w:t>
      </w:r>
      <w:r w:rsidR="00C66EC2">
        <w:t>.  The methodology for distributing this has been provided but no firm figures</w:t>
      </w:r>
      <w:r w:rsidR="00BE4384" w:rsidRPr="00BE4384">
        <w:t xml:space="preserve"> – </w:t>
      </w:r>
      <w:r w:rsidR="00BE4384" w:rsidRPr="00BE4384">
        <w:rPr>
          <w:b/>
          <w:bCs/>
        </w:rPr>
        <w:t xml:space="preserve">around £0.181m </w:t>
      </w:r>
      <w:r w:rsidR="00C66EC2">
        <w:rPr>
          <w:b/>
          <w:bCs/>
        </w:rPr>
        <w:t xml:space="preserve">is estimated </w:t>
      </w:r>
      <w:r w:rsidR="00BE4384" w:rsidRPr="00BE4384">
        <w:rPr>
          <w:b/>
          <w:bCs/>
        </w:rPr>
        <w:t>for Northamptonshire which is around half of the amount required.</w:t>
      </w:r>
    </w:p>
    <w:p w14:paraId="27DFC59C" w14:textId="37BD0631" w:rsidR="003204A0" w:rsidRPr="00C66EC2" w:rsidRDefault="00BE4384" w:rsidP="00111E24">
      <w:pPr>
        <w:pStyle w:val="PanelPara2"/>
        <w:rPr>
          <w:b/>
          <w:bCs/>
        </w:rPr>
      </w:pPr>
      <w:r w:rsidRPr="00BE4384">
        <w:t xml:space="preserve">Revenue Support Grant will increase by CPI (1.7%) – </w:t>
      </w:r>
      <w:r w:rsidRPr="00BE4384">
        <w:rPr>
          <w:b/>
          <w:bCs/>
        </w:rPr>
        <w:t xml:space="preserve">around £0.069m for </w:t>
      </w:r>
      <w:r w:rsidRPr="00663AE7">
        <w:rPr>
          <w:b/>
          <w:bCs/>
        </w:rPr>
        <w:t>Northamptonshire.</w:t>
      </w:r>
      <w:r w:rsidR="007C15B8" w:rsidRPr="00663AE7">
        <w:rPr>
          <w:b/>
          <w:bCs/>
        </w:rPr>
        <w:t xml:space="preserve">  However, contrary to previous assumptions, the Pension Grant has not been increased in line with inflation.</w:t>
      </w:r>
    </w:p>
    <w:p w14:paraId="331A34C1" w14:textId="5FE829F5" w:rsidR="00C66EC2" w:rsidRDefault="00C66EC2" w:rsidP="00111E24">
      <w:pPr>
        <w:pStyle w:val="PanelPara2"/>
        <w:rPr>
          <w:b/>
          <w:bCs/>
        </w:rPr>
      </w:pPr>
      <w:r w:rsidRPr="00C66EC2">
        <w:t>In recent years, the Minimum Funding Guarantee set a minimum percentage increase in Core Spending Power before any decision they make about organisational efficiencies, use of reserves, and council tax levels.</w:t>
      </w:r>
      <w:r>
        <w:t xml:space="preserve"> </w:t>
      </w:r>
      <w:r w:rsidRPr="00C66EC2">
        <w:t xml:space="preserve"> For 2025</w:t>
      </w:r>
      <w:r w:rsidR="007C15B8">
        <w:t>/</w:t>
      </w:r>
      <w:r w:rsidRPr="00C66EC2">
        <w:t xml:space="preserve">26, </w:t>
      </w:r>
      <w:r>
        <w:t>this</w:t>
      </w:r>
      <w:r w:rsidRPr="00C66EC2">
        <w:t xml:space="preserve"> is effectively scrapped. </w:t>
      </w:r>
      <w:r>
        <w:t xml:space="preserve"> </w:t>
      </w:r>
      <w:r w:rsidRPr="00C66EC2">
        <w:t>Instead, the government “guarantee[s] that no local authority will see a reduction in their Core Spending Power in 2025</w:t>
      </w:r>
      <w:r w:rsidR="0061459D">
        <w:t>/</w:t>
      </w:r>
      <w:r w:rsidRPr="00C66EC2">
        <w:t>26 after taking account of any increase in council tax levels by applying a funding floor.</w:t>
      </w:r>
      <w:r>
        <w:t>”</w:t>
      </w:r>
      <w:r w:rsidRPr="00C66EC2">
        <w:t xml:space="preserve"> </w:t>
      </w:r>
      <w:r>
        <w:t xml:space="preserve"> </w:t>
      </w:r>
      <w:r w:rsidRPr="00C66EC2">
        <w:t>This methodology means that no standalone FRA is in receipt of Funding Floor grant for 2025</w:t>
      </w:r>
      <w:r w:rsidR="007C15B8">
        <w:t>/</w:t>
      </w:r>
      <w:r w:rsidRPr="00C66EC2">
        <w:t>26.</w:t>
      </w:r>
      <w:r>
        <w:t xml:space="preserve">  </w:t>
      </w:r>
      <w:r w:rsidRPr="00C66EC2">
        <w:rPr>
          <w:b/>
          <w:bCs/>
        </w:rPr>
        <w:t>Northamptonshire previously received £0.231m under last year’s methodology</w:t>
      </w:r>
      <w:r>
        <w:rPr>
          <w:b/>
          <w:bCs/>
        </w:rPr>
        <w:t xml:space="preserve"> – nil for 2025/26</w:t>
      </w:r>
      <w:r w:rsidRPr="00C66EC2">
        <w:rPr>
          <w:b/>
          <w:bCs/>
        </w:rPr>
        <w:t>.</w:t>
      </w:r>
    </w:p>
    <w:p w14:paraId="3E674B54" w14:textId="3523262D" w:rsidR="00C66EC2" w:rsidRPr="00C66EC2" w:rsidRDefault="00C66EC2" w:rsidP="00111E24">
      <w:pPr>
        <w:pStyle w:val="PanelPara2"/>
      </w:pPr>
      <w:r w:rsidRPr="00C66EC2">
        <w:t xml:space="preserve">Across Local Authorities, the ‘Services Grant’ in 2022/23 was £822m, reducing to £483m in 2023/24 and £87m in 2024/25.  As announced in the Policy Statement, this will be removed entirely from 2025/26.  </w:t>
      </w:r>
      <w:r w:rsidRPr="00C66EC2">
        <w:rPr>
          <w:b/>
          <w:bCs/>
        </w:rPr>
        <w:t>Northamptonshire</w:t>
      </w:r>
      <w:r>
        <w:rPr>
          <w:b/>
          <w:bCs/>
        </w:rPr>
        <w:t xml:space="preserve"> received £0.034m in Service Grant </w:t>
      </w:r>
      <w:r w:rsidRPr="00C66EC2">
        <w:rPr>
          <w:b/>
          <w:bCs/>
        </w:rPr>
        <w:t>last year – nil for 2025/26.</w:t>
      </w:r>
    </w:p>
    <w:p w14:paraId="1549C9E2" w14:textId="18C68E16" w:rsidR="00190B72" w:rsidRPr="00C66EC2" w:rsidRDefault="00C66EC2" w:rsidP="00BD46B3">
      <w:pPr>
        <w:pStyle w:val="PanelPara"/>
      </w:pPr>
      <w:r>
        <w:t>NCFRA</w:t>
      </w:r>
      <w:r w:rsidR="003204A0" w:rsidRPr="00C66EC2">
        <w:t xml:space="preserve"> ha</w:t>
      </w:r>
      <w:r>
        <w:t>s</w:t>
      </w:r>
      <w:r w:rsidR="003204A0" w:rsidRPr="00C66EC2">
        <w:t xml:space="preserve"> responded to the </w:t>
      </w:r>
      <w:r w:rsidR="00E84EA9" w:rsidRPr="00C66EC2">
        <w:t>provisional settlement</w:t>
      </w:r>
      <w:r w:rsidR="006C5D8B" w:rsidRPr="00C66EC2">
        <w:t xml:space="preserve"> consultation</w:t>
      </w:r>
      <w:r w:rsidR="00BE4384" w:rsidRPr="00C66EC2">
        <w:t xml:space="preserve"> as part of the national NFCC response</w:t>
      </w:r>
      <w:r w:rsidR="006C5D8B" w:rsidRPr="00C66EC2">
        <w:t>,</w:t>
      </w:r>
      <w:r w:rsidR="008A0357" w:rsidRPr="00C66EC2">
        <w:t xml:space="preserve"> welcoming the settlement, </w:t>
      </w:r>
      <w:r w:rsidR="006376AD" w:rsidRPr="00C66EC2">
        <w:t xml:space="preserve">but highlighting the lack of </w:t>
      </w:r>
      <w:r w:rsidR="00190B72" w:rsidRPr="00C66EC2">
        <w:t xml:space="preserve">capital grant, longer term </w:t>
      </w:r>
      <w:r w:rsidR="00BE4384" w:rsidRPr="00C66EC2">
        <w:t>funding indications</w:t>
      </w:r>
      <w:r w:rsidR="00E84EA9" w:rsidRPr="00C66EC2">
        <w:t>, consideration of the population demographic profile affecting FRAs</w:t>
      </w:r>
      <w:r w:rsidR="00190B72" w:rsidRPr="00C66EC2">
        <w:t xml:space="preserve"> and recognition of future inflation in future settlements.</w:t>
      </w:r>
    </w:p>
    <w:p w14:paraId="13C77DD6" w14:textId="5879EBEE" w:rsidR="00481E66" w:rsidRPr="00D010E7" w:rsidRDefault="00481E66" w:rsidP="00BD46B3">
      <w:pPr>
        <w:pStyle w:val="PanelPara"/>
      </w:pPr>
      <w:r w:rsidRPr="00D010E7">
        <w:t>The 202</w:t>
      </w:r>
      <w:r w:rsidR="00D010E7" w:rsidRPr="00D010E7">
        <w:t>5</w:t>
      </w:r>
      <w:r w:rsidRPr="00D010E7">
        <w:t>/2</w:t>
      </w:r>
      <w:r w:rsidR="00D010E7" w:rsidRPr="00D010E7">
        <w:t>6</w:t>
      </w:r>
      <w:r w:rsidRPr="00D010E7">
        <w:t xml:space="preserve"> budget will be </w:t>
      </w:r>
      <w:r w:rsidR="00A30345" w:rsidRPr="00D010E7">
        <w:t>around</w:t>
      </w:r>
      <w:r w:rsidRPr="00D010E7">
        <w:t xml:space="preserve"> £</w:t>
      </w:r>
      <w:r w:rsidR="00D010E7" w:rsidRPr="00D010E7">
        <w:t>1</w:t>
      </w:r>
      <w:r w:rsidR="00507598">
        <w:t>1.0</w:t>
      </w:r>
      <w:r w:rsidRPr="00D010E7">
        <w:t xml:space="preserve">m more than the budget transferred as part of the governance </w:t>
      </w:r>
      <w:r w:rsidR="00D010E7" w:rsidRPr="00D010E7">
        <w:t>changes in 2019</w:t>
      </w:r>
      <w:r w:rsidRPr="00D010E7">
        <w:t xml:space="preserve">. </w:t>
      </w:r>
      <w:r w:rsidR="00025636" w:rsidRPr="00D010E7">
        <w:t xml:space="preserve"> </w:t>
      </w:r>
      <w:r w:rsidRPr="00D010E7">
        <w:t xml:space="preserve">This equates to a revenue budget increase of over </w:t>
      </w:r>
      <w:r w:rsidR="00D010E7" w:rsidRPr="00D010E7">
        <w:t>48.6</w:t>
      </w:r>
      <w:r w:rsidRPr="00D010E7">
        <w:t xml:space="preserve">% since 2018/19. </w:t>
      </w:r>
      <w:r w:rsidR="00025636" w:rsidRPr="00D010E7">
        <w:t xml:space="preserve"> </w:t>
      </w:r>
      <w:r w:rsidRPr="00D010E7">
        <w:t>Whilst future savings are still required, the NCFRA revenue budget and the service are on a much more resilient footing.</w:t>
      </w:r>
    </w:p>
    <w:p w14:paraId="50A0C0FA" w14:textId="77777777" w:rsidR="00B51651" w:rsidRPr="00450555" w:rsidRDefault="00B51651" w:rsidP="000C2930">
      <w:pPr>
        <w:pStyle w:val="ListParagraph"/>
        <w:spacing w:line="240" w:lineRule="auto"/>
        <w:ind w:left="1440"/>
        <w:jc w:val="both"/>
        <w:rPr>
          <w:rFonts w:asciiTheme="minorHAnsi" w:hAnsiTheme="minorHAnsi" w:cstheme="minorHAnsi"/>
          <w:highlight w:val="yellow"/>
          <w:lang w:eastAsia="en-GB"/>
        </w:rPr>
      </w:pPr>
    </w:p>
    <w:p w14:paraId="03C30631" w14:textId="4771AC93" w:rsidR="00D50510" w:rsidRPr="00450555" w:rsidRDefault="00415734" w:rsidP="00025636">
      <w:pPr>
        <w:pStyle w:val="PanelHeading"/>
      </w:pPr>
      <w:r w:rsidRPr="00450555">
        <w:t xml:space="preserve">COUNCIL TAX </w:t>
      </w:r>
      <w:r>
        <w:t>AND CORE SPENDING POWER – NATIONAL COMPARISON</w:t>
      </w:r>
    </w:p>
    <w:p w14:paraId="7559AF39" w14:textId="64689B14" w:rsidR="00BF592B" w:rsidRPr="00450555" w:rsidRDefault="002E509C" w:rsidP="00BD46B3">
      <w:pPr>
        <w:pStyle w:val="PanelPara"/>
      </w:pPr>
      <w:r w:rsidRPr="00450555">
        <w:t xml:space="preserve">If all take up the precept flexibility, </w:t>
      </w:r>
      <w:r w:rsidR="006E0068" w:rsidRPr="00450555">
        <w:t>Band D Council Tax</w:t>
      </w:r>
      <w:r w:rsidR="002E592E" w:rsidRPr="00450555">
        <w:t xml:space="preserve"> levels for Fire and Rescue Authorities </w:t>
      </w:r>
      <w:r w:rsidRPr="00450555">
        <w:t>will range between £</w:t>
      </w:r>
      <w:r w:rsidR="00450555" w:rsidRPr="00450555">
        <w:t>80</w:t>
      </w:r>
      <w:r w:rsidR="00B63BCB" w:rsidRPr="00450555">
        <w:t>.</w:t>
      </w:r>
      <w:r w:rsidR="00DC67A1" w:rsidRPr="00450555">
        <w:t>20</w:t>
      </w:r>
      <w:r w:rsidRPr="00450555">
        <w:t xml:space="preserve"> in the West Midlands and £1</w:t>
      </w:r>
      <w:r w:rsidR="00450555" w:rsidRPr="00450555">
        <w:t>23</w:t>
      </w:r>
      <w:r w:rsidR="00B63BCB" w:rsidRPr="00450555">
        <w:t>.</w:t>
      </w:r>
      <w:r w:rsidR="00DC67A1" w:rsidRPr="00450555">
        <w:t>12</w:t>
      </w:r>
      <w:r w:rsidRPr="00450555">
        <w:t xml:space="preserve"> in Durham</w:t>
      </w:r>
      <w:r w:rsidR="002F25D8" w:rsidRPr="00450555">
        <w:t>, with an average of £</w:t>
      </w:r>
      <w:r w:rsidR="00DC67A1" w:rsidRPr="00450555">
        <w:t>9</w:t>
      </w:r>
      <w:r w:rsidR="00450555" w:rsidRPr="00450555">
        <w:t>5</w:t>
      </w:r>
      <w:r w:rsidR="00DC67A1" w:rsidRPr="00450555">
        <w:t>.32</w:t>
      </w:r>
      <w:r w:rsidR="002F25D8" w:rsidRPr="00450555">
        <w:t xml:space="preserve"> per </w:t>
      </w:r>
      <w:r w:rsidR="00B63BCB" w:rsidRPr="00450555">
        <w:t xml:space="preserve">standalone </w:t>
      </w:r>
      <w:r w:rsidR="002F25D8" w:rsidRPr="00450555">
        <w:t>Band D property (as compared to £</w:t>
      </w:r>
      <w:r w:rsidR="00450555" w:rsidRPr="00450555">
        <w:t>90.32</w:t>
      </w:r>
      <w:r w:rsidR="004636B5" w:rsidRPr="00450555">
        <w:t xml:space="preserve"> i</w:t>
      </w:r>
      <w:r w:rsidR="002F25D8" w:rsidRPr="00450555">
        <w:t xml:space="preserve">n </w:t>
      </w:r>
      <w:r w:rsidR="008C38F1" w:rsidRPr="00450555">
        <w:t>202</w:t>
      </w:r>
      <w:r w:rsidR="00450555" w:rsidRPr="00450555">
        <w:t>4</w:t>
      </w:r>
      <w:r w:rsidR="008C38F1" w:rsidRPr="00450555">
        <w:t>/2</w:t>
      </w:r>
      <w:r w:rsidR="00450555" w:rsidRPr="00450555">
        <w:t>5</w:t>
      </w:r>
      <w:r w:rsidR="00B63BCB" w:rsidRPr="00450555">
        <w:t>)</w:t>
      </w:r>
      <w:r w:rsidR="00C3313D">
        <w:t>:</w:t>
      </w:r>
    </w:p>
    <w:p w14:paraId="6668026E" w14:textId="3EBAA6CE" w:rsidR="009333A1" w:rsidRPr="00450555" w:rsidRDefault="00E26C3D" w:rsidP="00BD46B3">
      <w:pPr>
        <w:pStyle w:val="PanelPara"/>
        <w:numPr>
          <w:ilvl w:val="0"/>
          <w:numId w:val="0"/>
        </w:numPr>
        <w:ind w:left="567"/>
      </w:pPr>
      <w:r>
        <w:rPr>
          <w:noProof/>
        </w:rPr>
        <w:lastRenderedPageBreak/>
        <w:drawing>
          <wp:inline distT="0" distB="0" distL="0" distR="0" wp14:anchorId="6877DDE5" wp14:editId="5FB1B005">
            <wp:extent cx="5803900" cy="2974975"/>
            <wp:effectExtent l="0" t="0" r="6350" b="0"/>
            <wp:docPr id="1459302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3900" cy="2974975"/>
                    </a:xfrm>
                    <a:prstGeom prst="rect">
                      <a:avLst/>
                    </a:prstGeom>
                    <a:noFill/>
                  </pic:spPr>
                </pic:pic>
              </a:graphicData>
            </a:graphic>
          </wp:inline>
        </w:drawing>
      </w:r>
    </w:p>
    <w:p w14:paraId="4B58F10B" w14:textId="7F78141E" w:rsidR="00A825E7" w:rsidRPr="00450555" w:rsidRDefault="00707614" w:rsidP="00BD46B3">
      <w:pPr>
        <w:pStyle w:val="PanelPara"/>
      </w:pPr>
      <w:r w:rsidRPr="00450555">
        <w:t>A</w:t>
      </w:r>
      <w:r w:rsidR="002F25D8" w:rsidRPr="00450555">
        <w:t>t £</w:t>
      </w:r>
      <w:r w:rsidR="00450555" w:rsidRPr="00450555">
        <w:t>80</w:t>
      </w:r>
      <w:r w:rsidR="00D91FF6" w:rsidRPr="00450555">
        <w:t>.39</w:t>
      </w:r>
      <w:r w:rsidR="002F25D8" w:rsidRPr="00450555">
        <w:t xml:space="preserve"> </w:t>
      </w:r>
      <w:r w:rsidR="002E509C" w:rsidRPr="00450555">
        <w:t xml:space="preserve">Northamptonshire will still be the second lowest </w:t>
      </w:r>
      <w:r w:rsidR="004636B5" w:rsidRPr="00450555">
        <w:t xml:space="preserve">Fire </w:t>
      </w:r>
      <w:r w:rsidR="002E509C" w:rsidRPr="00450555">
        <w:t>precepto</w:t>
      </w:r>
      <w:r w:rsidR="002F25D8" w:rsidRPr="00450555">
        <w:t>r and 1</w:t>
      </w:r>
      <w:r w:rsidR="00450555" w:rsidRPr="00450555">
        <w:t>6</w:t>
      </w:r>
      <w:r w:rsidR="002F25D8" w:rsidRPr="00450555">
        <w:t xml:space="preserve">% below the average precept in </w:t>
      </w:r>
      <w:r w:rsidR="00450555">
        <w:t>the country</w:t>
      </w:r>
      <w:r w:rsidR="002F25D8" w:rsidRPr="00450555">
        <w:t>.</w:t>
      </w:r>
    </w:p>
    <w:p w14:paraId="11FC243F" w14:textId="2BCA4CA4" w:rsidR="00B806C8" w:rsidRPr="00707398" w:rsidRDefault="00C3443A" w:rsidP="00BD46B3">
      <w:pPr>
        <w:pStyle w:val="PanelPara"/>
      </w:pPr>
      <w:r w:rsidRPr="00707398">
        <w:t xml:space="preserve">Core Spending Power </w:t>
      </w:r>
      <w:r w:rsidR="007C15B8">
        <w:t xml:space="preserve">(CSP) </w:t>
      </w:r>
      <w:r w:rsidRPr="00707398">
        <w:t xml:space="preserve">is a measure of the resources available to local authorities to fund service delivery.  It sets out the money that has been made available to local authorities through the Local Government Finance Settlement.  It </w:t>
      </w:r>
      <w:r w:rsidR="002072FC" w:rsidRPr="00707398">
        <w:t>includes central settlements as well as business rates and assumed council tax receipts</w:t>
      </w:r>
      <w:r w:rsidR="002F25D8" w:rsidRPr="00707398">
        <w:t xml:space="preserve"> at </w:t>
      </w:r>
      <w:r w:rsidR="00707398" w:rsidRPr="00707398">
        <w:t>nationally</w:t>
      </w:r>
      <w:r w:rsidR="002F25D8" w:rsidRPr="00707398">
        <w:t xml:space="preserve"> estimated levels. </w:t>
      </w:r>
    </w:p>
    <w:p w14:paraId="63B7CDAC" w14:textId="3EF1E001" w:rsidR="009333A1" w:rsidRPr="00415734" w:rsidRDefault="009F418B" w:rsidP="00BD46B3">
      <w:pPr>
        <w:pStyle w:val="PanelPara"/>
      </w:pPr>
      <w:r w:rsidRPr="00415734">
        <w:t xml:space="preserve">According to </w:t>
      </w:r>
      <w:r w:rsidR="00415734" w:rsidRPr="00415734">
        <w:t>provisional funding statistics</w:t>
      </w:r>
      <w:r w:rsidRPr="00415734">
        <w:t xml:space="preserve">, </w:t>
      </w:r>
      <w:r w:rsidR="00CF380E" w:rsidRPr="00415734">
        <w:t xml:space="preserve">Northamptonshire </w:t>
      </w:r>
      <w:r w:rsidRPr="00415734">
        <w:t>has the</w:t>
      </w:r>
      <w:r w:rsidR="00CF380E" w:rsidRPr="00415734">
        <w:t xml:space="preserve"> </w:t>
      </w:r>
      <w:r w:rsidRPr="00415734">
        <w:t xml:space="preserve">third </w:t>
      </w:r>
      <w:r w:rsidR="00CF380E" w:rsidRPr="00415734">
        <w:t xml:space="preserve">lowest core spending power </w:t>
      </w:r>
      <w:r w:rsidRPr="00415734">
        <w:t>of all standalone authorities</w:t>
      </w:r>
      <w:r w:rsidR="00415734" w:rsidRPr="00415734">
        <w:t>:</w:t>
      </w:r>
    </w:p>
    <w:p w14:paraId="3E67F469" w14:textId="4CE4125D" w:rsidR="00263E8C" w:rsidRPr="00111E24" w:rsidRDefault="00C3313D" w:rsidP="009F418B">
      <w:pPr>
        <w:spacing w:line="240" w:lineRule="auto"/>
        <w:ind w:left="1418" w:hanging="851"/>
        <w:jc w:val="both"/>
        <w:rPr>
          <w:rFonts w:ascii="Arial" w:hAnsi="Arial" w:cs="Arial"/>
        </w:rPr>
      </w:pPr>
      <w:r>
        <w:rPr>
          <w:rFonts w:ascii="Arial" w:hAnsi="Arial" w:cs="Arial"/>
          <w:noProof/>
        </w:rPr>
        <w:drawing>
          <wp:inline distT="0" distB="0" distL="0" distR="0" wp14:anchorId="5EF2DC54" wp14:editId="5B629CE5">
            <wp:extent cx="5607149" cy="3625795"/>
            <wp:effectExtent l="0" t="0" r="0" b="0"/>
            <wp:docPr id="363781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959" cy="3634078"/>
                    </a:xfrm>
                    <a:prstGeom prst="rect">
                      <a:avLst/>
                    </a:prstGeom>
                    <a:noFill/>
                  </pic:spPr>
                </pic:pic>
              </a:graphicData>
            </a:graphic>
          </wp:inline>
        </w:drawing>
      </w:r>
    </w:p>
    <w:p w14:paraId="383CD4D1" w14:textId="77777777" w:rsidR="00D92C2F" w:rsidRPr="00450555" w:rsidRDefault="00D92C2F" w:rsidP="00D92C2F">
      <w:pPr>
        <w:pStyle w:val="NoSpacing"/>
        <w:rPr>
          <w:highlight w:val="yellow"/>
        </w:rPr>
      </w:pPr>
    </w:p>
    <w:p w14:paraId="0EADC83C" w14:textId="2E85892C" w:rsidR="00415734" w:rsidRPr="00BD46B3" w:rsidRDefault="00415734" w:rsidP="00BD46B3">
      <w:pPr>
        <w:pStyle w:val="PanelPara"/>
      </w:pPr>
      <w:r w:rsidRPr="00BD46B3">
        <w:t>Furthermore, when households are taken into account, Northamptonshire is reported as the lowest of all standalone authorities in terms of Core Spending Power per Dwelling:</w:t>
      </w:r>
    </w:p>
    <w:p w14:paraId="258D8186" w14:textId="2BC2AFA6" w:rsidR="00415734" w:rsidRPr="00415734" w:rsidRDefault="00C3313D" w:rsidP="00BD46B3">
      <w:pPr>
        <w:pStyle w:val="PanelPara"/>
        <w:numPr>
          <w:ilvl w:val="0"/>
          <w:numId w:val="0"/>
        </w:numPr>
        <w:ind w:left="567"/>
      </w:pPr>
      <w:r>
        <w:rPr>
          <w:noProof/>
        </w:rPr>
        <w:lastRenderedPageBreak/>
        <w:drawing>
          <wp:inline distT="0" distB="0" distL="0" distR="0" wp14:anchorId="1A757B01" wp14:editId="3DBA3652">
            <wp:extent cx="5590540" cy="3615055"/>
            <wp:effectExtent l="0" t="0" r="0" b="4445"/>
            <wp:docPr id="491133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0540" cy="3615055"/>
                    </a:xfrm>
                    <a:prstGeom prst="rect">
                      <a:avLst/>
                    </a:prstGeom>
                    <a:noFill/>
                  </pic:spPr>
                </pic:pic>
              </a:graphicData>
            </a:graphic>
          </wp:inline>
        </w:drawing>
      </w:r>
    </w:p>
    <w:p w14:paraId="2F00989F" w14:textId="6F17B632" w:rsidR="00A825E7" w:rsidRPr="00415734" w:rsidRDefault="009F418B" w:rsidP="00BD46B3">
      <w:pPr>
        <w:pStyle w:val="PanelPara"/>
      </w:pPr>
      <w:r w:rsidRPr="00415734">
        <w:t>It is important to note that</w:t>
      </w:r>
      <w:r w:rsidR="00A825E7" w:rsidRPr="00415734">
        <w:t xml:space="preserve"> </w:t>
      </w:r>
      <w:r w:rsidRPr="00415734">
        <w:t>the CSP figures</w:t>
      </w:r>
      <w:r w:rsidR="00A825E7" w:rsidRPr="00415734">
        <w:t xml:space="preserve"> include estimated, rather than the actual taxbase</w:t>
      </w:r>
      <w:r w:rsidR="00B82C60" w:rsidRPr="00415734">
        <w:t>s</w:t>
      </w:r>
      <w:r w:rsidR="00A825E7" w:rsidRPr="00415734">
        <w:t xml:space="preserve"> </w:t>
      </w:r>
      <w:r w:rsidR="00415734" w:rsidRPr="00415734">
        <w:t xml:space="preserve">and business rates assumptions </w:t>
      </w:r>
      <w:r w:rsidR="00A825E7" w:rsidRPr="00415734">
        <w:t xml:space="preserve">for authorities and does not </w:t>
      </w:r>
      <w:r w:rsidR="009331D9" w:rsidRPr="00415734">
        <w:t>include</w:t>
      </w:r>
      <w:r w:rsidR="00A825E7" w:rsidRPr="00415734">
        <w:t xml:space="preserve"> collection fund surplus or deficits. </w:t>
      </w:r>
      <w:r w:rsidR="00D54977">
        <w:t xml:space="preserve"> </w:t>
      </w:r>
      <w:r w:rsidR="00415734" w:rsidRPr="00415734">
        <w:t>They also assume that all authorities increase precept by £5.</w:t>
      </w:r>
    </w:p>
    <w:p w14:paraId="0A8F6109" w14:textId="77777777" w:rsidR="006A2693" w:rsidRDefault="006A2693" w:rsidP="00B8603D"/>
    <w:p w14:paraId="701FE803" w14:textId="39584658" w:rsidR="00A448D3" w:rsidRPr="007E4B11" w:rsidRDefault="0062547F" w:rsidP="00025636">
      <w:pPr>
        <w:pStyle w:val="PanelHeading"/>
      </w:pPr>
      <w:r w:rsidRPr="007E4B11">
        <w:t>FUNDING FORMULA AND POPULATION</w:t>
      </w:r>
    </w:p>
    <w:p w14:paraId="7D5EFD41" w14:textId="0B89B352" w:rsidR="00C242D6" w:rsidRDefault="0062547F" w:rsidP="00BD46B3">
      <w:pPr>
        <w:pStyle w:val="PanelPara"/>
      </w:pPr>
      <w:r>
        <w:t xml:space="preserve">Government grants make up around 24% of </w:t>
      </w:r>
      <w:r w:rsidR="00474F97" w:rsidRPr="007E4B11">
        <w:t xml:space="preserve">Fire </w:t>
      </w:r>
      <w:r w:rsidR="00412A1A" w:rsidRPr="007E4B11">
        <w:t xml:space="preserve">funding </w:t>
      </w:r>
      <w:r w:rsidR="001B0876">
        <w:t xml:space="preserve">in Northamptonshire, </w:t>
      </w:r>
      <w:r>
        <w:t xml:space="preserve">most of this </w:t>
      </w:r>
      <w:r w:rsidR="001B0876">
        <w:t>having been</w:t>
      </w:r>
      <w:r>
        <w:t xml:space="preserve"> </w:t>
      </w:r>
      <w:r w:rsidR="00412A1A" w:rsidRPr="007E4B11">
        <w:t xml:space="preserve">allocated </w:t>
      </w:r>
      <w:r w:rsidR="007E4B11" w:rsidRPr="007E4B11">
        <w:t xml:space="preserve">to authorities </w:t>
      </w:r>
      <w:r w:rsidR="00412A1A" w:rsidRPr="007E4B11">
        <w:t>via a</w:t>
      </w:r>
      <w:r w:rsidR="00141288" w:rsidRPr="007E4B11">
        <w:t xml:space="preserve"> </w:t>
      </w:r>
      <w:r w:rsidR="00A448D3" w:rsidRPr="007E4B11">
        <w:t xml:space="preserve">national formula </w:t>
      </w:r>
      <w:r w:rsidR="00141288" w:rsidRPr="007E4B11">
        <w:t>as part of the local authority funding settlements.</w:t>
      </w:r>
      <w:r w:rsidR="00DE46B4" w:rsidRPr="007E4B11">
        <w:t xml:space="preserve"> </w:t>
      </w:r>
    </w:p>
    <w:p w14:paraId="6AAA48EC" w14:textId="3CB3A853" w:rsidR="001B0876" w:rsidRPr="007E4B11" w:rsidRDefault="001B0876" w:rsidP="001B0876">
      <w:pPr>
        <w:pStyle w:val="PanelPara"/>
      </w:pPr>
      <w:r w:rsidRPr="001B0876">
        <w:t>The current formula was updated in 2013/14 and is based on population and subject to a series of adjustments to allocate funding by both risk of incidents and the costs associated with providing fire service cover.  Thus, this is allocated on a basis which has not been updated to reflect current demands or risk and does not reflect the significant growth in the county.</w:t>
      </w:r>
    </w:p>
    <w:p w14:paraId="2BE55223" w14:textId="183CBFC2" w:rsidR="001B0876" w:rsidRDefault="001B0876" w:rsidP="00BD46B3">
      <w:pPr>
        <w:pStyle w:val="PanelPara"/>
      </w:pPr>
      <w:r>
        <w:t>In December 2024, a</w:t>
      </w:r>
      <w:r w:rsidRPr="001B0876">
        <w:t>longside the Provisional Settlement</w:t>
      </w:r>
      <w:r>
        <w:t>,</w:t>
      </w:r>
      <w:r w:rsidRPr="001B0876">
        <w:t xml:space="preserve"> MHCLG</w:t>
      </w:r>
      <w:r>
        <w:t xml:space="preserve"> </w:t>
      </w:r>
      <w:r w:rsidRPr="001B0876">
        <w:t xml:space="preserve">published a consultation on funding reform. </w:t>
      </w:r>
      <w:r>
        <w:t xml:space="preserve"> </w:t>
      </w:r>
      <w:r w:rsidRPr="001B0876">
        <w:t>The Autumn 2024 Budget announced the Government’s intention to pursue a comprehensive set of reforms to place local government in a more sustainable position, and the Autumn Budget promised a deprivation-based approach in 2025</w:t>
      </w:r>
      <w:r>
        <w:t>/</w:t>
      </w:r>
      <w:r w:rsidRPr="001B0876">
        <w:t>26, followed by broader reform through a multi-year settlement from 2026</w:t>
      </w:r>
      <w:r>
        <w:t>/</w:t>
      </w:r>
      <w:r w:rsidRPr="001B0876">
        <w:t>27.</w:t>
      </w:r>
    </w:p>
    <w:p w14:paraId="0DE3AF3B" w14:textId="5D438685" w:rsidR="001B0876" w:rsidRDefault="001B0876" w:rsidP="00BD46B3">
      <w:pPr>
        <w:pStyle w:val="PanelPara"/>
      </w:pPr>
      <w:r>
        <w:t>The consultation makes the following comments specifically around funding for Fire and Rescue Authorities:</w:t>
      </w:r>
    </w:p>
    <w:p w14:paraId="25B8B82A" w14:textId="6A16E8EC" w:rsidR="001B0876" w:rsidRPr="001B0876" w:rsidRDefault="001B0876" w:rsidP="001B0876">
      <w:pPr>
        <w:pStyle w:val="PanelPara"/>
        <w:numPr>
          <w:ilvl w:val="0"/>
          <w:numId w:val="0"/>
        </w:numPr>
        <w:ind w:left="567"/>
        <w:rPr>
          <w:i/>
          <w:iCs/>
        </w:rPr>
      </w:pPr>
      <w:r w:rsidRPr="001B0876">
        <w:rPr>
          <w:i/>
          <w:iCs/>
        </w:rPr>
        <w:t>“</w:t>
      </w:r>
      <w:r w:rsidRPr="001B0876">
        <w:rPr>
          <w:b/>
          <w:bCs/>
          <w:i/>
          <w:iCs/>
        </w:rPr>
        <w:t>There is a strong rationale for retaining a bespoke formula for fire and rescue services.</w:t>
      </w:r>
      <w:r w:rsidRPr="001B0876">
        <w:rPr>
          <w:i/>
          <w:iCs/>
        </w:rPr>
        <w:t xml:space="preserve">  Fire and rescue services in England </w:t>
      </w:r>
      <w:proofErr w:type="gramStart"/>
      <w:r w:rsidRPr="001B0876">
        <w:rPr>
          <w:i/>
          <w:iCs/>
        </w:rPr>
        <w:t>include:</w:t>
      </w:r>
      <w:proofErr w:type="gramEnd"/>
      <w:r w:rsidRPr="001B0876">
        <w:rPr>
          <w:i/>
          <w:iCs/>
        </w:rPr>
        <w:t xml:space="preserve"> firefighting and rescue operations; community fire safety; and emergency planning and civil defence.  These services are carried out by stand-alone fire authorities in some areas, and by upper tier authorities in other areas.  This service </w:t>
      </w:r>
      <w:r w:rsidRPr="001B0876">
        <w:rPr>
          <w:i/>
          <w:iCs/>
        </w:rPr>
        <w:lastRenderedPageBreak/>
        <w:t>area is distinct as it takes account of risk as well as demand factors, which justifies taking a bespoke approach.</w:t>
      </w:r>
    </w:p>
    <w:p w14:paraId="63163D42" w14:textId="50E5066B" w:rsidR="001B0876" w:rsidRPr="001B0876" w:rsidRDefault="001B0876" w:rsidP="001B0876">
      <w:pPr>
        <w:pStyle w:val="PanelPara"/>
        <w:numPr>
          <w:ilvl w:val="0"/>
          <w:numId w:val="0"/>
        </w:numPr>
        <w:ind w:left="567"/>
        <w:rPr>
          <w:i/>
          <w:iCs/>
        </w:rPr>
      </w:pPr>
      <w:r w:rsidRPr="001B0876">
        <w:rPr>
          <w:b/>
          <w:bCs/>
          <w:i/>
          <w:iCs/>
        </w:rPr>
        <w:t>The government is considering updating the existing fire and rescue Relative Needs Formula.</w:t>
      </w:r>
      <w:r w:rsidRPr="001B0876">
        <w:rPr>
          <w:i/>
          <w:iCs/>
        </w:rPr>
        <w:t xml:space="preserve">  The current formula was last updated over a decade ago and used data which may no longer be reflective of the current need for some fire and rescue services.  It consists of a basic allocation of funding per resident, with adjustments for coastline, population density and sparsity, deprivation, fire risk areas and community fire safety.  These elements include both indicators of the risk of requiring a fire service response - such as the risk of dwelling fires occurring - and indicators of the cost of providing fire service cover, such as population sparsity. Funding for national resilience capabilities, including urban search and rescue and high-volume pumps, is distributed outside of the Settlement.”</w:t>
      </w:r>
    </w:p>
    <w:p w14:paraId="2AE7E2DD" w14:textId="0A332AF1" w:rsidR="00C03AB2" w:rsidRPr="00110C6F" w:rsidRDefault="00C03AB2" w:rsidP="00BD46B3">
      <w:pPr>
        <w:pStyle w:val="PanelPara"/>
      </w:pPr>
      <w:bookmarkStart w:id="6" w:name="_Hlk125206743"/>
      <w:r w:rsidRPr="00110C6F">
        <w:t xml:space="preserve">The graph below </w:t>
      </w:r>
      <w:r w:rsidR="007E4B11">
        <w:t>shows</w:t>
      </w:r>
      <w:r w:rsidRPr="00110C6F">
        <w:t xml:space="preserve"> </w:t>
      </w:r>
      <w:r w:rsidR="007E4B11">
        <w:t>the</w:t>
      </w:r>
      <w:r w:rsidRPr="00110C6F">
        <w:t xml:space="preserve"> population increase </w:t>
      </w:r>
      <w:r w:rsidR="007E4B11">
        <w:t xml:space="preserve">in Northamptonshire </w:t>
      </w:r>
      <w:r w:rsidRPr="00110C6F">
        <w:t>for the period 20</w:t>
      </w:r>
      <w:r w:rsidR="00110C6F" w:rsidRPr="00110C6F">
        <w:t>1</w:t>
      </w:r>
      <w:r w:rsidR="00853669">
        <w:t>2</w:t>
      </w:r>
      <w:r w:rsidRPr="00110C6F">
        <w:t xml:space="preserve"> to 202</w:t>
      </w:r>
      <w:r w:rsidR="00110C6F" w:rsidRPr="00110C6F">
        <w:t>3</w:t>
      </w:r>
      <w:r w:rsidR="007E4B11">
        <w:t xml:space="preserve"> compared to the whole of England</w:t>
      </w:r>
      <w:r w:rsidR="006A2693">
        <w:t>:</w:t>
      </w:r>
    </w:p>
    <w:p w14:paraId="296762D7" w14:textId="0EDBAD1D" w:rsidR="00DE46B4" w:rsidRPr="002C7D89" w:rsidRDefault="001B0876" w:rsidP="00B8603D">
      <w:pPr>
        <w:spacing w:line="240" w:lineRule="auto"/>
        <w:ind w:left="567"/>
        <w:jc w:val="both"/>
        <w:rPr>
          <w:rFonts w:ascii="Arial" w:hAnsi="Arial" w:cs="Arial"/>
          <w:i/>
          <w:sz w:val="18"/>
          <w:szCs w:val="18"/>
        </w:rPr>
      </w:pPr>
      <w:r w:rsidRPr="002C7D89">
        <w:rPr>
          <w:rFonts w:ascii="Arial" w:hAnsi="Arial" w:cs="Arial"/>
          <w:i/>
          <w:noProof/>
          <w:sz w:val="18"/>
          <w:szCs w:val="18"/>
        </w:rPr>
        <w:drawing>
          <wp:inline distT="0" distB="0" distL="0" distR="0" wp14:anchorId="5E263100" wp14:editId="756C8F7A">
            <wp:extent cx="5743575" cy="3630441"/>
            <wp:effectExtent l="0" t="0" r="0" b="8255"/>
            <wp:docPr id="2012542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0261" cy="3634667"/>
                    </a:xfrm>
                    <a:prstGeom prst="rect">
                      <a:avLst/>
                    </a:prstGeom>
                    <a:noFill/>
                  </pic:spPr>
                </pic:pic>
              </a:graphicData>
            </a:graphic>
          </wp:inline>
        </w:drawing>
      </w:r>
    </w:p>
    <w:p w14:paraId="7A52AC6A" w14:textId="77777777" w:rsidR="002C7D89" w:rsidRDefault="002C7D89" w:rsidP="002C7D89">
      <w:pPr>
        <w:spacing w:line="240" w:lineRule="auto"/>
        <w:ind w:firstLine="567"/>
        <w:jc w:val="both"/>
        <w:rPr>
          <w:rFonts w:ascii="Arial" w:hAnsi="Arial" w:cs="Arial"/>
          <w:i/>
          <w:sz w:val="18"/>
          <w:szCs w:val="18"/>
        </w:rPr>
      </w:pPr>
      <w:r w:rsidRPr="00C76FBD">
        <w:rPr>
          <w:rFonts w:ascii="Arial" w:hAnsi="Arial" w:cs="Arial"/>
          <w:i/>
          <w:sz w:val="18"/>
          <w:szCs w:val="18"/>
        </w:rPr>
        <w:t>Source: Mid-Year Population - Office of National Statistics</w:t>
      </w:r>
    </w:p>
    <w:p w14:paraId="5CB755A9" w14:textId="77777777" w:rsidR="002C7D89" w:rsidRPr="00C76FBD" w:rsidRDefault="002C7D89" w:rsidP="002C7D89">
      <w:pPr>
        <w:spacing w:line="240" w:lineRule="auto"/>
        <w:ind w:firstLine="567"/>
        <w:jc w:val="both"/>
        <w:rPr>
          <w:rFonts w:ascii="Arial" w:hAnsi="Arial" w:cs="Arial"/>
          <w:i/>
          <w:sz w:val="18"/>
          <w:szCs w:val="18"/>
        </w:rPr>
      </w:pPr>
    </w:p>
    <w:bookmarkEnd w:id="6"/>
    <w:p w14:paraId="198E26F9" w14:textId="38069D93" w:rsidR="0062547F" w:rsidRDefault="006A2693" w:rsidP="00BD46B3">
      <w:pPr>
        <w:pStyle w:val="PanelPara"/>
      </w:pPr>
      <w:r>
        <w:t>Likewise</w:t>
      </w:r>
      <w:r w:rsidR="0062547F">
        <w:t>, statistics provided as part of the local government settlement indicate the number of dwellings in Northamptonshire has increased by 1.2% since last year, compared to 0.8% on average for England.</w:t>
      </w:r>
    </w:p>
    <w:p w14:paraId="423A9A36" w14:textId="5B8B6B33" w:rsidR="00497F9F" w:rsidRPr="00B21DB4" w:rsidRDefault="00497F9F" w:rsidP="00BD46B3">
      <w:pPr>
        <w:pStyle w:val="PanelPara"/>
      </w:pPr>
      <w:r w:rsidRPr="00B21DB4">
        <w:t xml:space="preserve">Therefore, </w:t>
      </w:r>
      <w:r w:rsidR="00405417" w:rsidRPr="00B21DB4">
        <w:t xml:space="preserve">with a higher increase in population in Northamptonshire </w:t>
      </w:r>
      <w:r w:rsidR="00B82C60" w:rsidRPr="00B21DB4">
        <w:t xml:space="preserve">compared to </w:t>
      </w:r>
      <w:r w:rsidR="00405417" w:rsidRPr="00B21DB4">
        <w:t xml:space="preserve">national levels, the current formula does not reflect </w:t>
      </w:r>
      <w:r w:rsidR="00B21DB4" w:rsidRPr="00B21DB4">
        <w:t>current challenges</w:t>
      </w:r>
      <w:r w:rsidR="001B0876">
        <w:t xml:space="preserve"> and a refresh of the formula is supported and a </w:t>
      </w:r>
      <w:r w:rsidR="00C53510">
        <w:t xml:space="preserve">consolidated </w:t>
      </w:r>
      <w:r w:rsidR="001B0876">
        <w:t xml:space="preserve">response to the consultation has been submitted </w:t>
      </w:r>
      <w:r w:rsidR="00C53510">
        <w:t>by the NFCC on this basis</w:t>
      </w:r>
      <w:r w:rsidRPr="00B21DB4">
        <w:t>.</w:t>
      </w:r>
    </w:p>
    <w:p w14:paraId="27BD8D20" w14:textId="77777777" w:rsidR="006A2693" w:rsidRDefault="006A2693" w:rsidP="00B8603D"/>
    <w:p w14:paraId="7FB70D24" w14:textId="77777777" w:rsidR="002231A5" w:rsidRDefault="002231A5" w:rsidP="00B8603D"/>
    <w:p w14:paraId="47CEFC15" w14:textId="77777777" w:rsidR="002231A5" w:rsidRDefault="002231A5" w:rsidP="00B8603D"/>
    <w:p w14:paraId="042A79D9" w14:textId="77777777" w:rsidR="002231A5" w:rsidRDefault="002231A5" w:rsidP="00B8603D"/>
    <w:p w14:paraId="5EC5EEA0" w14:textId="70D7F421" w:rsidR="006E6D1C" w:rsidRPr="00B21DB4" w:rsidRDefault="00AF14E0" w:rsidP="00025636">
      <w:pPr>
        <w:pStyle w:val="PanelHeading"/>
      </w:pPr>
      <w:r w:rsidRPr="00B21DB4">
        <w:lastRenderedPageBreak/>
        <w:t>COUNCIL TAXBASE AND COUNCIL TAX PRECEPT INCOME</w:t>
      </w:r>
    </w:p>
    <w:p w14:paraId="14E5C168" w14:textId="5571A1D0" w:rsidR="00761925" w:rsidRPr="00B21DB4" w:rsidRDefault="00C81FD4" w:rsidP="00BD46B3">
      <w:pPr>
        <w:pStyle w:val="PanelPara"/>
      </w:pPr>
      <w:bookmarkStart w:id="7" w:name="_Hlk186540098"/>
      <w:r w:rsidRPr="00B21DB4">
        <w:t>The</w:t>
      </w:r>
      <w:r w:rsidR="006E6D1C" w:rsidRPr="00B21DB4">
        <w:t xml:space="preserve"> </w:t>
      </w:r>
      <w:r w:rsidR="006E0068" w:rsidRPr="00B21DB4">
        <w:t>Council Tax</w:t>
      </w:r>
      <w:r w:rsidR="006E6D1C" w:rsidRPr="00B21DB4">
        <w:t xml:space="preserve"> and the level of precept is a fundamental part of the </w:t>
      </w:r>
      <w:r w:rsidR="001638AD" w:rsidRPr="00B21DB4">
        <w:t xml:space="preserve">local government finance </w:t>
      </w:r>
      <w:r w:rsidR="006E6D1C" w:rsidRPr="00B21DB4">
        <w:t>settlement</w:t>
      </w:r>
      <w:r w:rsidR="00C03AB2" w:rsidRPr="00B21DB4">
        <w:t xml:space="preserve"> and </w:t>
      </w:r>
      <w:r w:rsidR="006E6D1C" w:rsidRPr="00B21DB4">
        <w:t xml:space="preserve">depends on both the level of the </w:t>
      </w:r>
      <w:r w:rsidR="007C15B8">
        <w:t>B</w:t>
      </w:r>
      <w:r w:rsidR="00CF5D71" w:rsidRPr="00B21DB4">
        <w:t xml:space="preserve">and D </w:t>
      </w:r>
      <w:r w:rsidR="006E6D1C" w:rsidRPr="00B21DB4">
        <w:t xml:space="preserve">precept and the taxbase – the latter being the number of properties </w:t>
      </w:r>
      <w:r w:rsidR="006A2693">
        <w:t>expected</w:t>
      </w:r>
      <w:r w:rsidR="006E6D1C" w:rsidRPr="00B21DB4">
        <w:t xml:space="preserve"> to pay</w:t>
      </w:r>
      <w:r w:rsidR="002B586C" w:rsidRPr="00B21DB4">
        <w:t xml:space="preserve"> c</w:t>
      </w:r>
      <w:r w:rsidR="006E0068" w:rsidRPr="00B21DB4">
        <w:t xml:space="preserve">ouncil </w:t>
      </w:r>
      <w:r w:rsidR="00C03AB2" w:rsidRPr="00B21DB4">
        <w:t>t</w:t>
      </w:r>
      <w:r w:rsidR="006E0068" w:rsidRPr="00B21DB4">
        <w:t>ax</w:t>
      </w:r>
      <w:r w:rsidR="006E6D1C" w:rsidRPr="00B21DB4">
        <w:t>.</w:t>
      </w:r>
    </w:p>
    <w:bookmarkEnd w:id="7"/>
    <w:p w14:paraId="22AB812F" w14:textId="13368C70" w:rsidR="00761925" w:rsidRPr="00AF14E0" w:rsidRDefault="00761925" w:rsidP="00BD46B3">
      <w:pPr>
        <w:pStyle w:val="PanelPara"/>
      </w:pPr>
      <w:r w:rsidRPr="00AF14E0">
        <w:t xml:space="preserve">In Fire, the precept </w:t>
      </w:r>
      <w:r w:rsidR="00800DD8" w:rsidRPr="00AF14E0">
        <w:t xml:space="preserve">and the surplus on the collection fund </w:t>
      </w:r>
      <w:r w:rsidRPr="00AF14E0">
        <w:t xml:space="preserve">accounts for </w:t>
      </w:r>
      <w:r w:rsidR="00800DD8" w:rsidRPr="00AF14E0">
        <w:t>around</w:t>
      </w:r>
      <w:r w:rsidRPr="00AF14E0">
        <w:t xml:space="preserve"> 6</w:t>
      </w:r>
      <w:r w:rsidR="00C03AB2" w:rsidRPr="00AF14E0">
        <w:t>3</w:t>
      </w:r>
      <w:r w:rsidRPr="00AF14E0">
        <w:t xml:space="preserve">% of funding, </w:t>
      </w:r>
      <w:r w:rsidR="00C03AB2" w:rsidRPr="00AF14E0">
        <w:t>so</w:t>
      </w:r>
      <w:r w:rsidRPr="00AF14E0">
        <w:t xml:space="preserve"> any variations can </w:t>
      </w:r>
      <w:r w:rsidR="004E3993" w:rsidRPr="00AF14E0">
        <w:t xml:space="preserve">have </w:t>
      </w:r>
      <w:r w:rsidR="00707614" w:rsidRPr="00AF14E0">
        <w:t>a significant impact.</w:t>
      </w:r>
    </w:p>
    <w:p w14:paraId="3158C3E9" w14:textId="77777777" w:rsidR="00485C52" w:rsidRDefault="00485C52" w:rsidP="00BD46B3">
      <w:pPr>
        <w:pStyle w:val="PanelPara"/>
      </w:pPr>
      <w:r w:rsidRPr="002D49E8">
        <w:t>Both unitary councils have advised the PFCC of their proposed taxbases for 2025/26.  A comparison of the 2024/25 and 2025/26 figures reflects an average 2.02% taxbase increase (compared to 0.85% in 2024/25) as follows:</w:t>
      </w:r>
    </w:p>
    <w:tbl>
      <w:tblPr>
        <w:tblW w:w="7440" w:type="dxa"/>
        <w:tblInd w:w="562" w:type="dxa"/>
        <w:tblLook w:val="04A0" w:firstRow="1" w:lastRow="0" w:firstColumn="1" w:lastColumn="0" w:noHBand="0" w:noVBand="1"/>
      </w:tblPr>
      <w:tblGrid>
        <w:gridCol w:w="1600"/>
        <w:gridCol w:w="1460"/>
        <w:gridCol w:w="1460"/>
        <w:gridCol w:w="1460"/>
        <w:gridCol w:w="1460"/>
      </w:tblGrid>
      <w:tr w:rsidR="00485C52" w:rsidRPr="00485C52" w14:paraId="0CC6BEDC" w14:textId="77777777" w:rsidTr="00485C52">
        <w:trPr>
          <w:trHeight w:val="630"/>
        </w:trPr>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E9F0D7" w14:textId="77777777" w:rsidR="00485C52" w:rsidRPr="00485C52" w:rsidRDefault="00485C52" w:rsidP="00485C52">
            <w:pPr>
              <w:spacing w:line="240" w:lineRule="auto"/>
              <w:rPr>
                <w:rFonts w:eastAsia="Times New Roman" w:cs="Calibri"/>
                <w:b/>
                <w:bCs/>
                <w:color w:val="000000"/>
                <w:sz w:val="24"/>
                <w:szCs w:val="24"/>
                <w:lang w:eastAsia="en-GB"/>
              </w:rPr>
            </w:pPr>
            <w:r w:rsidRPr="00485C52">
              <w:rPr>
                <w:rFonts w:eastAsia="Times New Roman" w:cs="Calibri"/>
                <w:b/>
                <w:bCs/>
                <w:color w:val="000000"/>
                <w:sz w:val="24"/>
                <w:szCs w:val="24"/>
                <w:lang w:eastAsia="en-GB"/>
              </w:rPr>
              <w:t>Authority</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4AC927DE" w14:textId="77777777" w:rsidR="00485C52" w:rsidRPr="00485C52" w:rsidRDefault="00485C52" w:rsidP="00485C52">
            <w:pPr>
              <w:spacing w:line="240" w:lineRule="auto"/>
              <w:jc w:val="center"/>
              <w:rPr>
                <w:rFonts w:eastAsia="Times New Roman" w:cs="Calibri"/>
                <w:b/>
                <w:bCs/>
                <w:color w:val="000000"/>
                <w:sz w:val="24"/>
                <w:szCs w:val="24"/>
                <w:lang w:eastAsia="en-GB"/>
              </w:rPr>
            </w:pPr>
            <w:r w:rsidRPr="00485C52">
              <w:rPr>
                <w:rFonts w:eastAsia="Times New Roman" w:cs="Calibri"/>
                <w:b/>
                <w:bCs/>
                <w:color w:val="000000"/>
                <w:sz w:val="24"/>
                <w:szCs w:val="24"/>
                <w:lang w:eastAsia="en-GB"/>
              </w:rPr>
              <w:t>2024/25</w:t>
            </w:r>
            <w:r w:rsidRPr="00485C52">
              <w:rPr>
                <w:rFonts w:eastAsia="Times New Roman" w:cs="Calibri"/>
                <w:b/>
                <w:bCs/>
                <w:color w:val="000000"/>
                <w:sz w:val="24"/>
                <w:szCs w:val="24"/>
                <w:lang w:eastAsia="en-GB"/>
              </w:rPr>
              <w:br/>
              <w:t>(number)</w:t>
            </w:r>
          </w:p>
        </w:tc>
        <w:tc>
          <w:tcPr>
            <w:tcW w:w="1460" w:type="dxa"/>
            <w:tcBorders>
              <w:top w:val="single" w:sz="4" w:space="0" w:color="auto"/>
              <w:left w:val="nil"/>
              <w:bottom w:val="single" w:sz="4" w:space="0" w:color="auto"/>
              <w:right w:val="single" w:sz="4" w:space="0" w:color="auto"/>
            </w:tcBorders>
            <w:shd w:val="clear" w:color="000000" w:fill="FFDDDD"/>
            <w:vAlign w:val="center"/>
            <w:hideMark/>
          </w:tcPr>
          <w:p w14:paraId="220B5F98" w14:textId="77777777" w:rsidR="00485C52" w:rsidRPr="00485C52" w:rsidRDefault="00485C52" w:rsidP="00485C52">
            <w:pPr>
              <w:spacing w:line="240" w:lineRule="auto"/>
              <w:jc w:val="center"/>
              <w:rPr>
                <w:rFonts w:eastAsia="Times New Roman" w:cs="Calibri"/>
                <w:b/>
                <w:bCs/>
                <w:color w:val="000000"/>
                <w:sz w:val="24"/>
                <w:szCs w:val="24"/>
                <w:lang w:eastAsia="en-GB"/>
              </w:rPr>
            </w:pPr>
            <w:r w:rsidRPr="00485C52">
              <w:rPr>
                <w:rFonts w:eastAsia="Times New Roman" w:cs="Calibri"/>
                <w:b/>
                <w:bCs/>
                <w:color w:val="000000"/>
                <w:sz w:val="24"/>
                <w:szCs w:val="24"/>
                <w:lang w:eastAsia="en-GB"/>
              </w:rPr>
              <w:t>2025/26</w:t>
            </w:r>
            <w:r w:rsidRPr="00485C52">
              <w:rPr>
                <w:rFonts w:eastAsia="Times New Roman" w:cs="Calibri"/>
                <w:b/>
                <w:bCs/>
                <w:color w:val="000000"/>
                <w:sz w:val="24"/>
                <w:szCs w:val="24"/>
                <w:lang w:eastAsia="en-GB"/>
              </w:rPr>
              <w:br/>
              <w:t>(number)</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295F0BEF" w14:textId="77777777" w:rsidR="00485C52" w:rsidRPr="00485C52" w:rsidRDefault="00485C52" w:rsidP="00485C52">
            <w:pPr>
              <w:spacing w:line="240" w:lineRule="auto"/>
              <w:jc w:val="center"/>
              <w:rPr>
                <w:rFonts w:eastAsia="Times New Roman" w:cs="Calibri"/>
                <w:b/>
                <w:bCs/>
                <w:color w:val="000000"/>
                <w:sz w:val="24"/>
                <w:szCs w:val="24"/>
                <w:lang w:eastAsia="en-GB"/>
              </w:rPr>
            </w:pPr>
            <w:r w:rsidRPr="00485C52">
              <w:rPr>
                <w:rFonts w:eastAsia="Times New Roman" w:cs="Calibri"/>
                <w:b/>
                <w:bCs/>
                <w:color w:val="000000"/>
                <w:sz w:val="24"/>
                <w:szCs w:val="24"/>
                <w:lang w:eastAsia="en-GB"/>
              </w:rPr>
              <w:t>Increase</w:t>
            </w:r>
            <w:r w:rsidRPr="00485C52">
              <w:rPr>
                <w:rFonts w:eastAsia="Times New Roman" w:cs="Calibri"/>
                <w:b/>
                <w:bCs/>
                <w:color w:val="000000"/>
                <w:sz w:val="24"/>
                <w:szCs w:val="24"/>
                <w:lang w:eastAsia="en-GB"/>
              </w:rPr>
              <w:br/>
              <w:t>(number)</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3E598EC4" w14:textId="77777777" w:rsidR="00485C52" w:rsidRPr="00485C52" w:rsidRDefault="00485C52" w:rsidP="00485C52">
            <w:pPr>
              <w:spacing w:line="240" w:lineRule="auto"/>
              <w:jc w:val="center"/>
              <w:rPr>
                <w:rFonts w:eastAsia="Times New Roman" w:cs="Calibri"/>
                <w:b/>
                <w:bCs/>
                <w:color w:val="000000"/>
                <w:sz w:val="24"/>
                <w:szCs w:val="24"/>
                <w:lang w:eastAsia="en-GB"/>
              </w:rPr>
            </w:pPr>
            <w:r w:rsidRPr="00485C52">
              <w:rPr>
                <w:rFonts w:eastAsia="Times New Roman" w:cs="Calibri"/>
                <w:b/>
                <w:bCs/>
                <w:color w:val="000000"/>
                <w:sz w:val="24"/>
                <w:szCs w:val="24"/>
                <w:lang w:eastAsia="en-GB"/>
              </w:rPr>
              <w:t>Increase</w:t>
            </w:r>
            <w:r w:rsidRPr="00485C52">
              <w:rPr>
                <w:rFonts w:eastAsia="Times New Roman" w:cs="Calibri"/>
                <w:b/>
                <w:bCs/>
                <w:color w:val="000000"/>
                <w:sz w:val="24"/>
                <w:szCs w:val="24"/>
                <w:lang w:eastAsia="en-GB"/>
              </w:rPr>
              <w:br/>
              <w:t>%</w:t>
            </w:r>
          </w:p>
        </w:tc>
      </w:tr>
      <w:tr w:rsidR="00485C52" w:rsidRPr="00485C52" w14:paraId="6EAB0EF4" w14:textId="77777777" w:rsidTr="00485C52">
        <w:trPr>
          <w:trHeight w:val="315"/>
        </w:trPr>
        <w:tc>
          <w:tcPr>
            <w:tcW w:w="1600" w:type="dxa"/>
            <w:tcBorders>
              <w:top w:val="nil"/>
              <w:left w:val="single" w:sz="4" w:space="0" w:color="auto"/>
              <w:bottom w:val="nil"/>
              <w:right w:val="single" w:sz="4" w:space="0" w:color="auto"/>
            </w:tcBorders>
            <w:shd w:val="clear" w:color="000000" w:fill="FFFFFF"/>
            <w:noWrap/>
            <w:vAlign w:val="bottom"/>
            <w:hideMark/>
          </w:tcPr>
          <w:p w14:paraId="3F94C69A" w14:textId="77777777" w:rsidR="00485C52" w:rsidRPr="00485C52" w:rsidRDefault="00485C52" w:rsidP="00485C52">
            <w:pPr>
              <w:spacing w:line="240" w:lineRule="auto"/>
              <w:rPr>
                <w:rFonts w:eastAsia="Times New Roman" w:cs="Calibri"/>
                <w:color w:val="000000"/>
                <w:sz w:val="24"/>
                <w:szCs w:val="24"/>
                <w:lang w:eastAsia="en-GB"/>
              </w:rPr>
            </w:pPr>
            <w:r w:rsidRPr="00485C52">
              <w:rPr>
                <w:rFonts w:eastAsia="Times New Roman" w:cs="Calibri"/>
                <w:color w:val="000000"/>
                <w:sz w:val="24"/>
                <w:szCs w:val="24"/>
                <w:lang w:eastAsia="en-GB"/>
              </w:rPr>
              <w:t>North</w:t>
            </w:r>
          </w:p>
        </w:tc>
        <w:tc>
          <w:tcPr>
            <w:tcW w:w="1460" w:type="dxa"/>
            <w:tcBorders>
              <w:top w:val="nil"/>
              <w:left w:val="nil"/>
              <w:bottom w:val="nil"/>
              <w:right w:val="single" w:sz="4" w:space="0" w:color="auto"/>
            </w:tcBorders>
            <w:shd w:val="clear" w:color="000000" w:fill="FFFFFF"/>
            <w:noWrap/>
            <w:vAlign w:val="bottom"/>
            <w:hideMark/>
          </w:tcPr>
          <w:p w14:paraId="4993E321"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115,847.00</w:t>
            </w:r>
          </w:p>
        </w:tc>
        <w:tc>
          <w:tcPr>
            <w:tcW w:w="1460" w:type="dxa"/>
            <w:tcBorders>
              <w:top w:val="nil"/>
              <w:left w:val="nil"/>
              <w:bottom w:val="nil"/>
              <w:right w:val="single" w:sz="4" w:space="0" w:color="auto"/>
            </w:tcBorders>
            <w:shd w:val="clear" w:color="000000" w:fill="FFDDDD"/>
            <w:noWrap/>
            <w:vAlign w:val="bottom"/>
            <w:hideMark/>
          </w:tcPr>
          <w:p w14:paraId="497D3304"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117,585.00</w:t>
            </w:r>
          </w:p>
        </w:tc>
        <w:tc>
          <w:tcPr>
            <w:tcW w:w="1460" w:type="dxa"/>
            <w:tcBorders>
              <w:top w:val="nil"/>
              <w:left w:val="nil"/>
              <w:bottom w:val="nil"/>
              <w:right w:val="single" w:sz="4" w:space="0" w:color="auto"/>
            </w:tcBorders>
            <w:shd w:val="clear" w:color="000000" w:fill="FFFFFF"/>
            <w:noWrap/>
            <w:vAlign w:val="bottom"/>
            <w:hideMark/>
          </w:tcPr>
          <w:p w14:paraId="631B0BF9"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1,738.00</w:t>
            </w:r>
          </w:p>
        </w:tc>
        <w:tc>
          <w:tcPr>
            <w:tcW w:w="1460" w:type="dxa"/>
            <w:tcBorders>
              <w:top w:val="nil"/>
              <w:left w:val="nil"/>
              <w:bottom w:val="nil"/>
              <w:right w:val="single" w:sz="4" w:space="0" w:color="auto"/>
            </w:tcBorders>
            <w:shd w:val="clear" w:color="000000" w:fill="FFFFFF"/>
            <w:noWrap/>
            <w:vAlign w:val="bottom"/>
            <w:hideMark/>
          </w:tcPr>
          <w:p w14:paraId="1FA74266"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1.50%</w:t>
            </w:r>
          </w:p>
        </w:tc>
      </w:tr>
      <w:tr w:rsidR="00485C52" w:rsidRPr="00485C52" w14:paraId="707521A9" w14:textId="77777777" w:rsidTr="00485C52">
        <w:trPr>
          <w:trHeight w:val="315"/>
        </w:trPr>
        <w:tc>
          <w:tcPr>
            <w:tcW w:w="1600" w:type="dxa"/>
            <w:tcBorders>
              <w:top w:val="nil"/>
              <w:left w:val="single" w:sz="4" w:space="0" w:color="auto"/>
              <w:bottom w:val="nil"/>
              <w:right w:val="single" w:sz="4" w:space="0" w:color="auto"/>
            </w:tcBorders>
            <w:shd w:val="clear" w:color="000000" w:fill="FFFFFF"/>
            <w:noWrap/>
            <w:vAlign w:val="bottom"/>
            <w:hideMark/>
          </w:tcPr>
          <w:p w14:paraId="3369A6EB" w14:textId="77777777" w:rsidR="00485C52" w:rsidRPr="00485C52" w:rsidRDefault="00485C52" w:rsidP="00485C52">
            <w:pPr>
              <w:spacing w:line="240" w:lineRule="auto"/>
              <w:rPr>
                <w:rFonts w:eastAsia="Times New Roman" w:cs="Calibri"/>
                <w:color w:val="000000"/>
                <w:sz w:val="24"/>
                <w:szCs w:val="24"/>
                <w:lang w:eastAsia="en-GB"/>
              </w:rPr>
            </w:pPr>
            <w:r w:rsidRPr="00485C52">
              <w:rPr>
                <w:rFonts w:eastAsia="Times New Roman" w:cs="Calibri"/>
                <w:color w:val="000000"/>
                <w:sz w:val="24"/>
                <w:szCs w:val="24"/>
                <w:lang w:eastAsia="en-GB"/>
              </w:rPr>
              <w:t>West</w:t>
            </w:r>
          </w:p>
        </w:tc>
        <w:tc>
          <w:tcPr>
            <w:tcW w:w="1460" w:type="dxa"/>
            <w:tcBorders>
              <w:top w:val="nil"/>
              <w:left w:val="nil"/>
              <w:bottom w:val="nil"/>
              <w:right w:val="single" w:sz="4" w:space="0" w:color="auto"/>
            </w:tcBorders>
            <w:shd w:val="clear" w:color="000000" w:fill="FFFFFF"/>
            <w:noWrap/>
            <w:vAlign w:val="bottom"/>
            <w:hideMark/>
          </w:tcPr>
          <w:p w14:paraId="77355E02"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142,664.60</w:t>
            </w:r>
          </w:p>
        </w:tc>
        <w:tc>
          <w:tcPr>
            <w:tcW w:w="1460" w:type="dxa"/>
            <w:tcBorders>
              <w:top w:val="nil"/>
              <w:left w:val="nil"/>
              <w:bottom w:val="nil"/>
              <w:right w:val="single" w:sz="4" w:space="0" w:color="auto"/>
            </w:tcBorders>
            <w:shd w:val="clear" w:color="000000" w:fill="FFDDDD"/>
            <w:noWrap/>
            <w:vAlign w:val="bottom"/>
            <w:hideMark/>
          </w:tcPr>
          <w:p w14:paraId="55646E5B"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146,150.30</w:t>
            </w:r>
          </w:p>
        </w:tc>
        <w:tc>
          <w:tcPr>
            <w:tcW w:w="1460" w:type="dxa"/>
            <w:tcBorders>
              <w:top w:val="nil"/>
              <w:left w:val="nil"/>
              <w:bottom w:val="nil"/>
              <w:right w:val="single" w:sz="4" w:space="0" w:color="auto"/>
            </w:tcBorders>
            <w:shd w:val="clear" w:color="000000" w:fill="FFFFFF"/>
            <w:noWrap/>
            <w:vAlign w:val="bottom"/>
            <w:hideMark/>
          </w:tcPr>
          <w:p w14:paraId="08EA8E2D"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3,485.70</w:t>
            </w:r>
          </w:p>
        </w:tc>
        <w:tc>
          <w:tcPr>
            <w:tcW w:w="1460" w:type="dxa"/>
            <w:tcBorders>
              <w:top w:val="nil"/>
              <w:left w:val="nil"/>
              <w:bottom w:val="nil"/>
              <w:right w:val="single" w:sz="4" w:space="0" w:color="auto"/>
            </w:tcBorders>
            <w:shd w:val="clear" w:color="000000" w:fill="FFFFFF"/>
            <w:noWrap/>
            <w:vAlign w:val="bottom"/>
            <w:hideMark/>
          </w:tcPr>
          <w:p w14:paraId="295D0427"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2.44%</w:t>
            </w:r>
          </w:p>
        </w:tc>
      </w:tr>
      <w:tr w:rsidR="00485C52" w:rsidRPr="00485C52" w14:paraId="4A7BD57C" w14:textId="77777777" w:rsidTr="00485C52">
        <w:trPr>
          <w:trHeight w:val="315"/>
        </w:trPr>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9933E6" w14:textId="77777777" w:rsidR="00485C52" w:rsidRPr="00485C52" w:rsidRDefault="00485C52" w:rsidP="00485C52">
            <w:pPr>
              <w:spacing w:line="240" w:lineRule="auto"/>
              <w:rPr>
                <w:rFonts w:eastAsia="Times New Roman" w:cs="Calibri"/>
                <w:b/>
                <w:bCs/>
                <w:color w:val="000000"/>
                <w:sz w:val="24"/>
                <w:szCs w:val="24"/>
                <w:lang w:eastAsia="en-GB"/>
              </w:rPr>
            </w:pPr>
            <w:r w:rsidRPr="00485C52">
              <w:rPr>
                <w:rFonts w:eastAsia="Times New Roman" w:cs="Calibri"/>
                <w:b/>
                <w:bCs/>
                <w:color w:val="000000"/>
                <w:sz w:val="24"/>
                <w:szCs w:val="24"/>
                <w:lang w:eastAsia="en-GB"/>
              </w:rPr>
              <w:t>TOTAL</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0868E0CA" w14:textId="77777777" w:rsidR="00485C52" w:rsidRPr="00485C52" w:rsidRDefault="00485C52" w:rsidP="00485C52">
            <w:pPr>
              <w:spacing w:line="240" w:lineRule="auto"/>
              <w:jc w:val="right"/>
              <w:rPr>
                <w:rFonts w:eastAsia="Times New Roman" w:cs="Calibri"/>
                <w:b/>
                <w:bCs/>
                <w:color w:val="000000"/>
                <w:sz w:val="24"/>
                <w:szCs w:val="24"/>
                <w:lang w:eastAsia="en-GB"/>
              </w:rPr>
            </w:pPr>
            <w:r w:rsidRPr="00485C52">
              <w:rPr>
                <w:rFonts w:eastAsia="Times New Roman" w:cs="Calibri"/>
                <w:b/>
                <w:bCs/>
                <w:color w:val="000000"/>
                <w:sz w:val="24"/>
                <w:szCs w:val="24"/>
                <w:lang w:eastAsia="en-GB"/>
              </w:rPr>
              <w:t>258,511.60</w:t>
            </w:r>
          </w:p>
        </w:tc>
        <w:tc>
          <w:tcPr>
            <w:tcW w:w="1460" w:type="dxa"/>
            <w:tcBorders>
              <w:top w:val="single" w:sz="4" w:space="0" w:color="auto"/>
              <w:left w:val="nil"/>
              <w:bottom w:val="single" w:sz="4" w:space="0" w:color="auto"/>
              <w:right w:val="single" w:sz="4" w:space="0" w:color="auto"/>
            </w:tcBorders>
            <w:shd w:val="clear" w:color="000000" w:fill="FFDDDD"/>
            <w:noWrap/>
            <w:vAlign w:val="bottom"/>
            <w:hideMark/>
          </w:tcPr>
          <w:p w14:paraId="3A845DE1" w14:textId="77777777" w:rsidR="00485C52" w:rsidRPr="00485C52" w:rsidRDefault="00485C52" w:rsidP="00485C52">
            <w:pPr>
              <w:spacing w:line="240" w:lineRule="auto"/>
              <w:jc w:val="right"/>
              <w:rPr>
                <w:rFonts w:eastAsia="Times New Roman" w:cs="Calibri"/>
                <w:b/>
                <w:bCs/>
                <w:color w:val="000000"/>
                <w:sz w:val="24"/>
                <w:szCs w:val="24"/>
                <w:lang w:eastAsia="en-GB"/>
              </w:rPr>
            </w:pPr>
            <w:r w:rsidRPr="00485C52">
              <w:rPr>
                <w:rFonts w:eastAsia="Times New Roman" w:cs="Calibri"/>
                <w:b/>
                <w:bCs/>
                <w:color w:val="000000"/>
                <w:sz w:val="24"/>
                <w:szCs w:val="24"/>
                <w:lang w:eastAsia="en-GB"/>
              </w:rPr>
              <w:t>263,735.30</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031258EF" w14:textId="77777777" w:rsidR="00485C52" w:rsidRPr="00485C52" w:rsidRDefault="00485C52" w:rsidP="00485C52">
            <w:pPr>
              <w:spacing w:line="240" w:lineRule="auto"/>
              <w:jc w:val="right"/>
              <w:rPr>
                <w:rFonts w:eastAsia="Times New Roman" w:cs="Calibri"/>
                <w:b/>
                <w:bCs/>
                <w:color w:val="000000"/>
                <w:sz w:val="24"/>
                <w:szCs w:val="24"/>
                <w:lang w:eastAsia="en-GB"/>
              </w:rPr>
            </w:pPr>
            <w:r w:rsidRPr="00485C52">
              <w:rPr>
                <w:rFonts w:eastAsia="Times New Roman" w:cs="Calibri"/>
                <w:b/>
                <w:bCs/>
                <w:color w:val="000000"/>
                <w:sz w:val="24"/>
                <w:szCs w:val="24"/>
                <w:lang w:eastAsia="en-GB"/>
              </w:rPr>
              <w:t>5,223.70</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71EA7448" w14:textId="77777777" w:rsidR="00485C52" w:rsidRPr="00485C52" w:rsidRDefault="00485C52" w:rsidP="00485C52">
            <w:pPr>
              <w:spacing w:line="240" w:lineRule="auto"/>
              <w:jc w:val="right"/>
              <w:rPr>
                <w:rFonts w:eastAsia="Times New Roman" w:cs="Calibri"/>
                <w:b/>
                <w:bCs/>
                <w:color w:val="000000"/>
                <w:sz w:val="24"/>
                <w:szCs w:val="24"/>
                <w:lang w:eastAsia="en-GB"/>
              </w:rPr>
            </w:pPr>
            <w:r w:rsidRPr="00485C52">
              <w:rPr>
                <w:rFonts w:eastAsia="Times New Roman" w:cs="Calibri"/>
                <w:b/>
                <w:bCs/>
                <w:color w:val="000000"/>
                <w:sz w:val="24"/>
                <w:szCs w:val="24"/>
                <w:lang w:eastAsia="en-GB"/>
              </w:rPr>
              <w:t>2.02%</w:t>
            </w:r>
          </w:p>
        </w:tc>
      </w:tr>
    </w:tbl>
    <w:p w14:paraId="2D480585" w14:textId="1B79038B" w:rsidR="00003EF6" w:rsidRPr="00450555" w:rsidRDefault="00003EF6" w:rsidP="00567F73">
      <w:pPr>
        <w:pStyle w:val="ListParagraph"/>
        <w:spacing w:line="240" w:lineRule="auto"/>
        <w:ind w:left="1418" w:hanging="851"/>
        <w:jc w:val="both"/>
        <w:rPr>
          <w:rFonts w:ascii="Arial" w:hAnsi="Arial" w:cs="Arial"/>
          <w:highlight w:val="yellow"/>
          <w:lang w:eastAsia="en-GB"/>
        </w:rPr>
      </w:pPr>
    </w:p>
    <w:p w14:paraId="40593848" w14:textId="77777777" w:rsidR="00485C52" w:rsidRPr="002D49E8" w:rsidRDefault="00485C52" w:rsidP="00BD46B3">
      <w:pPr>
        <w:pStyle w:val="PanelPara"/>
      </w:pPr>
      <w:r w:rsidRPr="002D49E8">
        <w:t xml:space="preserve">The MTFP assumes average but prudent increases in the taxbase and the s151 officers will continue to link in with West Northamptonshire and North Northamptonshire finance colleagues to ensure future forecasts align. </w:t>
      </w:r>
    </w:p>
    <w:p w14:paraId="029C9E95" w14:textId="77777777" w:rsidR="00485C52" w:rsidRPr="002D49E8" w:rsidRDefault="00485C52" w:rsidP="00BD46B3">
      <w:pPr>
        <w:pStyle w:val="PanelPara"/>
      </w:pPr>
      <w:r w:rsidRPr="002D49E8">
        <w:t>Total precept funding is a combination of the tax base and precept increase as follows:</w:t>
      </w:r>
    </w:p>
    <w:tbl>
      <w:tblPr>
        <w:tblW w:w="5640" w:type="dxa"/>
        <w:tblInd w:w="562" w:type="dxa"/>
        <w:tblLook w:val="04A0" w:firstRow="1" w:lastRow="0" w:firstColumn="1" w:lastColumn="0" w:noHBand="0" w:noVBand="1"/>
      </w:tblPr>
      <w:tblGrid>
        <w:gridCol w:w="1420"/>
        <w:gridCol w:w="2800"/>
        <w:gridCol w:w="1420"/>
      </w:tblGrid>
      <w:tr w:rsidR="00485C52" w:rsidRPr="00485C52" w14:paraId="42552DB5" w14:textId="77777777" w:rsidTr="00485C52">
        <w:trPr>
          <w:trHeight w:val="630"/>
        </w:trPr>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0DF18F" w14:textId="77777777" w:rsidR="00485C52" w:rsidRPr="00485C52" w:rsidRDefault="00485C52" w:rsidP="00485C52">
            <w:pPr>
              <w:spacing w:line="240" w:lineRule="auto"/>
              <w:jc w:val="center"/>
              <w:rPr>
                <w:rFonts w:eastAsia="Times New Roman" w:cs="Calibri"/>
                <w:b/>
                <w:bCs/>
                <w:color w:val="000000"/>
                <w:sz w:val="24"/>
                <w:szCs w:val="24"/>
                <w:lang w:eastAsia="en-GB"/>
              </w:rPr>
            </w:pPr>
            <w:r w:rsidRPr="00485C52">
              <w:rPr>
                <w:rFonts w:eastAsia="Times New Roman" w:cs="Calibri"/>
                <w:b/>
                <w:bCs/>
                <w:color w:val="000000"/>
                <w:sz w:val="24"/>
                <w:szCs w:val="24"/>
                <w:lang w:eastAsia="en-GB"/>
              </w:rPr>
              <w:t>2024/25</w:t>
            </w:r>
            <w:r w:rsidRPr="00485C52">
              <w:rPr>
                <w:rFonts w:eastAsia="Times New Roman" w:cs="Calibri"/>
                <w:b/>
                <w:bCs/>
                <w:color w:val="000000"/>
                <w:sz w:val="24"/>
                <w:szCs w:val="24"/>
                <w:lang w:eastAsia="en-GB"/>
              </w:rPr>
              <w:br/>
              <w:t>£</w:t>
            </w:r>
          </w:p>
        </w:tc>
        <w:tc>
          <w:tcPr>
            <w:tcW w:w="2800" w:type="dxa"/>
            <w:tcBorders>
              <w:top w:val="single" w:sz="4" w:space="0" w:color="auto"/>
              <w:left w:val="nil"/>
              <w:bottom w:val="single" w:sz="4" w:space="0" w:color="auto"/>
              <w:right w:val="single" w:sz="4" w:space="0" w:color="auto"/>
            </w:tcBorders>
            <w:shd w:val="clear" w:color="000000" w:fill="FFFFFF"/>
            <w:vAlign w:val="center"/>
            <w:hideMark/>
          </w:tcPr>
          <w:p w14:paraId="65F8D084" w14:textId="77777777" w:rsidR="00485C52" w:rsidRPr="00485C52" w:rsidRDefault="00485C52" w:rsidP="00485C52">
            <w:pPr>
              <w:spacing w:line="240" w:lineRule="auto"/>
              <w:jc w:val="center"/>
              <w:rPr>
                <w:rFonts w:eastAsia="Times New Roman" w:cs="Calibri"/>
                <w:b/>
                <w:bCs/>
                <w:color w:val="000000"/>
                <w:sz w:val="24"/>
                <w:szCs w:val="24"/>
                <w:lang w:eastAsia="en-GB"/>
              </w:rPr>
            </w:pPr>
            <w:r w:rsidRPr="00485C52">
              <w:rPr>
                <w:rFonts w:eastAsia="Times New Roman" w:cs="Calibri"/>
                <w:b/>
                <w:bCs/>
                <w:color w:val="000000"/>
                <w:sz w:val="24"/>
                <w:szCs w:val="24"/>
                <w:lang w:eastAsia="en-GB"/>
              </w:rPr>
              <w:t> </w:t>
            </w:r>
          </w:p>
        </w:tc>
        <w:tc>
          <w:tcPr>
            <w:tcW w:w="1420" w:type="dxa"/>
            <w:tcBorders>
              <w:top w:val="single" w:sz="4" w:space="0" w:color="auto"/>
              <w:left w:val="nil"/>
              <w:bottom w:val="single" w:sz="4" w:space="0" w:color="auto"/>
              <w:right w:val="single" w:sz="4" w:space="0" w:color="auto"/>
            </w:tcBorders>
            <w:shd w:val="clear" w:color="000000" w:fill="FFDDDD"/>
            <w:vAlign w:val="center"/>
            <w:hideMark/>
          </w:tcPr>
          <w:p w14:paraId="1564426E" w14:textId="77777777" w:rsidR="00485C52" w:rsidRPr="00485C52" w:rsidRDefault="00485C52" w:rsidP="00485C52">
            <w:pPr>
              <w:spacing w:line="240" w:lineRule="auto"/>
              <w:jc w:val="center"/>
              <w:rPr>
                <w:rFonts w:eastAsia="Times New Roman" w:cs="Calibri"/>
                <w:b/>
                <w:bCs/>
                <w:color w:val="000000"/>
                <w:sz w:val="24"/>
                <w:szCs w:val="24"/>
                <w:lang w:eastAsia="en-GB"/>
              </w:rPr>
            </w:pPr>
            <w:r w:rsidRPr="00485C52">
              <w:rPr>
                <w:rFonts w:eastAsia="Times New Roman" w:cs="Calibri"/>
                <w:b/>
                <w:bCs/>
                <w:color w:val="000000"/>
                <w:sz w:val="24"/>
                <w:szCs w:val="24"/>
                <w:lang w:eastAsia="en-GB"/>
              </w:rPr>
              <w:t>2025/26</w:t>
            </w:r>
            <w:r w:rsidRPr="00485C52">
              <w:rPr>
                <w:rFonts w:eastAsia="Times New Roman" w:cs="Calibri"/>
                <w:b/>
                <w:bCs/>
                <w:color w:val="000000"/>
                <w:sz w:val="24"/>
                <w:szCs w:val="24"/>
                <w:lang w:eastAsia="en-GB"/>
              </w:rPr>
              <w:br/>
              <w:t>£</w:t>
            </w:r>
          </w:p>
        </w:tc>
      </w:tr>
      <w:tr w:rsidR="00485C52" w:rsidRPr="00485C52" w14:paraId="6B57273E" w14:textId="77777777" w:rsidTr="00485C52">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58C757FD" w14:textId="77777777" w:rsidR="00485C52" w:rsidRPr="00485C52" w:rsidRDefault="00485C52" w:rsidP="00485C52">
            <w:pPr>
              <w:spacing w:line="240" w:lineRule="auto"/>
              <w:rPr>
                <w:rFonts w:eastAsia="Times New Roman" w:cs="Calibri"/>
                <w:color w:val="000000"/>
                <w:sz w:val="24"/>
                <w:szCs w:val="24"/>
                <w:lang w:eastAsia="en-GB"/>
              </w:rPr>
            </w:pPr>
            <w:r w:rsidRPr="00485C52">
              <w:rPr>
                <w:rFonts w:eastAsia="Times New Roman" w:cs="Calibri"/>
                <w:color w:val="000000"/>
                <w:sz w:val="24"/>
                <w:szCs w:val="24"/>
                <w:lang w:eastAsia="en-GB"/>
              </w:rPr>
              <w:t> </w:t>
            </w:r>
          </w:p>
        </w:tc>
        <w:tc>
          <w:tcPr>
            <w:tcW w:w="2800" w:type="dxa"/>
            <w:tcBorders>
              <w:top w:val="nil"/>
              <w:left w:val="nil"/>
              <w:bottom w:val="nil"/>
              <w:right w:val="nil"/>
            </w:tcBorders>
            <w:shd w:val="clear" w:color="000000" w:fill="FFFFFF"/>
            <w:noWrap/>
            <w:vAlign w:val="bottom"/>
            <w:hideMark/>
          </w:tcPr>
          <w:p w14:paraId="72875994" w14:textId="77777777" w:rsidR="00485C52" w:rsidRPr="00485C52" w:rsidRDefault="00485C52" w:rsidP="00485C52">
            <w:pPr>
              <w:spacing w:line="240" w:lineRule="auto"/>
              <w:rPr>
                <w:rFonts w:eastAsia="Times New Roman" w:cs="Calibri"/>
                <w:color w:val="000000"/>
                <w:sz w:val="24"/>
                <w:szCs w:val="24"/>
                <w:u w:val="single"/>
                <w:lang w:eastAsia="en-GB"/>
              </w:rPr>
            </w:pPr>
            <w:r w:rsidRPr="00485C52">
              <w:rPr>
                <w:rFonts w:eastAsia="Times New Roman" w:cs="Calibri"/>
                <w:color w:val="000000"/>
                <w:sz w:val="24"/>
                <w:szCs w:val="24"/>
                <w:u w:val="single"/>
                <w:lang w:eastAsia="en-GB"/>
              </w:rPr>
              <w:t>Tax base changes</w:t>
            </w:r>
          </w:p>
        </w:tc>
        <w:tc>
          <w:tcPr>
            <w:tcW w:w="1420" w:type="dxa"/>
            <w:tcBorders>
              <w:top w:val="nil"/>
              <w:left w:val="single" w:sz="4" w:space="0" w:color="auto"/>
              <w:bottom w:val="nil"/>
              <w:right w:val="single" w:sz="4" w:space="0" w:color="auto"/>
            </w:tcBorders>
            <w:shd w:val="clear" w:color="000000" w:fill="FFDDDD"/>
            <w:noWrap/>
            <w:vAlign w:val="bottom"/>
            <w:hideMark/>
          </w:tcPr>
          <w:p w14:paraId="4D846658" w14:textId="77777777" w:rsidR="00485C52" w:rsidRPr="00485C52" w:rsidRDefault="00485C52" w:rsidP="00485C52">
            <w:pPr>
              <w:spacing w:line="240" w:lineRule="auto"/>
              <w:rPr>
                <w:rFonts w:eastAsia="Times New Roman" w:cs="Calibri"/>
                <w:color w:val="000000"/>
                <w:sz w:val="24"/>
                <w:szCs w:val="24"/>
                <w:lang w:eastAsia="en-GB"/>
              </w:rPr>
            </w:pPr>
            <w:r w:rsidRPr="00485C52">
              <w:rPr>
                <w:rFonts w:eastAsia="Times New Roman" w:cs="Calibri"/>
                <w:color w:val="000000"/>
                <w:sz w:val="24"/>
                <w:szCs w:val="24"/>
                <w:lang w:eastAsia="en-GB"/>
              </w:rPr>
              <w:t> </w:t>
            </w:r>
          </w:p>
        </w:tc>
      </w:tr>
      <w:tr w:rsidR="00485C52" w:rsidRPr="00485C52" w14:paraId="6BD055DB" w14:textId="77777777" w:rsidTr="00485C52">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0989573C"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114,778</w:t>
            </w:r>
          </w:p>
        </w:tc>
        <w:tc>
          <w:tcPr>
            <w:tcW w:w="2800" w:type="dxa"/>
            <w:tcBorders>
              <w:top w:val="nil"/>
              <w:left w:val="nil"/>
              <w:bottom w:val="nil"/>
              <w:right w:val="nil"/>
            </w:tcBorders>
            <w:shd w:val="clear" w:color="000000" w:fill="FFFFFF"/>
            <w:noWrap/>
            <w:vAlign w:val="bottom"/>
            <w:hideMark/>
          </w:tcPr>
          <w:p w14:paraId="74E446E0" w14:textId="77777777" w:rsidR="00485C52" w:rsidRPr="00485C52" w:rsidRDefault="00485C52" w:rsidP="00485C52">
            <w:pPr>
              <w:spacing w:line="240" w:lineRule="auto"/>
              <w:rPr>
                <w:rFonts w:eastAsia="Times New Roman" w:cs="Calibri"/>
                <w:color w:val="000000"/>
                <w:sz w:val="24"/>
                <w:szCs w:val="24"/>
                <w:lang w:eastAsia="en-GB"/>
              </w:rPr>
            </w:pPr>
            <w:r w:rsidRPr="00485C52">
              <w:rPr>
                <w:rFonts w:eastAsia="Times New Roman" w:cs="Calibri"/>
                <w:color w:val="000000"/>
                <w:sz w:val="24"/>
                <w:szCs w:val="24"/>
                <w:lang w:eastAsia="en-GB"/>
              </w:rPr>
              <w:t>- North</w:t>
            </w:r>
          </w:p>
        </w:tc>
        <w:tc>
          <w:tcPr>
            <w:tcW w:w="1420" w:type="dxa"/>
            <w:tcBorders>
              <w:top w:val="nil"/>
              <w:left w:val="single" w:sz="4" w:space="0" w:color="auto"/>
              <w:bottom w:val="nil"/>
              <w:right w:val="single" w:sz="4" w:space="0" w:color="auto"/>
            </w:tcBorders>
            <w:shd w:val="clear" w:color="000000" w:fill="FFDDDD"/>
            <w:noWrap/>
            <w:vAlign w:val="bottom"/>
            <w:hideMark/>
          </w:tcPr>
          <w:p w14:paraId="747FF469"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131,028</w:t>
            </w:r>
          </w:p>
        </w:tc>
      </w:tr>
      <w:tr w:rsidR="00485C52" w:rsidRPr="00485C52" w14:paraId="5D73B8CA" w14:textId="77777777" w:rsidTr="00485C52">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327A9A30"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44,198</w:t>
            </w:r>
          </w:p>
        </w:tc>
        <w:tc>
          <w:tcPr>
            <w:tcW w:w="2800" w:type="dxa"/>
            <w:tcBorders>
              <w:top w:val="nil"/>
              <w:left w:val="nil"/>
              <w:bottom w:val="nil"/>
              <w:right w:val="nil"/>
            </w:tcBorders>
            <w:shd w:val="clear" w:color="000000" w:fill="FFFFFF"/>
            <w:noWrap/>
            <w:vAlign w:val="bottom"/>
            <w:hideMark/>
          </w:tcPr>
          <w:p w14:paraId="2479DF02" w14:textId="77777777" w:rsidR="00485C52" w:rsidRPr="00485C52" w:rsidRDefault="00485C52" w:rsidP="00485C52">
            <w:pPr>
              <w:spacing w:line="240" w:lineRule="auto"/>
              <w:rPr>
                <w:rFonts w:eastAsia="Times New Roman" w:cs="Calibri"/>
                <w:color w:val="000000"/>
                <w:sz w:val="24"/>
                <w:szCs w:val="24"/>
                <w:lang w:eastAsia="en-GB"/>
              </w:rPr>
            </w:pPr>
            <w:r w:rsidRPr="00485C52">
              <w:rPr>
                <w:rFonts w:eastAsia="Times New Roman" w:cs="Calibri"/>
                <w:color w:val="000000"/>
                <w:sz w:val="24"/>
                <w:szCs w:val="24"/>
                <w:lang w:eastAsia="en-GB"/>
              </w:rPr>
              <w:t>- West</w:t>
            </w:r>
          </w:p>
        </w:tc>
        <w:tc>
          <w:tcPr>
            <w:tcW w:w="1420" w:type="dxa"/>
            <w:tcBorders>
              <w:top w:val="nil"/>
              <w:left w:val="single" w:sz="4" w:space="0" w:color="auto"/>
              <w:bottom w:val="nil"/>
              <w:right w:val="single" w:sz="4" w:space="0" w:color="auto"/>
            </w:tcBorders>
            <w:shd w:val="clear" w:color="000000" w:fill="FFDDDD"/>
            <w:noWrap/>
            <w:vAlign w:val="bottom"/>
            <w:hideMark/>
          </w:tcPr>
          <w:p w14:paraId="726D12B6"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262,787</w:t>
            </w:r>
          </w:p>
        </w:tc>
      </w:tr>
      <w:tr w:rsidR="00485C52" w:rsidRPr="00485C52" w14:paraId="49F6860E" w14:textId="77777777" w:rsidTr="00485C52">
        <w:trPr>
          <w:trHeight w:val="315"/>
        </w:trPr>
        <w:tc>
          <w:tcPr>
            <w:tcW w:w="1420" w:type="dxa"/>
            <w:tcBorders>
              <w:top w:val="single" w:sz="4" w:space="0" w:color="auto"/>
              <w:left w:val="single" w:sz="4" w:space="0" w:color="auto"/>
              <w:bottom w:val="nil"/>
              <w:right w:val="single" w:sz="4" w:space="0" w:color="auto"/>
            </w:tcBorders>
            <w:shd w:val="clear" w:color="000000" w:fill="FFFFFF"/>
            <w:noWrap/>
            <w:vAlign w:val="bottom"/>
            <w:hideMark/>
          </w:tcPr>
          <w:p w14:paraId="3B851425" w14:textId="77777777" w:rsidR="00485C52" w:rsidRPr="00485C52" w:rsidRDefault="00485C52" w:rsidP="00485C52">
            <w:pPr>
              <w:spacing w:line="240" w:lineRule="auto"/>
              <w:jc w:val="right"/>
              <w:rPr>
                <w:rFonts w:eastAsia="Times New Roman" w:cs="Calibri"/>
                <w:b/>
                <w:bCs/>
                <w:color w:val="000000"/>
                <w:sz w:val="24"/>
                <w:szCs w:val="24"/>
                <w:lang w:eastAsia="en-GB"/>
              </w:rPr>
            </w:pPr>
            <w:r w:rsidRPr="00485C52">
              <w:rPr>
                <w:rFonts w:eastAsia="Times New Roman" w:cs="Calibri"/>
                <w:b/>
                <w:bCs/>
                <w:color w:val="000000"/>
                <w:sz w:val="24"/>
                <w:szCs w:val="24"/>
                <w:lang w:eastAsia="en-GB"/>
              </w:rPr>
              <w:t>158,976</w:t>
            </w:r>
          </w:p>
        </w:tc>
        <w:tc>
          <w:tcPr>
            <w:tcW w:w="2800" w:type="dxa"/>
            <w:tcBorders>
              <w:top w:val="nil"/>
              <w:left w:val="nil"/>
              <w:bottom w:val="nil"/>
              <w:right w:val="nil"/>
            </w:tcBorders>
            <w:shd w:val="clear" w:color="000000" w:fill="FFFFFF"/>
            <w:noWrap/>
            <w:vAlign w:val="bottom"/>
            <w:hideMark/>
          </w:tcPr>
          <w:p w14:paraId="7B62A575" w14:textId="77777777" w:rsidR="00485C52" w:rsidRPr="00485C52" w:rsidRDefault="00485C52" w:rsidP="00485C52">
            <w:pPr>
              <w:spacing w:line="240" w:lineRule="auto"/>
              <w:rPr>
                <w:rFonts w:eastAsia="Times New Roman" w:cs="Calibri"/>
                <w:b/>
                <w:bCs/>
                <w:color w:val="000000"/>
                <w:sz w:val="24"/>
                <w:szCs w:val="24"/>
                <w:lang w:eastAsia="en-GB"/>
              </w:rPr>
            </w:pPr>
            <w:r w:rsidRPr="00485C52">
              <w:rPr>
                <w:rFonts w:eastAsia="Times New Roman" w:cs="Calibri"/>
                <w:b/>
                <w:bCs/>
                <w:color w:val="000000"/>
                <w:sz w:val="24"/>
                <w:szCs w:val="24"/>
                <w:lang w:eastAsia="en-GB"/>
              </w:rPr>
              <w:t> </w:t>
            </w:r>
          </w:p>
        </w:tc>
        <w:tc>
          <w:tcPr>
            <w:tcW w:w="1420" w:type="dxa"/>
            <w:tcBorders>
              <w:top w:val="single" w:sz="4" w:space="0" w:color="auto"/>
              <w:left w:val="single" w:sz="4" w:space="0" w:color="auto"/>
              <w:bottom w:val="nil"/>
              <w:right w:val="single" w:sz="4" w:space="0" w:color="auto"/>
            </w:tcBorders>
            <w:shd w:val="clear" w:color="000000" w:fill="FFDDDD"/>
            <w:noWrap/>
            <w:vAlign w:val="bottom"/>
            <w:hideMark/>
          </w:tcPr>
          <w:p w14:paraId="1272676D" w14:textId="77777777" w:rsidR="00485C52" w:rsidRPr="00485C52" w:rsidRDefault="00485C52" w:rsidP="00485C52">
            <w:pPr>
              <w:spacing w:line="240" w:lineRule="auto"/>
              <w:jc w:val="right"/>
              <w:rPr>
                <w:rFonts w:eastAsia="Times New Roman" w:cs="Calibri"/>
                <w:b/>
                <w:bCs/>
                <w:color w:val="000000"/>
                <w:sz w:val="24"/>
                <w:szCs w:val="24"/>
                <w:lang w:eastAsia="en-GB"/>
              </w:rPr>
            </w:pPr>
            <w:r w:rsidRPr="00485C52">
              <w:rPr>
                <w:rFonts w:eastAsia="Times New Roman" w:cs="Calibri"/>
                <w:b/>
                <w:bCs/>
                <w:color w:val="000000"/>
                <w:sz w:val="24"/>
                <w:szCs w:val="24"/>
                <w:lang w:eastAsia="en-GB"/>
              </w:rPr>
              <w:t>393,815</w:t>
            </w:r>
          </w:p>
        </w:tc>
      </w:tr>
      <w:tr w:rsidR="00485C52" w:rsidRPr="00485C52" w14:paraId="35E69FC5" w14:textId="77777777" w:rsidTr="00485C52">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1181AF8A" w14:textId="77777777" w:rsidR="00485C52" w:rsidRPr="00485C52" w:rsidRDefault="00485C52" w:rsidP="00485C52">
            <w:pPr>
              <w:spacing w:line="240" w:lineRule="auto"/>
              <w:rPr>
                <w:rFonts w:eastAsia="Times New Roman" w:cs="Calibri"/>
                <w:color w:val="000000"/>
                <w:sz w:val="24"/>
                <w:szCs w:val="24"/>
                <w:lang w:eastAsia="en-GB"/>
              </w:rPr>
            </w:pPr>
            <w:r w:rsidRPr="00485C52">
              <w:rPr>
                <w:rFonts w:eastAsia="Times New Roman" w:cs="Calibri"/>
                <w:color w:val="000000"/>
                <w:sz w:val="24"/>
                <w:szCs w:val="24"/>
                <w:lang w:eastAsia="en-GB"/>
              </w:rPr>
              <w:t> </w:t>
            </w:r>
          </w:p>
        </w:tc>
        <w:tc>
          <w:tcPr>
            <w:tcW w:w="2800" w:type="dxa"/>
            <w:tcBorders>
              <w:top w:val="nil"/>
              <w:left w:val="nil"/>
              <w:bottom w:val="nil"/>
              <w:right w:val="nil"/>
            </w:tcBorders>
            <w:shd w:val="clear" w:color="000000" w:fill="FFFFFF"/>
            <w:noWrap/>
            <w:vAlign w:val="bottom"/>
            <w:hideMark/>
          </w:tcPr>
          <w:p w14:paraId="3737FC8D" w14:textId="77777777" w:rsidR="00485C52" w:rsidRPr="00485C52" w:rsidRDefault="00485C52" w:rsidP="00485C52">
            <w:pPr>
              <w:spacing w:line="240" w:lineRule="auto"/>
              <w:rPr>
                <w:rFonts w:eastAsia="Times New Roman" w:cs="Calibri"/>
                <w:color w:val="000000"/>
                <w:sz w:val="24"/>
                <w:szCs w:val="24"/>
                <w:u w:val="single"/>
                <w:lang w:eastAsia="en-GB"/>
              </w:rPr>
            </w:pPr>
            <w:r w:rsidRPr="00485C52">
              <w:rPr>
                <w:rFonts w:eastAsia="Times New Roman" w:cs="Calibri"/>
                <w:color w:val="000000"/>
                <w:sz w:val="24"/>
                <w:szCs w:val="24"/>
                <w:u w:val="single"/>
                <w:lang w:eastAsia="en-GB"/>
              </w:rPr>
              <w:t>Precept Increase:</w:t>
            </w:r>
          </w:p>
        </w:tc>
        <w:tc>
          <w:tcPr>
            <w:tcW w:w="1420" w:type="dxa"/>
            <w:tcBorders>
              <w:top w:val="nil"/>
              <w:left w:val="single" w:sz="4" w:space="0" w:color="auto"/>
              <w:bottom w:val="nil"/>
              <w:right w:val="single" w:sz="4" w:space="0" w:color="auto"/>
            </w:tcBorders>
            <w:shd w:val="clear" w:color="000000" w:fill="FFDDDD"/>
            <w:noWrap/>
            <w:vAlign w:val="bottom"/>
            <w:hideMark/>
          </w:tcPr>
          <w:p w14:paraId="79E088A2" w14:textId="77777777" w:rsidR="00485C52" w:rsidRPr="00485C52" w:rsidRDefault="00485C52" w:rsidP="00485C52">
            <w:pPr>
              <w:spacing w:line="240" w:lineRule="auto"/>
              <w:rPr>
                <w:rFonts w:eastAsia="Times New Roman" w:cs="Calibri"/>
                <w:color w:val="000000"/>
                <w:sz w:val="24"/>
                <w:szCs w:val="24"/>
                <w:lang w:eastAsia="en-GB"/>
              </w:rPr>
            </w:pPr>
            <w:r w:rsidRPr="00485C52">
              <w:rPr>
                <w:rFonts w:eastAsia="Times New Roman" w:cs="Calibri"/>
                <w:color w:val="000000"/>
                <w:sz w:val="24"/>
                <w:szCs w:val="24"/>
                <w:lang w:eastAsia="en-GB"/>
              </w:rPr>
              <w:t> </w:t>
            </w:r>
          </w:p>
        </w:tc>
      </w:tr>
      <w:tr w:rsidR="00485C52" w:rsidRPr="00485C52" w14:paraId="65FE4BDF" w14:textId="77777777" w:rsidTr="00485C52">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6B8C1836"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253,705</w:t>
            </w:r>
          </w:p>
        </w:tc>
        <w:tc>
          <w:tcPr>
            <w:tcW w:w="2800" w:type="dxa"/>
            <w:tcBorders>
              <w:top w:val="nil"/>
              <w:left w:val="nil"/>
              <w:bottom w:val="nil"/>
              <w:right w:val="nil"/>
            </w:tcBorders>
            <w:shd w:val="clear" w:color="000000" w:fill="FFFFFF"/>
            <w:noWrap/>
            <w:vAlign w:val="bottom"/>
            <w:hideMark/>
          </w:tcPr>
          <w:p w14:paraId="7889D30A" w14:textId="77777777" w:rsidR="00485C52" w:rsidRPr="00485C52" w:rsidRDefault="00485C52" w:rsidP="00485C52">
            <w:pPr>
              <w:spacing w:line="240" w:lineRule="auto"/>
              <w:rPr>
                <w:rFonts w:eastAsia="Times New Roman" w:cs="Calibri"/>
                <w:color w:val="000000"/>
                <w:sz w:val="24"/>
                <w:szCs w:val="24"/>
                <w:lang w:eastAsia="en-GB"/>
              </w:rPr>
            </w:pPr>
            <w:r w:rsidRPr="00485C52">
              <w:rPr>
                <w:rFonts w:eastAsia="Times New Roman" w:cs="Calibri"/>
                <w:color w:val="000000"/>
                <w:sz w:val="24"/>
                <w:szCs w:val="24"/>
                <w:lang w:eastAsia="en-GB"/>
              </w:rPr>
              <w:t>- North</w:t>
            </w:r>
          </w:p>
        </w:tc>
        <w:tc>
          <w:tcPr>
            <w:tcW w:w="1420" w:type="dxa"/>
            <w:tcBorders>
              <w:top w:val="nil"/>
              <w:left w:val="single" w:sz="4" w:space="0" w:color="auto"/>
              <w:bottom w:val="nil"/>
              <w:right w:val="single" w:sz="4" w:space="0" w:color="auto"/>
            </w:tcBorders>
            <w:shd w:val="clear" w:color="000000" w:fill="FFDDDD"/>
            <w:noWrap/>
            <w:vAlign w:val="bottom"/>
            <w:hideMark/>
          </w:tcPr>
          <w:p w14:paraId="5A72178C"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587,925</w:t>
            </w:r>
          </w:p>
        </w:tc>
      </w:tr>
      <w:tr w:rsidR="00485C52" w:rsidRPr="00485C52" w14:paraId="7E269793" w14:textId="77777777" w:rsidTr="00485C52">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67B18712"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312,435</w:t>
            </w:r>
          </w:p>
        </w:tc>
        <w:tc>
          <w:tcPr>
            <w:tcW w:w="2800" w:type="dxa"/>
            <w:tcBorders>
              <w:top w:val="nil"/>
              <w:left w:val="nil"/>
              <w:bottom w:val="nil"/>
              <w:right w:val="nil"/>
            </w:tcBorders>
            <w:shd w:val="clear" w:color="000000" w:fill="FFFFFF"/>
            <w:noWrap/>
            <w:vAlign w:val="bottom"/>
            <w:hideMark/>
          </w:tcPr>
          <w:p w14:paraId="2097AE4F" w14:textId="77777777" w:rsidR="00485C52" w:rsidRPr="00485C52" w:rsidRDefault="00485C52" w:rsidP="00485C52">
            <w:pPr>
              <w:spacing w:line="240" w:lineRule="auto"/>
              <w:rPr>
                <w:rFonts w:eastAsia="Times New Roman" w:cs="Calibri"/>
                <w:color w:val="000000"/>
                <w:sz w:val="24"/>
                <w:szCs w:val="24"/>
                <w:lang w:eastAsia="en-GB"/>
              </w:rPr>
            </w:pPr>
            <w:r w:rsidRPr="00485C52">
              <w:rPr>
                <w:rFonts w:eastAsia="Times New Roman" w:cs="Calibri"/>
                <w:color w:val="000000"/>
                <w:sz w:val="24"/>
                <w:szCs w:val="24"/>
                <w:lang w:eastAsia="en-GB"/>
              </w:rPr>
              <w:t>- West</w:t>
            </w:r>
          </w:p>
        </w:tc>
        <w:tc>
          <w:tcPr>
            <w:tcW w:w="1420" w:type="dxa"/>
            <w:tcBorders>
              <w:top w:val="nil"/>
              <w:left w:val="single" w:sz="4" w:space="0" w:color="auto"/>
              <w:bottom w:val="nil"/>
              <w:right w:val="single" w:sz="4" w:space="0" w:color="auto"/>
            </w:tcBorders>
            <w:shd w:val="clear" w:color="000000" w:fill="FFDDDD"/>
            <w:noWrap/>
            <w:vAlign w:val="bottom"/>
            <w:hideMark/>
          </w:tcPr>
          <w:p w14:paraId="7606CE55" w14:textId="77777777" w:rsidR="00485C52" w:rsidRPr="00485C52" w:rsidRDefault="00485C52" w:rsidP="00485C52">
            <w:pPr>
              <w:spacing w:line="240" w:lineRule="auto"/>
              <w:jc w:val="right"/>
              <w:rPr>
                <w:rFonts w:eastAsia="Times New Roman" w:cs="Calibri"/>
                <w:color w:val="000000"/>
                <w:sz w:val="24"/>
                <w:szCs w:val="24"/>
                <w:lang w:eastAsia="en-GB"/>
              </w:rPr>
            </w:pPr>
            <w:r w:rsidRPr="00485C52">
              <w:rPr>
                <w:rFonts w:eastAsia="Times New Roman" w:cs="Calibri"/>
                <w:color w:val="000000"/>
                <w:sz w:val="24"/>
                <w:szCs w:val="24"/>
                <w:lang w:eastAsia="en-GB"/>
              </w:rPr>
              <w:t>730,752</w:t>
            </w:r>
          </w:p>
        </w:tc>
      </w:tr>
      <w:tr w:rsidR="00485C52" w:rsidRPr="00485C52" w14:paraId="07650A14" w14:textId="77777777" w:rsidTr="00485C52">
        <w:trPr>
          <w:trHeight w:val="315"/>
        </w:trPr>
        <w:tc>
          <w:tcPr>
            <w:tcW w:w="1420" w:type="dxa"/>
            <w:tcBorders>
              <w:top w:val="single" w:sz="4" w:space="0" w:color="auto"/>
              <w:left w:val="single" w:sz="4" w:space="0" w:color="auto"/>
              <w:bottom w:val="nil"/>
              <w:right w:val="single" w:sz="4" w:space="0" w:color="auto"/>
            </w:tcBorders>
            <w:shd w:val="clear" w:color="000000" w:fill="FFFFFF"/>
            <w:noWrap/>
            <w:vAlign w:val="bottom"/>
            <w:hideMark/>
          </w:tcPr>
          <w:p w14:paraId="2991D69E" w14:textId="77777777" w:rsidR="00485C52" w:rsidRPr="00485C52" w:rsidRDefault="00485C52" w:rsidP="00485C52">
            <w:pPr>
              <w:spacing w:line="240" w:lineRule="auto"/>
              <w:jc w:val="right"/>
              <w:rPr>
                <w:rFonts w:eastAsia="Times New Roman" w:cs="Calibri"/>
                <w:b/>
                <w:bCs/>
                <w:color w:val="000000"/>
                <w:sz w:val="24"/>
                <w:szCs w:val="24"/>
                <w:lang w:eastAsia="en-GB"/>
              </w:rPr>
            </w:pPr>
            <w:r w:rsidRPr="00485C52">
              <w:rPr>
                <w:rFonts w:eastAsia="Times New Roman" w:cs="Calibri"/>
                <w:b/>
                <w:bCs/>
                <w:color w:val="000000"/>
                <w:sz w:val="24"/>
                <w:szCs w:val="24"/>
                <w:lang w:eastAsia="en-GB"/>
              </w:rPr>
              <w:t>566,140</w:t>
            </w:r>
          </w:p>
        </w:tc>
        <w:tc>
          <w:tcPr>
            <w:tcW w:w="2800" w:type="dxa"/>
            <w:tcBorders>
              <w:top w:val="nil"/>
              <w:left w:val="nil"/>
              <w:bottom w:val="nil"/>
              <w:right w:val="nil"/>
            </w:tcBorders>
            <w:shd w:val="clear" w:color="000000" w:fill="FFFFFF"/>
            <w:noWrap/>
            <w:vAlign w:val="bottom"/>
            <w:hideMark/>
          </w:tcPr>
          <w:p w14:paraId="5AE33ABF" w14:textId="77777777" w:rsidR="00485C52" w:rsidRPr="00485C52" w:rsidRDefault="00485C52" w:rsidP="00485C52">
            <w:pPr>
              <w:spacing w:line="240" w:lineRule="auto"/>
              <w:rPr>
                <w:rFonts w:eastAsia="Times New Roman" w:cs="Calibri"/>
                <w:b/>
                <w:bCs/>
                <w:color w:val="000000"/>
                <w:sz w:val="24"/>
                <w:szCs w:val="24"/>
                <w:lang w:eastAsia="en-GB"/>
              </w:rPr>
            </w:pPr>
            <w:r w:rsidRPr="00485C52">
              <w:rPr>
                <w:rFonts w:eastAsia="Times New Roman" w:cs="Calibri"/>
                <w:b/>
                <w:bCs/>
                <w:color w:val="000000"/>
                <w:sz w:val="24"/>
                <w:szCs w:val="24"/>
                <w:lang w:eastAsia="en-GB"/>
              </w:rPr>
              <w:t> </w:t>
            </w:r>
          </w:p>
        </w:tc>
        <w:tc>
          <w:tcPr>
            <w:tcW w:w="1420" w:type="dxa"/>
            <w:tcBorders>
              <w:top w:val="single" w:sz="4" w:space="0" w:color="auto"/>
              <w:left w:val="single" w:sz="4" w:space="0" w:color="auto"/>
              <w:bottom w:val="nil"/>
              <w:right w:val="single" w:sz="4" w:space="0" w:color="auto"/>
            </w:tcBorders>
            <w:shd w:val="clear" w:color="000000" w:fill="FFDDDD"/>
            <w:noWrap/>
            <w:vAlign w:val="bottom"/>
            <w:hideMark/>
          </w:tcPr>
          <w:p w14:paraId="5A5198F0" w14:textId="77777777" w:rsidR="00485C52" w:rsidRPr="00485C52" w:rsidRDefault="00485C52" w:rsidP="00485C52">
            <w:pPr>
              <w:spacing w:line="240" w:lineRule="auto"/>
              <w:jc w:val="right"/>
              <w:rPr>
                <w:rFonts w:eastAsia="Times New Roman" w:cs="Calibri"/>
                <w:b/>
                <w:bCs/>
                <w:color w:val="000000"/>
                <w:sz w:val="24"/>
                <w:szCs w:val="24"/>
                <w:lang w:eastAsia="en-GB"/>
              </w:rPr>
            </w:pPr>
            <w:r w:rsidRPr="00485C52">
              <w:rPr>
                <w:rFonts w:eastAsia="Times New Roman" w:cs="Calibri"/>
                <w:b/>
                <w:bCs/>
                <w:color w:val="000000"/>
                <w:sz w:val="24"/>
                <w:szCs w:val="24"/>
                <w:lang w:eastAsia="en-GB"/>
              </w:rPr>
              <w:t>1,318,677</w:t>
            </w:r>
          </w:p>
        </w:tc>
      </w:tr>
      <w:tr w:rsidR="00485C52" w:rsidRPr="00485C52" w14:paraId="799E4593" w14:textId="77777777" w:rsidTr="00485C52">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4A406167" w14:textId="77777777" w:rsidR="00485C52" w:rsidRPr="00485C52" w:rsidRDefault="00485C52" w:rsidP="00485C52">
            <w:pPr>
              <w:spacing w:line="240" w:lineRule="auto"/>
              <w:rPr>
                <w:rFonts w:eastAsia="Times New Roman" w:cs="Calibri"/>
                <w:color w:val="000000"/>
                <w:sz w:val="24"/>
                <w:szCs w:val="24"/>
                <w:lang w:eastAsia="en-GB"/>
              </w:rPr>
            </w:pPr>
            <w:r w:rsidRPr="00485C52">
              <w:rPr>
                <w:rFonts w:eastAsia="Times New Roman" w:cs="Calibri"/>
                <w:color w:val="000000"/>
                <w:sz w:val="24"/>
                <w:szCs w:val="24"/>
                <w:lang w:eastAsia="en-GB"/>
              </w:rPr>
              <w:t> </w:t>
            </w:r>
          </w:p>
        </w:tc>
        <w:tc>
          <w:tcPr>
            <w:tcW w:w="2800" w:type="dxa"/>
            <w:tcBorders>
              <w:top w:val="nil"/>
              <w:left w:val="nil"/>
              <w:bottom w:val="nil"/>
              <w:right w:val="nil"/>
            </w:tcBorders>
            <w:shd w:val="clear" w:color="000000" w:fill="FFFFFF"/>
            <w:noWrap/>
            <w:vAlign w:val="bottom"/>
            <w:hideMark/>
          </w:tcPr>
          <w:p w14:paraId="22E598D7" w14:textId="77777777" w:rsidR="00485C52" w:rsidRPr="00485C52" w:rsidRDefault="00485C52" w:rsidP="00485C52">
            <w:pPr>
              <w:spacing w:line="240" w:lineRule="auto"/>
              <w:rPr>
                <w:rFonts w:eastAsia="Times New Roman" w:cs="Calibri"/>
                <w:color w:val="000000"/>
                <w:sz w:val="24"/>
                <w:szCs w:val="24"/>
                <w:lang w:eastAsia="en-GB"/>
              </w:rPr>
            </w:pPr>
            <w:r w:rsidRPr="00485C52">
              <w:rPr>
                <w:rFonts w:eastAsia="Times New Roman" w:cs="Calibri"/>
                <w:color w:val="000000"/>
                <w:sz w:val="24"/>
                <w:szCs w:val="24"/>
                <w:lang w:eastAsia="en-GB"/>
              </w:rPr>
              <w:t> </w:t>
            </w:r>
          </w:p>
        </w:tc>
        <w:tc>
          <w:tcPr>
            <w:tcW w:w="1420" w:type="dxa"/>
            <w:tcBorders>
              <w:top w:val="nil"/>
              <w:left w:val="single" w:sz="4" w:space="0" w:color="auto"/>
              <w:bottom w:val="nil"/>
              <w:right w:val="single" w:sz="4" w:space="0" w:color="auto"/>
            </w:tcBorders>
            <w:shd w:val="clear" w:color="000000" w:fill="FFDDDD"/>
            <w:noWrap/>
            <w:vAlign w:val="bottom"/>
            <w:hideMark/>
          </w:tcPr>
          <w:p w14:paraId="5D254393" w14:textId="77777777" w:rsidR="00485C52" w:rsidRPr="00485C52" w:rsidRDefault="00485C52" w:rsidP="00485C52">
            <w:pPr>
              <w:spacing w:line="240" w:lineRule="auto"/>
              <w:rPr>
                <w:rFonts w:eastAsia="Times New Roman" w:cs="Calibri"/>
                <w:color w:val="000000"/>
                <w:sz w:val="24"/>
                <w:szCs w:val="24"/>
                <w:lang w:eastAsia="en-GB"/>
              </w:rPr>
            </w:pPr>
            <w:r w:rsidRPr="00485C52">
              <w:rPr>
                <w:rFonts w:eastAsia="Times New Roman" w:cs="Calibri"/>
                <w:color w:val="000000"/>
                <w:sz w:val="24"/>
                <w:szCs w:val="24"/>
                <w:lang w:eastAsia="en-GB"/>
              </w:rPr>
              <w:t> </w:t>
            </w:r>
          </w:p>
        </w:tc>
      </w:tr>
      <w:tr w:rsidR="00485C52" w:rsidRPr="00485C52" w14:paraId="25B6EB26" w14:textId="77777777" w:rsidTr="00485C52">
        <w:trPr>
          <w:trHeight w:val="315"/>
        </w:trPr>
        <w:tc>
          <w:tcPr>
            <w:tcW w:w="14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E01D2D" w14:textId="77777777" w:rsidR="00485C52" w:rsidRPr="00485C52" w:rsidRDefault="00485C52" w:rsidP="00485C52">
            <w:pPr>
              <w:spacing w:line="240" w:lineRule="auto"/>
              <w:jc w:val="right"/>
              <w:rPr>
                <w:rFonts w:eastAsia="Times New Roman" w:cs="Calibri"/>
                <w:b/>
                <w:bCs/>
                <w:color w:val="000000"/>
                <w:sz w:val="24"/>
                <w:szCs w:val="24"/>
                <w:lang w:eastAsia="en-GB"/>
              </w:rPr>
            </w:pPr>
            <w:r w:rsidRPr="00485C52">
              <w:rPr>
                <w:rFonts w:eastAsia="Times New Roman" w:cs="Calibri"/>
                <w:b/>
                <w:bCs/>
                <w:color w:val="000000"/>
                <w:sz w:val="24"/>
                <w:szCs w:val="24"/>
                <w:lang w:eastAsia="en-GB"/>
              </w:rPr>
              <w:t>725,116</w:t>
            </w:r>
          </w:p>
        </w:tc>
        <w:tc>
          <w:tcPr>
            <w:tcW w:w="2800" w:type="dxa"/>
            <w:tcBorders>
              <w:top w:val="single" w:sz="4" w:space="0" w:color="auto"/>
              <w:left w:val="nil"/>
              <w:bottom w:val="single" w:sz="4" w:space="0" w:color="auto"/>
              <w:right w:val="nil"/>
            </w:tcBorders>
            <w:shd w:val="clear" w:color="000000" w:fill="FFFFFF"/>
            <w:noWrap/>
            <w:vAlign w:val="bottom"/>
            <w:hideMark/>
          </w:tcPr>
          <w:p w14:paraId="7BCC1C17" w14:textId="77777777" w:rsidR="00485C52" w:rsidRPr="00485C52" w:rsidRDefault="00485C52" w:rsidP="00485C52">
            <w:pPr>
              <w:spacing w:line="240" w:lineRule="auto"/>
              <w:rPr>
                <w:rFonts w:eastAsia="Times New Roman" w:cs="Calibri"/>
                <w:b/>
                <w:bCs/>
                <w:color w:val="000000"/>
                <w:sz w:val="24"/>
                <w:szCs w:val="24"/>
                <w:lang w:eastAsia="en-GB"/>
              </w:rPr>
            </w:pPr>
            <w:r w:rsidRPr="00485C52">
              <w:rPr>
                <w:rFonts w:eastAsia="Times New Roman" w:cs="Calibri"/>
                <w:b/>
                <w:bCs/>
                <w:color w:val="000000"/>
                <w:sz w:val="24"/>
                <w:szCs w:val="24"/>
                <w:lang w:eastAsia="en-GB"/>
              </w:rPr>
              <w:t>Total Precept Change</w:t>
            </w:r>
          </w:p>
        </w:tc>
        <w:tc>
          <w:tcPr>
            <w:tcW w:w="1420" w:type="dxa"/>
            <w:tcBorders>
              <w:top w:val="single" w:sz="4" w:space="0" w:color="auto"/>
              <w:left w:val="single" w:sz="4" w:space="0" w:color="auto"/>
              <w:bottom w:val="single" w:sz="4" w:space="0" w:color="auto"/>
              <w:right w:val="single" w:sz="4" w:space="0" w:color="auto"/>
            </w:tcBorders>
            <w:shd w:val="clear" w:color="000000" w:fill="FFDDDD"/>
            <w:noWrap/>
            <w:vAlign w:val="bottom"/>
            <w:hideMark/>
          </w:tcPr>
          <w:p w14:paraId="605E88E7" w14:textId="77777777" w:rsidR="00485C52" w:rsidRPr="00485C52" w:rsidRDefault="00485C52" w:rsidP="00485C52">
            <w:pPr>
              <w:spacing w:line="240" w:lineRule="auto"/>
              <w:jc w:val="right"/>
              <w:rPr>
                <w:rFonts w:eastAsia="Times New Roman" w:cs="Calibri"/>
                <w:b/>
                <w:bCs/>
                <w:color w:val="000000"/>
                <w:sz w:val="24"/>
                <w:szCs w:val="24"/>
                <w:lang w:eastAsia="en-GB"/>
              </w:rPr>
            </w:pPr>
            <w:r w:rsidRPr="00485C52">
              <w:rPr>
                <w:rFonts w:eastAsia="Times New Roman" w:cs="Calibri"/>
                <w:b/>
                <w:bCs/>
                <w:color w:val="000000"/>
                <w:sz w:val="24"/>
                <w:szCs w:val="24"/>
                <w:lang w:eastAsia="en-GB"/>
              </w:rPr>
              <w:t>1,712,491</w:t>
            </w:r>
          </w:p>
        </w:tc>
      </w:tr>
    </w:tbl>
    <w:p w14:paraId="4EC41B89" w14:textId="392768F5" w:rsidR="009E7910" w:rsidRPr="00450555" w:rsidRDefault="009E7910" w:rsidP="00F5755E">
      <w:pPr>
        <w:pStyle w:val="ListParagraph"/>
        <w:spacing w:line="240" w:lineRule="auto"/>
        <w:ind w:left="1418" w:hanging="851"/>
        <w:rPr>
          <w:rFonts w:ascii="Arial" w:hAnsi="Arial" w:cs="Arial"/>
          <w:highlight w:val="yellow"/>
          <w:lang w:eastAsia="en-GB"/>
        </w:rPr>
      </w:pPr>
    </w:p>
    <w:p w14:paraId="5996373A" w14:textId="608409F9" w:rsidR="009E7910" w:rsidRPr="00485C52" w:rsidRDefault="009E7910" w:rsidP="00BD46B3">
      <w:pPr>
        <w:pStyle w:val="PanelPara"/>
      </w:pPr>
      <w:r w:rsidRPr="00B21DB4">
        <w:t xml:space="preserve">The </w:t>
      </w:r>
      <w:r w:rsidR="008C38F1" w:rsidRPr="00B21DB4">
        <w:t>202</w:t>
      </w:r>
      <w:r w:rsidR="00B21DB4" w:rsidRPr="00B21DB4">
        <w:t>5</w:t>
      </w:r>
      <w:r w:rsidR="008C38F1" w:rsidRPr="00B21DB4">
        <w:t>/2</w:t>
      </w:r>
      <w:r w:rsidR="00B21DB4" w:rsidRPr="00B21DB4">
        <w:t>6</w:t>
      </w:r>
      <w:r w:rsidRPr="00B21DB4">
        <w:t xml:space="preserve"> proposed precept increase of </w:t>
      </w:r>
      <w:r w:rsidR="00B21DB4" w:rsidRPr="00B21DB4">
        <w:t>£5</w:t>
      </w:r>
      <w:r w:rsidRPr="00B21DB4">
        <w:t xml:space="preserve">, together with the increased taxbase will </w:t>
      </w:r>
      <w:r w:rsidRPr="00485C52">
        <w:t>generate an additional £</w:t>
      </w:r>
      <w:r w:rsidR="00485C52" w:rsidRPr="00485C52">
        <w:t>1.712</w:t>
      </w:r>
      <w:r w:rsidRPr="00485C52">
        <w:t xml:space="preserve">m </w:t>
      </w:r>
      <w:r w:rsidR="00707614" w:rsidRPr="00485C52">
        <w:t>o</w:t>
      </w:r>
      <w:r w:rsidRPr="00485C52">
        <w:t>n the base budget.</w:t>
      </w:r>
    </w:p>
    <w:p w14:paraId="6E74E600" w14:textId="15A874BB" w:rsidR="009E7910" w:rsidRPr="00450555" w:rsidRDefault="009E7910" w:rsidP="000C2930">
      <w:pPr>
        <w:pStyle w:val="ListParagraph"/>
        <w:spacing w:line="240" w:lineRule="auto"/>
        <w:ind w:left="851" w:hanging="851"/>
        <w:jc w:val="both"/>
        <w:rPr>
          <w:rFonts w:asciiTheme="minorHAnsi" w:hAnsiTheme="minorHAnsi" w:cstheme="minorHAnsi"/>
          <w:sz w:val="24"/>
          <w:szCs w:val="24"/>
          <w:highlight w:val="yellow"/>
          <w:lang w:eastAsia="en-GB"/>
        </w:rPr>
      </w:pPr>
    </w:p>
    <w:p w14:paraId="28CA5F41" w14:textId="088E1858" w:rsidR="00E55273" w:rsidRPr="00485C52" w:rsidRDefault="009B1095" w:rsidP="00555BD5">
      <w:pPr>
        <w:pStyle w:val="PanelHeading"/>
      </w:pPr>
      <w:r w:rsidRPr="00485C52">
        <w:t>COUNCIL TAX COLLECTION FUND</w:t>
      </w:r>
    </w:p>
    <w:p w14:paraId="5D55BDDE" w14:textId="77777777" w:rsidR="008E1191" w:rsidRPr="003E0FE8" w:rsidRDefault="008E1191" w:rsidP="00BD46B3">
      <w:pPr>
        <w:pStyle w:val="PanelPara"/>
      </w:pPr>
      <w:r w:rsidRPr="003E0FE8">
        <w:t xml:space="preserve">Each year the billing authorities estimate how much of the total potential council tax income liability of taxpayers they will collect.  They advise precepting authorities of any projected surplus or deficit on the Collection Fund in January of each year. </w:t>
      </w:r>
    </w:p>
    <w:p w14:paraId="3D61D460" w14:textId="5AD15F34" w:rsidR="008E1191" w:rsidRPr="003E0FE8" w:rsidRDefault="008E1191" w:rsidP="00BD46B3">
      <w:pPr>
        <w:pStyle w:val="PanelPara"/>
      </w:pPr>
      <w:r w:rsidRPr="003E0FE8">
        <w:lastRenderedPageBreak/>
        <w:t>The PFCC is appreciative of the hard work undertaken by the unitary authorities in ensuring high collection rates and in providing the information to enable their inclusion in h</w:t>
      </w:r>
      <w:r w:rsidR="0061459D">
        <w:t>er</w:t>
      </w:r>
      <w:r w:rsidRPr="003E0FE8">
        <w:t xml:space="preserve"> budget and precept considerations.</w:t>
      </w:r>
    </w:p>
    <w:p w14:paraId="1CF2B8A8" w14:textId="42A5B773" w:rsidR="00D54977" w:rsidRPr="00BD46B3" w:rsidRDefault="008E1191" w:rsidP="00693C94">
      <w:pPr>
        <w:pStyle w:val="PanelPara"/>
      </w:pPr>
      <w:r w:rsidRPr="003E0FE8">
        <w:t>The unitary authorities have advised of their estimated collection fund positions for 2025/26</w:t>
      </w:r>
      <w:r w:rsidR="006A2693">
        <w:t xml:space="preserve">, both </w:t>
      </w:r>
      <w:r w:rsidRPr="003E0FE8">
        <w:t>reporting a surplus:</w:t>
      </w:r>
    </w:p>
    <w:tbl>
      <w:tblPr>
        <w:tblW w:w="6860" w:type="dxa"/>
        <w:tblInd w:w="562" w:type="dxa"/>
        <w:tblLook w:val="04A0" w:firstRow="1" w:lastRow="0" w:firstColumn="1" w:lastColumn="0" w:noHBand="0" w:noVBand="1"/>
      </w:tblPr>
      <w:tblGrid>
        <w:gridCol w:w="1460"/>
        <w:gridCol w:w="3940"/>
        <w:gridCol w:w="1460"/>
      </w:tblGrid>
      <w:tr w:rsidR="006A2693" w:rsidRPr="006A2693" w14:paraId="05F1D80A" w14:textId="77777777" w:rsidTr="006A2693">
        <w:trPr>
          <w:trHeight w:val="630"/>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55D859" w14:textId="77777777" w:rsidR="006A2693" w:rsidRPr="006A2693" w:rsidRDefault="006A2693" w:rsidP="006A2693">
            <w:pPr>
              <w:spacing w:line="240" w:lineRule="auto"/>
              <w:jc w:val="center"/>
              <w:rPr>
                <w:rFonts w:eastAsia="Times New Roman" w:cs="Calibri"/>
                <w:b/>
                <w:bCs/>
                <w:color w:val="000000"/>
                <w:sz w:val="24"/>
                <w:szCs w:val="24"/>
                <w:lang w:eastAsia="en-GB"/>
              </w:rPr>
            </w:pPr>
            <w:r w:rsidRPr="006A2693">
              <w:rPr>
                <w:rFonts w:eastAsia="Times New Roman" w:cs="Calibri"/>
                <w:b/>
                <w:bCs/>
                <w:color w:val="000000"/>
                <w:sz w:val="24"/>
                <w:szCs w:val="24"/>
                <w:lang w:eastAsia="en-GB"/>
              </w:rPr>
              <w:t>2024/25</w:t>
            </w:r>
            <w:r w:rsidRPr="006A2693">
              <w:rPr>
                <w:rFonts w:eastAsia="Times New Roman" w:cs="Calibri"/>
                <w:b/>
                <w:bCs/>
                <w:color w:val="000000"/>
                <w:sz w:val="24"/>
                <w:szCs w:val="24"/>
                <w:lang w:eastAsia="en-GB"/>
              </w:rPr>
              <w:br/>
              <w:t>£m</w:t>
            </w:r>
          </w:p>
        </w:tc>
        <w:tc>
          <w:tcPr>
            <w:tcW w:w="3940" w:type="dxa"/>
            <w:tcBorders>
              <w:top w:val="single" w:sz="4" w:space="0" w:color="auto"/>
              <w:left w:val="nil"/>
              <w:bottom w:val="single" w:sz="4" w:space="0" w:color="auto"/>
              <w:right w:val="single" w:sz="4" w:space="0" w:color="auto"/>
            </w:tcBorders>
            <w:shd w:val="clear" w:color="000000" w:fill="FFFFFF"/>
            <w:vAlign w:val="center"/>
            <w:hideMark/>
          </w:tcPr>
          <w:p w14:paraId="3659B416" w14:textId="77777777" w:rsidR="006A2693" w:rsidRPr="006A2693" w:rsidRDefault="006A2693" w:rsidP="006A2693">
            <w:pPr>
              <w:spacing w:line="240" w:lineRule="auto"/>
              <w:rPr>
                <w:rFonts w:eastAsia="Times New Roman" w:cs="Calibri"/>
                <w:b/>
                <w:bCs/>
                <w:color w:val="000000"/>
                <w:sz w:val="24"/>
                <w:szCs w:val="24"/>
                <w:lang w:eastAsia="en-GB"/>
              </w:rPr>
            </w:pPr>
            <w:r w:rsidRPr="006A2693">
              <w:rPr>
                <w:rFonts w:eastAsia="Times New Roman" w:cs="Calibri"/>
                <w:b/>
                <w:bCs/>
                <w:color w:val="000000"/>
                <w:sz w:val="24"/>
                <w:szCs w:val="24"/>
                <w:lang w:eastAsia="en-GB"/>
              </w:rPr>
              <w:t>NCFRA Share of Collection Fund Surplus / (Deficit)</w:t>
            </w:r>
          </w:p>
        </w:tc>
        <w:tc>
          <w:tcPr>
            <w:tcW w:w="1460" w:type="dxa"/>
            <w:tcBorders>
              <w:top w:val="single" w:sz="4" w:space="0" w:color="auto"/>
              <w:left w:val="nil"/>
              <w:bottom w:val="single" w:sz="4" w:space="0" w:color="auto"/>
              <w:right w:val="single" w:sz="4" w:space="0" w:color="auto"/>
            </w:tcBorders>
            <w:shd w:val="clear" w:color="000000" w:fill="FFDDDD"/>
            <w:vAlign w:val="center"/>
            <w:hideMark/>
          </w:tcPr>
          <w:p w14:paraId="2A5E7D18" w14:textId="77777777" w:rsidR="006A2693" w:rsidRPr="006A2693" w:rsidRDefault="006A2693" w:rsidP="006A2693">
            <w:pPr>
              <w:spacing w:line="240" w:lineRule="auto"/>
              <w:jc w:val="center"/>
              <w:rPr>
                <w:rFonts w:eastAsia="Times New Roman" w:cs="Calibri"/>
                <w:b/>
                <w:bCs/>
                <w:color w:val="000000"/>
                <w:sz w:val="24"/>
                <w:szCs w:val="24"/>
                <w:lang w:eastAsia="en-GB"/>
              </w:rPr>
            </w:pPr>
            <w:r w:rsidRPr="006A2693">
              <w:rPr>
                <w:rFonts w:eastAsia="Times New Roman" w:cs="Calibri"/>
                <w:b/>
                <w:bCs/>
                <w:color w:val="000000"/>
                <w:sz w:val="24"/>
                <w:szCs w:val="24"/>
                <w:lang w:eastAsia="en-GB"/>
              </w:rPr>
              <w:t>2025/26</w:t>
            </w:r>
            <w:r w:rsidRPr="006A2693">
              <w:rPr>
                <w:rFonts w:eastAsia="Times New Roman" w:cs="Calibri"/>
                <w:b/>
                <w:bCs/>
                <w:color w:val="000000"/>
                <w:sz w:val="24"/>
                <w:szCs w:val="24"/>
                <w:lang w:eastAsia="en-GB"/>
              </w:rPr>
              <w:br/>
              <w:t>£m</w:t>
            </w:r>
          </w:p>
        </w:tc>
      </w:tr>
      <w:tr w:rsidR="006A2693" w:rsidRPr="006A2693" w14:paraId="33F78D2D" w14:textId="77777777" w:rsidTr="006A2693">
        <w:trPr>
          <w:trHeight w:val="315"/>
        </w:trPr>
        <w:tc>
          <w:tcPr>
            <w:tcW w:w="1460" w:type="dxa"/>
            <w:tcBorders>
              <w:top w:val="nil"/>
              <w:left w:val="single" w:sz="4" w:space="0" w:color="auto"/>
              <w:bottom w:val="nil"/>
              <w:right w:val="single" w:sz="4" w:space="0" w:color="auto"/>
            </w:tcBorders>
            <w:shd w:val="clear" w:color="000000" w:fill="FFFFFF"/>
            <w:noWrap/>
            <w:vAlign w:val="bottom"/>
            <w:hideMark/>
          </w:tcPr>
          <w:p w14:paraId="29F9B4B3"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0.084</w:t>
            </w:r>
          </w:p>
        </w:tc>
        <w:tc>
          <w:tcPr>
            <w:tcW w:w="3940" w:type="dxa"/>
            <w:tcBorders>
              <w:top w:val="nil"/>
              <w:left w:val="nil"/>
              <w:bottom w:val="nil"/>
              <w:right w:val="single" w:sz="4" w:space="0" w:color="auto"/>
            </w:tcBorders>
            <w:shd w:val="clear" w:color="000000" w:fill="FFFFFF"/>
            <w:noWrap/>
            <w:vAlign w:val="bottom"/>
            <w:hideMark/>
          </w:tcPr>
          <w:p w14:paraId="6B96124A"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 North</w:t>
            </w:r>
          </w:p>
        </w:tc>
        <w:tc>
          <w:tcPr>
            <w:tcW w:w="1460" w:type="dxa"/>
            <w:tcBorders>
              <w:top w:val="nil"/>
              <w:left w:val="nil"/>
              <w:bottom w:val="nil"/>
              <w:right w:val="single" w:sz="4" w:space="0" w:color="auto"/>
            </w:tcBorders>
            <w:shd w:val="clear" w:color="000000" w:fill="FFDDDD"/>
            <w:noWrap/>
            <w:vAlign w:val="bottom"/>
            <w:hideMark/>
          </w:tcPr>
          <w:p w14:paraId="774883DC"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0.096</w:t>
            </w:r>
          </w:p>
        </w:tc>
      </w:tr>
      <w:tr w:rsidR="006A2693" w:rsidRPr="006A2693" w14:paraId="72FC786E" w14:textId="77777777" w:rsidTr="006A2693">
        <w:trPr>
          <w:trHeight w:val="315"/>
        </w:trPr>
        <w:tc>
          <w:tcPr>
            <w:tcW w:w="1460" w:type="dxa"/>
            <w:tcBorders>
              <w:top w:val="nil"/>
              <w:left w:val="single" w:sz="4" w:space="0" w:color="auto"/>
              <w:bottom w:val="nil"/>
              <w:right w:val="single" w:sz="4" w:space="0" w:color="auto"/>
            </w:tcBorders>
            <w:shd w:val="clear" w:color="000000" w:fill="FFFFFF"/>
            <w:noWrap/>
            <w:vAlign w:val="bottom"/>
            <w:hideMark/>
          </w:tcPr>
          <w:p w14:paraId="3AEFD3BC"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0.230</w:t>
            </w:r>
          </w:p>
        </w:tc>
        <w:tc>
          <w:tcPr>
            <w:tcW w:w="3940" w:type="dxa"/>
            <w:tcBorders>
              <w:top w:val="nil"/>
              <w:left w:val="nil"/>
              <w:bottom w:val="nil"/>
              <w:right w:val="single" w:sz="4" w:space="0" w:color="auto"/>
            </w:tcBorders>
            <w:shd w:val="clear" w:color="000000" w:fill="FFFFFF"/>
            <w:noWrap/>
            <w:vAlign w:val="bottom"/>
            <w:hideMark/>
          </w:tcPr>
          <w:p w14:paraId="1D9AABB7" w14:textId="77777777" w:rsidR="006A2693" w:rsidRPr="006A2693" w:rsidRDefault="006A2693" w:rsidP="006A2693">
            <w:pPr>
              <w:spacing w:line="240" w:lineRule="auto"/>
              <w:rPr>
                <w:rFonts w:eastAsia="Times New Roman" w:cs="Calibri"/>
                <w:color w:val="000000"/>
                <w:sz w:val="24"/>
                <w:szCs w:val="24"/>
                <w:lang w:eastAsia="en-GB"/>
              </w:rPr>
            </w:pPr>
            <w:r w:rsidRPr="006A2693">
              <w:rPr>
                <w:rFonts w:eastAsia="Times New Roman" w:cs="Calibri"/>
                <w:color w:val="000000"/>
                <w:sz w:val="24"/>
                <w:szCs w:val="24"/>
                <w:lang w:eastAsia="en-GB"/>
              </w:rPr>
              <w:t>- West</w:t>
            </w:r>
          </w:p>
        </w:tc>
        <w:tc>
          <w:tcPr>
            <w:tcW w:w="1460" w:type="dxa"/>
            <w:tcBorders>
              <w:top w:val="nil"/>
              <w:left w:val="nil"/>
              <w:bottom w:val="single" w:sz="4" w:space="0" w:color="auto"/>
              <w:right w:val="single" w:sz="4" w:space="0" w:color="auto"/>
            </w:tcBorders>
            <w:shd w:val="clear" w:color="000000" w:fill="FFDDDD"/>
            <w:noWrap/>
            <w:vAlign w:val="bottom"/>
            <w:hideMark/>
          </w:tcPr>
          <w:p w14:paraId="51BA4BD8" w14:textId="77777777" w:rsidR="006A2693" w:rsidRPr="006A2693" w:rsidRDefault="006A2693" w:rsidP="006A2693">
            <w:pPr>
              <w:spacing w:line="240" w:lineRule="auto"/>
              <w:jc w:val="right"/>
              <w:rPr>
                <w:rFonts w:eastAsia="Times New Roman" w:cs="Calibri"/>
                <w:color w:val="000000"/>
                <w:sz w:val="24"/>
                <w:szCs w:val="24"/>
                <w:lang w:eastAsia="en-GB"/>
              </w:rPr>
            </w:pPr>
            <w:r w:rsidRPr="006A2693">
              <w:rPr>
                <w:rFonts w:eastAsia="Times New Roman" w:cs="Calibri"/>
                <w:color w:val="000000"/>
                <w:sz w:val="24"/>
                <w:szCs w:val="24"/>
                <w:lang w:eastAsia="en-GB"/>
              </w:rPr>
              <w:t>0.116</w:t>
            </w:r>
          </w:p>
        </w:tc>
      </w:tr>
      <w:tr w:rsidR="006A2693" w:rsidRPr="006A2693" w14:paraId="5F85879E" w14:textId="77777777" w:rsidTr="006A2693">
        <w:trPr>
          <w:trHeight w:val="315"/>
        </w:trPr>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A5016E" w14:textId="77777777" w:rsidR="006A2693" w:rsidRPr="006A2693" w:rsidRDefault="006A2693" w:rsidP="006A2693">
            <w:pPr>
              <w:spacing w:line="240" w:lineRule="auto"/>
              <w:jc w:val="right"/>
              <w:rPr>
                <w:rFonts w:eastAsia="Times New Roman" w:cs="Calibri"/>
                <w:b/>
                <w:bCs/>
                <w:color w:val="000000"/>
                <w:sz w:val="24"/>
                <w:szCs w:val="24"/>
                <w:lang w:eastAsia="en-GB"/>
              </w:rPr>
            </w:pPr>
            <w:r w:rsidRPr="006A2693">
              <w:rPr>
                <w:rFonts w:eastAsia="Times New Roman" w:cs="Calibri"/>
                <w:b/>
                <w:bCs/>
                <w:color w:val="000000"/>
                <w:sz w:val="24"/>
                <w:szCs w:val="24"/>
                <w:lang w:eastAsia="en-GB"/>
              </w:rPr>
              <w:t>0.315</w:t>
            </w:r>
          </w:p>
        </w:tc>
        <w:tc>
          <w:tcPr>
            <w:tcW w:w="3940" w:type="dxa"/>
            <w:tcBorders>
              <w:top w:val="single" w:sz="4" w:space="0" w:color="auto"/>
              <w:left w:val="nil"/>
              <w:bottom w:val="single" w:sz="4" w:space="0" w:color="auto"/>
              <w:right w:val="single" w:sz="4" w:space="0" w:color="auto"/>
            </w:tcBorders>
            <w:shd w:val="clear" w:color="000000" w:fill="FFFFFF"/>
            <w:noWrap/>
            <w:vAlign w:val="bottom"/>
            <w:hideMark/>
          </w:tcPr>
          <w:p w14:paraId="0734C157" w14:textId="77777777" w:rsidR="006A2693" w:rsidRPr="006A2693" w:rsidRDefault="006A2693" w:rsidP="006A2693">
            <w:pPr>
              <w:spacing w:line="240" w:lineRule="auto"/>
              <w:rPr>
                <w:rFonts w:eastAsia="Times New Roman" w:cs="Calibri"/>
                <w:b/>
                <w:bCs/>
                <w:color w:val="000000"/>
                <w:sz w:val="24"/>
                <w:szCs w:val="24"/>
                <w:lang w:eastAsia="en-GB"/>
              </w:rPr>
            </w:pPr>
            <w:r w:rsidRPr="006A2693">
              <w:rPr>
                <w:rFonts w:eastAsia="Times New Roman" w:cs="Calibri"/>
                <w:b/>
                <w:bCs/>
                <w:color w:val="000000"/>
                <w:sz w:val="24"/>
                <w:szCs w:val="24"/>
                <w:lang w:eastAsia="en-GB"/>
              </w:rPr>
              <w:t>Collection Fund Surplus</w:t>
            </w:r>
          </w:p>
        </w:tc>
        <w:tc>
          <w:tcPr>
            <w:tcW w:w="1460" w:type="dxa"/>
            <w:tcBorders>
              <w:top w:val="nil"/>
              <w:left w:val="nil"/>
              <w:bottom w:val="single" w:sz="4" w:space="0" w:color="auto"/>
              <w:right w:val="single" w:sz="4" w:space="0" w:color="auto"/>
            </w:tcBorders>
            <w:shd w:val="clear" w:color="000000" w:fill="FFDDDD"/>
            <w:noWrap/>
            <w:vAlign w:val="bottom"/>
            <w:hideMark/>
          </w:tcPr>
          <w:p w14:paraId="0DE9DB0F" w14:textId="77777777" w:rsidR="006A2693" w:rsidRPr="006A2693" w:rsidRDefault="006A2693" w:rsidP="006A2693">
            <w:pPr>
              <w:spacing w:line="240" w:lineRule="auto"/>
              <w:jc w:val="right"/>
              <w:rPr>
                <w:rFonts w:eastAsia="Times New Roman" w:cs="Calibri"/>
                <w:b/>
                <w:bCs/>
                <w:color w:val="000000"/>
                <w:sz w:val="24"/>
                <w:szCs w:val="24"/>
                <w:lang w:eastAsia="en-GB"/>
              </w:rPr>
            </w:pPr>
            <w:r w:rsidRPr="006A2693">
              <w:rPr>
                <w:rFonts w:eastAsia="Times New Roman" w:cs="Calibri"/>
                <w:b/>
                <w:bCs/>
                <w:color w:val="000000"/>
                <w:sz w:val="24"/>
                <w:szCs w:val="24"/>
                <w:lang w:eastAsia="en-GB"/>
              </w:rPr>
              <w:t>0.211</w:t>
            </w:r>
          </w:p>
        </w:tc>
      </w:tr>
    </w:tbl>
    <w:p w14:paraId="1C31947E" w14:textId="77777777" w:rsidR="00555BD5" w:rsidRPr="00450555" w:rsidRDefault="00555BD5" w:rsidP="00555BD5">
      <w:pPr>
        <w:pStyle w:val="NoSpacing"/>
        <w:rPr>
          <w:highlight w:val="yellow"/>
        </w:rPr>
      </w:pPr>
    </w:p>
    <w:p w14:paraId="34347819" w14:textId="77777777" w:rsidR="008E1191" w:rsidRPr="003E0FE8" w:rsidRDefault="008E1191" w:rsidP="00BD46B3">
      <w:pPr>
        <w:pStyle w:val="PanelPara"/>
      </w:pPr>
      <w:bookmarkStart w:id="8" w:name="_Hlk156745294"/>
      <w:r w:rsidRPr="003E0FE8">
        <w:t>Due to statutory timescales, notification of the final collection fund surplus figures is received after the draft budgets are finalised.  If this surplus results in a one-year benefit, it will be transferred to reserves to replenish some of the one-off use of reserves planned as part of the agreed balanced budget.  Conversely, a deficit would be offset by in-year savings or a transfer from reserves.</w:t>
      </w:r>
    </w:p>
    <w:p w14:paraId="5BF02468" w14:textId="77777777" w:rsidR="008E1191" w:rsidRPr="003E0FE8" w:rsidRDefault="008E1191" w:rsidP="00BD46B3">
      <w:pPr>
        <w:pStyle w:val="PanelPara"/>
      </w:pPr>
      <w:bookmarkStart w:id="9" w:name="_Hlk156745341"/>
      <w:bookmarkEnd w:id="8"/>
      <w:r w:rsidRPr="003E0FE8">
        <w:t>The s151 officers will work closely with the unitary authorities throughout the year to monitor and understand any impact on the collection fund position for 2025/26 and future years.</w:t>
      </w:r>
    </w:p>
    <w:p w14:paraId="2857191E" w14:textId="77777777" w:rsidR="00452247" w:rsidRDefault="00452247" w:rsidP="00B8603D">
      <w:bookmarkStart w:id="10" w:name="_Hlk92960447"/>
      <w:bookmarkEnd w:id="9"/>
    </w:p>
    <w:p w14:paraId="0FE59DF1" w14:textId="700229A3" w:rsidR="005347E5" w:rsidRPr="00A24117" w:rsidRDefault="009B1095" w:rsidP="00555BD5">
      <w:pPr>
        <w:pStyle w:val="PanelHeading"/>
      </w:pPr>
      <w:r w:rsidRPr="00A24117">
        <w:t>PUBLIC CONSULTATION ON THE LEVEL OF THE PRECEPT</w:t>
      </w:r>
    </w:p>
    <w:p w14:paraId="5AAC60FF" w14:textId="6FC1BDD7" w:rsidR="00A5441B" w:rsidRDefault="00A5441B" w:rsidP="00BD46B3">
      <w:pPr>
        <w:pStyle w:val="PanelPara"/>
      </w:pPr>
      <w:bookmarkStart w:id="11" w:name="_Hlk186542533"/>
      <w:bookmarkStart w:id="12" w:name="_Hlk188267697"/>
      <w:r w:rsidRPr="00A24117">
        <w:t>Each year</w:t>
      </w:r>
      <w:r w:rsidR="00A4486E">
        <w:t>,</w:t>
      </w:r>
      <w:r w:rsidRPr="00A24117">
        <w:t xml:space="preserve"> the PFCC undertakes consultation </w:t>
      </w:r>
      <w:r w:rsidR="00A4486E">
        <w:t xml:space="preserve">via a survey </w:t>
      </w:r>
      <w:r w:rsidRPr="00A24117">
        <w:t>with residents of Northamptonshire to gather their views which help to inform precept intentions</w:t>
      </w:r>
      <w:bookmarkEnd w:id="11"/>
      <w:r w:rsidRPr="00A24117">
        <w:t>.</w:t>
      </w:r>
    </w:p>
    <w:p w14:paraId="7BCFC19E" w14:textId="7FA45B5B" w:rsidR="00F0355A" w:rsidRPr="00A24117" w:rsidRDefault="00F0355A" w:rsidP="00BD46B3">
      <w:pPr>
        <w:pStyle w:val="PanelPara"/>
      </w:pPr>
      <w:r>
        <w:t>Having drafted the new Police, Fire and Crime Plan, it was timely to consult on both the Plan and the precept intentions that underpin it as part of the same online survey.  This followed considerable consultation with communities as part the of the “big conversation” described earlier in this report.</w:t>
      </w:r>
    </w:p>
    <w:p w14:paraId="49638541" w14:textId="5A5C141D" w:rsidR="009B1095" w:rsidRPr="000B2EB8" w:rsidRDefault="009B1095" w:rsidP="00BD46B3">
      <w:pPr>
        <w:pStyle w:val="PanelPara"/>
        <w:rPr>
          <w:bCs/>
        </w:rPr>
      </w:pPr>
      <w:r w:rsidRPr="000B2EB8">
        <w:t xml:space="preserve">The PFCC undertook </w:t>
      </w:r>
      <w:r w:rsidR="00F0355A">
        <w:t>the</w:t>
      </w:r>
      <w:r w:rsidRPr="000B2EB8">
        <w:t xml:space="preserve"> survey over the period 28</w:t>
      </w:r>
      <w:r w:rsidRPr="000B2EB8">
        <w:rPr>
          <w:vertAlign w:val="superscript"/>
        </w:rPr>
        <w:t>th</w:t>
      </w:r>
      <w:r w:rsidRPr="000B2EB8">
        <w:t xml:space="preserve"> November 2024 to </w:t>
      </w:r>
      <w:r w:rsidR="00DB78E5">
        <w:t>5</w:t>
      </w:r>
      <w:r w:rsidRPr="000B2EB8">
        <w:rPr>
          <w:vertAlign w:val="superscript"/>
        </w:rPr>
        <w:t>th</w:t>
      </w:r>
      <w:r w:rsidRPr="000B2EB8">
        <w:t xml:space="preserve"> January 2025, with the intention of reaching as many people as possible to obtain the views of a demographically representative group of the county’s population.</w:t>
      </w:r>
    </w:p>
    <w:p w14:paraId="09FBE229" w14:textId="77777777" w:rsidR="009B1095" w:rsidRPr="000B2EB8" w:rsidRDefault="009B1095" w:rsidP="00BD46B3">
      <w:pPr>
        <w:pStyle w:val="PanelPara"/>
        <w:rPr>
          <w:bCs/>
        </w:rPr>
      </w:pPr>
      <w:r w:rsidRPr="000B2EB8">
        <w:t>The survey was sent out to a wide range of contacts and using many different approaches as detailed in Appendix A.</w:t>
      </w:r>
    </w:p>
    <w:p w14:paraId="1F2006AE" w14:textId="77777777" w:rsidR="009B1095" w:rsidRPr="000B2EB8" w:rsidRDefault="009B1095" w:rsidP="00BD46B3">
      <w:pPr>
        <w:pStyle w:val="PanelPara"/>
      </w:pPr>
      <w:r w:rsidRPr="000B2EB8">
        <w:t xml:space="preserve">This wide reach is set within the challenges of the limited timescale of the government funding settlement, the current cost of living climate and the fact that it was held over the festive season.  </w:t>
      </w:r>
    </w:p>
    <w:p w14:paraId="6BC58F5B" w14:textId="77777777" w:rsidR="009B1095" w:rsidRPr="000B2EB8" w:rsidRDefault="009B1095" w:rsidP="00BD46B3">
      <w:pPr>
        <w:pStyle w:val="PanelPara"/>
      </w:pPr>
      <w:r w:rsidRPr="000B2EB8">
        <w:t>Interim reviews were taken on the survey to assess the reach and where appropriate, additional communications were made to key areas of the county to ensure those who wished to contribute to the survey were able to do so.</w:t>
      </w:r>
    </w:p>
    <w:bookmarkEnd w:id="10"/>
    <w:p w14:paraId="3AC220EB" w14:textId="77777777" w:rsidR="00C65ED9" w:rsidRPr="000B2EB8" w:rsidRDefault="00C65ED9" w:rsidP="00C65ED9">
      <w:pPr>
        <w:pStyle w:val="PanelPara"/>
      </w:pPr>
      <w:r w:rsidRPr="000B2EB8">
        <w:t>The PFCC would like to give particular appreciation to the commitment and engagement of the Chair and members of the Police, Fire and Crime Panel, local Councillors</w:t>
      </w:r>
      <w:r>
        <w:t>,</w:t>
      </w:r>
      <w:r w:rsidRPr="000B2EB8">
        <w:t xml:space="preserve"> MPs, community </w:t>
      </w:r>
      <w:r w:rsidRPr="000B2EB8">
        <w:lastRenderedPageBreak/>
        <w:t xml:space="preserve">leaders and teams within the unitary authorities </w:t>
      </w:r>
      <w:r>
        <w:t>for their support</w:t>
      </w:r>
      <w:r w:rsidRPr="000B2EB8">
        <w:t xml:space="preserve"> disseminat</w:t>
      </w:r>
      <w:r>
        <w:t>ing</w:t>
      </w:r>
      <w:r w:rsidRPr="000B2EB8">
        <w:t xml:space="preserve"> the survey amongst local residents and contacts.</w:t>
      </w:r>
    </w:p>
    <w:p w14:paraId="646430AF" w14:textId="77777777" w:rsidR="009B1095" w:rsidRPr="000B2EB8" w:rsidRDefault="009B1095" w:rsidP="00BD46B3">
      <w:pPr>
        <w:pStyle w:val="PanelPara"/>
      </w:pPr>
      <w:r w:rsidRPr="000B2EB8">
        <w:t>The online survey received 1,75</w:t>
      </w:r>
      <w:r>
        <w:t>1</w:t>
      </w:r>
      <w:r w:rsidRPr="000B2EB8">
        <w:t xml:space="preserve"> responses.  This is classed as a statistically relevant sample size for the County based on a 95% level of confidence.  The PFCC has considered the results of the online survey which were:</w:t>
      </w:r>
    </w:p>
    <w:bookmarkEnd w:id="12"/>
    <w:p w14:paraId="5559CBD1" w14:textId="37CE4386" w:rsidR="00A5441B" w:rsidRPr="00452247" w:rsidRDefault="009B1095" w:rsidP="00BD46B3">
      <w:pPr>
        <w:pStyle w:val="PanelBullet"/>
        <w:rPr>
          <w:b/>
          <w:bCs/>
        </w:rPr>
      </w:pPr>
      <w:r w:rsidRPr="00452247">
        <w:rPr>
          <w:b/>
          <w:bCs/>
        </w:rPr>
        <w:t>61</w:t>
      </w:r>
      <w:r w:rsidR="00A5441B" w:rsidRPr="00452247">
        <w:rPr>
          <w:b/>
          <w:bCs/>
        </w:rPr>
        <w:t>.</w:t>
      </w:r>
      <w:r w:rsidRPr="00452247">
        <w:rPr>
          <w:b/>
          <w:bCs/>
        </w:rPr>
        <w:t>2</w:t>
      </w:r>
      <w:r w:rsidR="00A5441B" w:rsidRPr="00452247">
        <w:rPr>
          <w:b/>
          <w:bCs/>
        </w:rPr>
        <w:t>% of residents were prepared to pay £5 or more if they were able to for Fire services.</w:t>
      </w:r>
    </w:p>
    <w:p w14:paraId="70ECF9AC" w14:textId="6BFD91B5" w:rsidR="00A5441B" w:rsidRPr="009B1095" w:rsidRDefault="00A5441B" w:rsidP="00BD46B3">
      <w:pPr>
        <w:pStyle w:val="PanelBullet"/>
      </w:pPr>
      <w:r w:rsidRPr="009B1095">
        <w:t>3</w:t>
      </w:r>
      <w:r w:rsidR="009B1095" w:rsidRPr="009B1095">
        <w:t>1</w:t>
      </w:r>
      <w:r w:rsidRPr="009B1095">
        <w:t>.3% were not prepared to pay any more than they do now.</w:t>
      </w:r>
    </w:p>
    <w:p w14:paraId="4E333923" w14:textId="5CD4713F" w:rsidR="00A5441B" w:rsidRPr="009B1095" w:rsidRDefault="009B1095" w:rsidP="00BD46B3">
      <w:pPr>
        <w:pStyle w:val="PanelBullet"/>
      </w:pPr>
      <w:r w:rsidRPr="009B1095">
        <w:t>7.5</w:t>
      </w:r>
      <w:r w:rsidR="00A5441B" w:rsidRPr="009B1095">
        <w:t>% said they did not know.</w:t>
      </w:r>
    </w:p>
    <w:p w14:paraId="327DCC91" w14:textId="1EEBC977" w:rsidR="00381FA2" w:rsidRPr="00A37EFD" w:rsidRDefault="00A5441B" w:rsidP="00BD46B3">
      <w:pPr>
        <w:pStyle w:val="PanelPara"/>
      </w:pPr>
      <w:bookmarkStart w:id="13" w:name="_Hlk188267706"/>
      <w:r w:rsidRPr="00A37EFD">
        <w:t xml:space="preserve">The PFCC will consider the narrative comments in the survey </w:t>
      </w:r>
      <w:r w:rsidR="00F0355A" w:rsidRPr="00A37EFD">
        <w:t xml:space="preserve">and </w:t>
      </w:r>
      <w:r w:rsidR="00A37EFD" w:rsidRPr="00A37EFD">
        <w:t>more detailed analysis</w:t>
      </w:r>
      <w:r w:rsidR="00F0355A" w:rsidRPr="00A37EFD">
        <w:t xml:space="preserve"> </w:t>
      </w:r>
      <w:r w:rsidRPr="00A37EFD">
        <w:t>which will be published on the PFCC website in due course.</w:t>
      </w:r>
    </w:p>
    <w:p w14:paraId="52CC3E32" w14:textId="60E11CC5" w:rsidR="00A37EFD" w:rsidRPr="00A37EFD" w:rsidRDefault="00A37EFD" w:rsidP="00BD46B3">
      <w:pPr>
        <w:pStyle w:val="PanelPara"/>
      </w:pPr>
      <w:r w:rsidRPr="00A37EFD">
        <w:t xml:space="preserve">Results pertaining to consultation on the Plan will </w:t>
      </w:r>
      <w:r>
        <w:t xml:space="preserve">be </w:t>
      </w:r>
      <w:r w:rsidRPr="00A37EFD">
        <w:t>shared and published in due course when analysis is complete.</w:t>
      </w:r>
    </w:p>
    <w:p w14:paraId="402B3D78" w14:textId="77777777" w:rsidR="00F120AF" w:rsidRDefault="009B1095" w:rsidP="00BD46B3">
      <w:pPr>
        <w:pStyle w:val="PanelPara"/>
      </w:pPr>
      <w:r w:rsidRPr="00A37EFD">
        <w:t>The OPFCC is holding a Police Fire and Crime Panel workshop on the 27</w:t>
      </w:r>
      <w:r w:rsidRPr="00A37EFD">
        <w:rPr>
          <w:vertAlign w:val="superscript"/>
        </w:rPr>
        <w:t>th</w:t>
      </w:r>
      <w:r w:rsidRPr="00A37EFD">
        <w:t xml:space="preserve"> January 2025</w:t>
      </w:r>
      <w:r w:rsidRPr="003701F3">
        <w:t xml:space="preserve"> regarding the budget and precept considerations for 2025/26, with all Panel members invited.  These annual workshops commenced in 2021 and have been useful to give members a deeper understanding of the detail behind the budget and precept proposals.</w:t>
      </w:r>
      <w:bookmarkStart w:id="14" w:name="_Hlk62220519"/>
    </w:p>
    <w:bookmarkEnd w:id="13"/>
    <w:p w14:paraId="4D29A4B0" w14:textId="6A7B9FE6" w:rsidR="00B8603D" w:rsidRDefault="00B8603D">
      <w:pPr>
        <w:spacing w:line="240" w:lineRule="auto"/>
        <w:rPr>
          <w:rFonts w:asciiTheme="minorHAnsi" w:hAnsiTheme="minorHAnsi" w:cstheme="minorHAnsi"/>
          <w:b/>
          <w:bCs/>
          <w:sz w:val="24"/>
          <w:szCs w:val="24"/>
        </w:rPr>
      </w:pPr>
    </w:p>
    <w:p w14:paraId="58A8C87B" w14:textId="49D00A58" w:rsidR="00F120AF" w:rsidRPr="00452247" w:rsidRDefault="00F120AF" w:rsidP="00452247">
      <w:pPr>
        <w:pStyle w:val="PanelPara"/>
        <w:numPr>
          <w:ilvl w:val="0"/>
          <w:numId w:val="0"/>
        </w:numPr>
        <w:rPr>
          <w:b/>
          <w:bCs/>
        </w:rPr>
      </w:pPr>
      <w:r w:rsidRPr="00452247">
        <w:rPr>
          <w:b/>
          <w:bCs/>
        </w:rPr>
        <w:t>BUDGET STRATEGY – APPROACH AND SCRUTINY</w:t>
      </w:r>
      <w:bookmarkStart w:id="15" w:name="_Hlk156747272"/>
    </w:p>
    <w:p w14:paraId="58BEE9DA" w14:textId="77777777" w:rsidR="00F120AF" w:rsidRDefault="00F120AF" w:rsidP="00BD46B3">
      <w:pPr>
        <w:pStyle w:val="PanelPara"/>
      </w:pPr>
      <w:r w:rsidRPr="00503283">
        <w:t>The budget is prepared under the Joint Finance Team using an approach which provides consistency across Fire and Police.  This has enabled comparability of assumptions and principles, together with best practice, resilience and a more efficient process applied to budgeting for all services.</w:t>
      </w:r>
    </w:p>
    <w:p w14:paraId="772E81A4" w14:textId="77777777" w:rsidR="00F120AF" w:rsidRDefault="00F120AF" w:rsidP="00BD46B3">
      <w:pPr>
        <w:pStyle w:val="PanelPara"/>
      </w:pPr>
      <w:r w:rsidRPr="00503283">
        <w:t xml:space="preserve">Following the preparation of the budget strategy and approach in September, briefing sessions took place with all budget holders and the strategy was shared with the Joint Independent Audit Committee (JIAC) for further scrutiny and review. </w:t>
      </w:r>
    </w:p>
    <w:p w14:paraId="755671AE" w14:textId="77777777" w:rsidR="00F120AF" w:rsidRDefault="00F120AF" w:rsidP="00BD46B3">
      <w:pPr>
        <w:pStyle w:val="PanelPara"/>
      </w:pPr>
      <w:r w:rsidRPr="00503283">
        <w:t xml:space="preserve">The budget has been prepared on a zero-base where possible, in full consultation with budget holders, aligned to the Police, Fire and Crime Plan and tested against the MTFP. </w:t>
      </w:r>
      <w:r>
        <w:t xml:space="preserve"> This</w:t>
      </w:r>
      <w:r w:rsidRPr="00503283">
        <w:t xml:space="preserve"> ensures that efficiencies are taken from this process where possible </w:t>
      </w:r>
      <w:r>
        <w:t xml:space="preserve">and </w:t>
      </w:r>
      <w:r w:rsidRPr="00503283">
        <w:t>that only approved increases, inflation and unavoidable pressures are built in.  Detailed workings are prepared, and the format of the budget models are consistent and contain built-in checks and balances to ensure the correct information is fed through.</w:t>
      </w:r>
    </w:p>
    <w:p w14:paraId="180954BF" w14:textId="77777777" w:rsidR="00F120AF" w:rsidRDefault="00F120AF" w:rsidP="00BD46B3">
      <w:pPr>
        <w:pStyle w:val="PanelPara"/>
      </w:pPr>
      <w:r>
        <w:t>T</w:t>
      </w:r>
      <w:r w:rsidRPr="00237D13">
        <w:t>here has been a significant amount of scrutiny and challenge on the budget, and as part of these discussions and negotiations, the PFCC has sought and received assurances on the robustness of budgeting activity.</w:t>
      </w:r>
    </w:p>
    <w:p w14:paraId="417C99E4" w14:textId="5D4E185B" w:rsidR="00F120AF" w:rsidRPr="00503283" w:rsidRDefault="00F120AF" w:rsidP="00BD46B3">
      <w:pPr>
        <w:pStyle w:val="PanelPara"/>
      </w:pPr>
      <w:r w:rsidRPr="00503283">
        <w:t>The table below sets out the preparation and scrutiny elements of the budgeting process:</w:t>
      </w:r>
    </w:p>
    <w:bookmarkEnd w:id="15"/>
    <w:p w14:paraId="3D67B52B" w14:textId="77777777" w:rsidR="00F120AF" w:rsidRPr="00F120AF" w:rsidRDefault="00F120AF" w:rsidP="00BD46B3">
      <w:pPr>
        <w:pStyle w:val="PanelPara"/>
        <w:numPr>
          <w:ilvl w:val="0"/>
          <w:numId w:val="0"/>
        </w:numPr>
      </w:pPr>
      <w:r w:rsidRPr="00F120AF">
        <w:rPr>
          <w:noProof/>
        </w:rPr>
        <w:lastRenderedPageBreak/>
        <w:drawing>
          <wp:inline distT="0" distB="0" distL="0" distR="0" wp14:anchorId="514F17FF" wp14:editId="3B534CF6">
            <wp:extent cx="6105525" cy="3981450"/>
            <wp:effectExtent l="57150" t="38100" r="9525" b="95250"/>
            <wp:docPr id="6" name="Diagram 6">
              <a:extLst xmlns:a="http://schemas.openxmlformats.org/drawingml/2006/main">
                <a:ext uri="{FF2B5EF4-FFF2-40B4-BE49-F238E27FC236}">
                  <a16:creationId xmlns:a16="http://schemas.microsoft.com/office/drawing/2014/main" id="{AD664C20-7B26-5365-F78B-95BC80D3F6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bookmarkEnd w:id="14"/>
    <w:p w14:paraId="438C73ED" w14:textId="7D87AD27" w:rsidR="00DC02EA" w:rsidRPr="007F0EA3" w:rsidRDefault="00DC02EA" w:rsidP="00DC02EA">
      <w:pPr>
        <w:pStyle w:val="PanelPara"/>
      </w:pPr>
      <w:r w:rsidRPr="007F0EA3">
        <w:t xml:space="preserve">At the December Accountability Board, the PFCC commended the work on proposed budgets and approved investments in principle whilst final funding information was awaited.  The PFCC </w:t>
      </w:r>
      <w:r w:rsidRPr="00DC02EA">
        <w:t>subsequently</w:t>
      </w:r>
      <w:r w:rsidRPr="007F0EA3">
        <w:t xml:space="preserve"> approved the budget subject to agreement on the precept and the sum of £</w:t>
      </w:r>
      <w:r>
        <w:t>0.25</w:t>
      </w:r>
      <w:r w:rsidRPr="007F0EA3">
        <w:t xml:space="preserve">m for investments requested by the Chief </w:t>
      </w:r>
      <w:r>
        <w:t>Fire Officer</w:t>
      </w:r>
      <w:r w:rsidRPr="007F0EA3">
        <w:t>.</w:t>
      </w:r>
      <w:r>
        <w:t xml:space="preserve">  This included a commitment by the Chief Fire Officer to balance investment with meeting the savings/efficiencies challenge.</w:t>
      </w:r>
    </w:p>
    <w:p w14:paraId="49671FBA" w14:textId="05BC40C7" w:rsidR="00510EC4" w:rsidRDefault="00510EC4">
      <w:pPr>
        <w:spacing w:line="240" w:lineRule="auto"/>
        <w:rPr>
          <w:rFonts w:asciiTheme="minorHAnsi" w:hAnsiTheme="minorHAnsi" w:cstheme="minorHAnsi"/>
          <w:b/>
          <w:sz w:val="24"/>
          <w:szCs w:val="24"/>
        </w:rPr>
      </w:pPr>
    </w:p>
    <w:p w14:paraId="069C20A1" w14:textId="77777777" w:rsidR="00663AE7" w:rsidRDefault="00663AE7">
      <w:pPr>
        <w:spacing w:line="240" w:lineRule="auto"/>
        <w:rPr>
          <w:rFonts w:asciiTheme="minorHAnsi" w:hAnsiTheme="minorHAnsi" w:cstheme="minorHAnsi"/>
          <w:b/>
          <w:sz w:val="24"/>
          <w:szCs w:val="24"/>
        </w:rPr>
      </w:pPr>
      <w:r>
        <w:br w:type="page"/>
      </w:r>
    </w:p>
    <w:p w14:paraId="72CC8B79" w14:textId="23B234B1" w:rsidR="00F120AF" w:rsidRPr="00F120AF" w:rsidRDefault="00F120AF" w:rsidP="00DC02EA">
      <w:pPr>
        <w:pStyle w:val="PanelHeading"/>
        <w:spacing w:line="240" w:lineRule="auto"/>
        <w:contextualSpacing/>
      </w:pPr>
      <w:r>
        <w:lastRenderedPageBreak/>
        <w:t>2025/26 – THE FIRE BUDGET</w:t>
      </w:r>
    </w:p>
    <w:p w14:paraId="1E2447D7" w14:textId="358EBF8F" w:rsidR="00F120AF" w:rsidRPr="000566DF" w:rsidRDefault="00F120AF" w:rsidP="000566DF">
      <w:pPr>
        <w:pStyle w:val="PanelPara"/>
      </w:pPr>
      <w:r w:rsidRPr="000566DF">
        <w:t>The budget for NCFRA in 2025/26 is £33.</w:t>
      </w:r>
      <w:r w:rsidR="000566DF">
        <w:t>723</w:t>
      </w:r>
      <w:r w:rsidRPr="000566DF">
        <w:t>m, an increase of over £2.</w:t>
      </w:r>
      <w:r w:rsidR="000566DF">
        <w:t>2</w:t>
      </w:r>
      <w:r w:rsidRPr="000566DF">
        <w:t>m from 2024/25 as follows:</w:t>
      </w:r>
    </w:p>
    <w:tbl>
      <w:tblPr>
        <w:tblW w:w="7120" w:type="dxa"/>
        <w:tblInd w:w="562" w:type="dxa"/>
        <w:tblLook w:val="04A0" w:firstRow="1" w:lastRow="0" w:firstColumn="1" w:lastColumn="0" w:noHBand="0" w:noVBand="1"/>
      </w:tblPr>
      <w:tblGrid>
        <w:gridCol w:w="1220"/>
        <w:gridCol w:w="4680"/>
        <w:gridCol w:w="1220"/>
      </w:tblGrid>
      <w:tr w:rsidR="00D54977" w:rsidRPr="00D54977" w14:paraId="0D0D15B4" w14:textId="77777777" w:rsidTr="00D54977">
        <w:trPr>
          <w:trHeight w:val="630"/>
        </w:trPr>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0F794F" w14:textId="77777777" w:rsidR="00D54977" w:rsidRPr="00D54977" w:rsidRDefault="00D54977" w:rsidP="00D54977">
            <w:pPr>
              <w:spacing w:line="240" w:lineRule="auto"/>
              <w:jc w:val="center"/>
              <w:rPr>
                <w:rFonts w:eastAsia="Times New Roman" w:cs="Calibri"/>
                <w:b/>
                <w:bCs/>
                <w:color w:val="000000"/>
                <w:sz w:val="24"/>
                <w:szCs w:val="24"/>
                <w:lang w:eastAsia="en-GB"/>
              </w:rPr>
            </w:pPr>
            <w:r w:rsidRPr="00D54977">
              <w:rPr>
                <w:rFonts w:eastAsia="Times New Roman" w:cs="Calibri"/>
                <w:b/>
                <w:bCs/>
                <w:color w:val="000000"/>
                <w:sz w:val="24"/>
                <w:szCs w:val="24"/>
                <w:lang w:eastAsia="en-GB"/>
              </w:rPr>
              <w:t>2024/25</w:t>
            </w:r>
            <w:r w:rsidRPr="00D54977">
              <w:rPr>
                <w:rFonts w:eastAsia="Times New Roman" w:cs="Calibri"/>
                <w:b/>
                <w:bCs/>
                <w:color w:val="000000"/>
                <w:sz w:val="24"/>
                <w:szCs w:val="24"/>
                <w:lang w:eastAsia="en-GB"/>
              </w:rPr>
              <w:br/>
              <w:t>£m</w:t>
            </w:r>
          </w:p>
        </w:tc>
        <w:tc>
          <w:tcPr>
            <w:tcW w:w="4680" w:type="dxa"/>
            <w:tcBorders>
              <w:top w:val="single" w:sz="4" w:space="0" w:color="auto"/>
              <w:left w:val="nil"/>
              <w:bottom w:val="single" w:sz="4" w:space="0" w:color="auto"/>
              <w:right w:val="single" w:sz="4" w:space="0" w:color="auto"/>
            </w:tcBorders>
            <w:shd w:val="clear" w:color="000000" w:fill="FFFFFF"/>
            <w:noWrap/>
            <w:vAlign w:val="center"/>
            <w:hideMark/>
          </w:tcPr>
          <w:p w14:paraId="01AD8A7E" w14:textId="77777777" w:rsidR="00D54977" w:rsidRPr="00D54977" w:rsidRDefault="00D54977" w:rsidP="00D54977">
            <w:pPr>
              <w:spacing w:line="240" w:lineRule="auto"/>
              <w:jc w:val="center"/>
              <w:rPr>
                <w:rFonts w:eastAsia="Times New Roman" w:cs="Calibri"/>
                <w:b/>
                <w:bCs/>
                <w:color w:val="000000"/>
                <w:sz w:val="24"/>
                <w:szCs w:val="24"/>
                <w:lang w:eastAsia="en-GB"/>
              </w:rPr>
            </w:pPr>
            <w:r w:rsidRPr="00D54977">
              <w:rPr>
                <w:rFonts w:eastAsia="Times New Roman" w:cs="Calibri"/>
                <w:b/>
                <w:bCs/>
                <w:color w:val="000000"/>
                <w:sz w:val="24"/>
                <w:szCs w:val="24"/>
                <w:lang w:eastAsia="en-GB"/>
              </w:rPr>
              <w:t>Budget Breakdown</w:t>
            </w:r>
          </w:p>
        </w:tc>
        <w:tc>
          <w:tcPr>
            <w:tcW w:w="1220" w:type="dxa"/>
            <w:tcBorders>
              <w:top w:val="single" w:sz="4" w:space="0" w:color="auto"/>
              <w:left w:val="nil"/>
              <w:bottom w:val="single" w:sz="4" w:space="0" w:color="auto"/>
              <w:right w:val="single" w:sz="4" w:space="0" w:color="auto"/>
            </w:tcBorders>
            <w:shd w:val="clear" w:color="000000" w:fill="FFDDDD"/>
            <w:vAlign w:val="center"/>
            <w:hideMark/>
          </w:tcPr>
          <w:p w14:paraId="79A6BF7D" w14:textId="77777777" w:rsidR="00D54977" w:rsidRPr="00D54977" w:rsidRDefault="00D54977" w:rsidP="00D54977">
            <w:pPr>
              <w:spacing w:line="240" w:lineRule="auto"/>
              <w:jc w:val="center"/>
              <w:rPr>
                <w:rFonts w:eastAsia="Times New Roman" w:cs="Calibri"/>
                <w:b/>
                <w:bCs/>
                <w:color w:val="000000"/>
                <w:sz w:val="24"/>
                <w:szCs w:val="24"/>
                <w:lang w:eastAsia="en-GB"/>
              </w:rPr>
            </w:pPr>
            <w:r w:rsidRPr="00D54977">
              <w:rPr>
                <w:rFonts w:eastAsia="Times New Roman" w:cs="Calibri"/>
                <w:b/>
                <w:bCs/>
                <w:color w:val="000000"/>
                <w:sz w:val="24"/>
                <w:szCs w:val="24"/>
                <w:lang w:eastAsia="en-GB"/>
              </w:rPr>
              <w:t>2025/26</w:t>
            </w:r>
            <w:r w:rsidRPr="00D54977">
              <w:rPr>
                <w:rFonts w:eastAsia="Times New Roman" w:cs="Calibri"/>
                <w:b/>
                <w:bCs/>
                <w:color w:val="000000"/>
                <w:sz w:val="24"/>
                <w:szCs w:val="24"/>
                <w:lang w:eastAsia="en-GB"/>
              </w:rPr>
              <w:br/>
              <w:t>£m</w:t>
            </w:r>
          </w:p>
        </w:tc>
      </w:tr>
      <w:tr w:rsidR="00D54977" w:rsidRPr="00D54977" w14:paraId="4C87D97D"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4A06452D"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18.484</w:t>
            </w:r>
          </w:p>
        </w:tc>
        <w:tc>
          <w:tcPr>
            <w:tcW w:w="4680" w:type="dxa"/>
            <w:tcBorders>
              <w:top w:val="nil"/>
              <w:left w:val="nil"/>
              <w:bottom w:val="nil"/>
              <w:right w:val="single" w:sz="4" w:space="0" w:color="auto"/>
            </w:tcBorders>
            <w:shd w:val="clear" w:color="000000" w:fill="FFFFFF"/>
            <w:noWrap/>
            <w:vAlign w:val="bottom"/>
            <w:hideMark/>
          </w:tcPr>
          <w:p w14:paraId="6D989E52"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Fire Fighters</w:t>
            </w:r>
          </w:p>
        </w:tc>
        <w:tc>
          <w:tcPr>
            <w:tcW w:w="1220" w:type="dxa"/>
            <w:tcBorders>
              <w:top w:val="nil"/>
              <w:left w:val="nil"/>
              <w:bottom w:val="nil"/>
              <w:right w:val="single" w:sz="4" w:space="0" w:color="auto"/>
            </w:tcBorders>
            <w:shd w:val="clear" w:color="000000" w:fill="FFDDDD"/>
            <w:noWrap/>
            <w:vAlign w:val="bottom"/>
            <w:hideMark/>
          </w:tcPr>
          <w:p w14:paraId="12FE9ADD"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20.159</w:t>
            </w:r>
          </w:p>
        </w:tc>
      </w:tr>
      <w:tr w:rsidR="00D54977" w:rsidRPr="00D54977" w14:paraId="5F028F0E"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12AF7C03"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3.068</w:t>
            </w:r>
          </w:p>
        </w:tc>
        <w:tc>
          <w:tcPr>
            <w:tcW w:w="4680" w:type="dxa"/>
            <w:tcBorders>
              <w:top w:val="nil"/>
              <w:left w:val="nil"/>
              <w:bottom w:val="nil"/>
              <w:right w:val="single" w:sz="4" w:space="0" w:color="auto"/>
            </w:tcBorders>
            <w:shd w:val="clear" w:color="000000" w:fill="FFFFFF"/>
            <w:noWrap/>
            <w:vAlign w:val="bottom"/>
            <w:hideMark/>
          </w:tcPr>
          <w:p w14:paraId="71352C45"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Staff</w:t>
            </w:r>
          </w:p>
        </w:tc>
        <w:tc>
          <w:tcPr>
            <w:tcW w:w="1220" w:type="dxa"/>
            <w:tcBorders>
              <w:top w:val="nil"/>
              <w:left w:val="nil"/>
              <w:bottom w:val="nil"/>
              <w:right w:val="single" w:sz="4" w:space="0" w:color="auto"/>
            </w:tcBorders>
            <w:shd w:val="clear" w:color="000000" w:fill="FFDDDD"/>
            <w:noWrap/>
            <w:vAlign w:val="bottom"/>
            <w:hideMark/>
          </w:tcPr>
          <w:p w14:paraId="1FF04137"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3.846</w:t>
            </w:r>
          </w:p>
        </w:tc>
      </w:tr>
      <w:tr w:rsidR="00D54977" w:rsidRPr="00D54977" w14:paraId="6EE2788E"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0036EF25"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1.472</w:t>
            </w:r>
          </w:p>
        </w:tc>
        <w:tc>
          <w:tcPr>
            <w:tcW w:w="4680" w:type="dxa"/>
            <w:tcBorders>
              <w:top w:val="nil"/>
              <w:left w:val="nil"/>
              <w:bottom w:val="nil"/>
              <w:right w:val="single" w:sz="4" w:space="0" w:color="auto"/>
            </w:tcBorders>
            <w:shd w:val="clear" w:color="000000" w:fill="FFFFFF"/>
            <w:noWrap/>
            <w:vAlign w:val="bottom"/>
            <w:hideMark/>
          </w:tcPr>
          <w:p w14:paraId="568116DD"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Other Employee Expenses &amp; Contingencies</w:t>
            </w:r>
          </w:p>
        </w:tc>
        <w:tc>
          <w:tcPr>
            <w:tcW w:w="1220" w:type="dxa"/>
            <w:tcBorders>
              <w:top w:val="nil"/>
              <w:left w:val="nil"/>
              <w:bottom w:val="nil"/>
              <w:right w:val="single" w:sz="4" w:space="0" w:color="auto"/>
            </w:tcBorders>
            <w:shd w:val="clear" w:color="000000" w:fill="FFDDDD"/>
            <w:noWrap/>
            <w:vAlign w:val="bottom"/>
            <w:hideMark/>
          </w:tcPr>
          <w:p w14:paraId="3156ED83"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1.157</w:t>
            </w:r>
          </w:p>
        </w:tc>
      </w:tr>
      <w:tr w:rsidR="00D54977" w:rsidRPr="00D54977" w14:paraId="209BA87C"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0137C1BF"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6.399</w:t>
            </w:r>
          </w:p>
        </w:tc>
        <w:tc>
          <w:tcPr>
            <w:tcW w:w="4680" w:type="dxa"/>
            <w:tcBorders>
              <w:top w:val="nil"/>
              <w:left w:val="nil"/>
              <w:bottom w:val="nil"/>
              <w:right w:val="single" w:sz="4" w:space="0" w:color="auto"/>
            </w:tcBorders>
            <w:shd w:val="clear" w:color="000000" w:fill="FFFFFF"/>
            <w:noWrap/>
            <w:vAlign w:val="bottom"/>
            <w:hideMark/>
          </w:tcPr>
          <w:p w14:paraId="53106E10"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Other Costs</w:t>
            </w:r>
          </w:p>
        </w:tc>
        <w:tc>
          <w:tcPr>
            <w:tcW w:w="1220" w:type="dxa"/>
            <w:tcBorders>
              <w:top w:val="nil"/>
              <w:left w:val="nil"/>
              <w:bottom w:val="nil"/>
              <w:right w:val="single" w:sz="4" w:space="0" w:color="auto"/>
            </w:tcBorders>
            <w:shd w:val="clear" w:color="000000" w:fill="FFDDDD"/>
            <w:noWrap/>
            <w:vAlign w:val="bottom"/>
            <w:hideMark/>
          </w:tcPr>
          <w:p w14:paraId="385B4610"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7.334</w:t>
            </w:r>
          </w:p>
        </w:tc>
      </w:tr>
      <w:tr w:rsidR="00D54977" w:rsidRPr="00D54977" w14:paraId="495138A7"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0E9B5A44"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(1.204)</w:t>
            </w:r>
          </w:p>
        </w:tc>
        <w:tc>
          <w:tcPr>
            <w:tcW w:w="4680" w:type="dxa"/>
            <w:tcBorders>
              <w:top w:val="nil"/>
              <w:left w:val="nil"/>
              <w:bottom w:val="nil"/>
              <w:right w:val="single" w:sz="4" w:space="0" w:color="auto"/>
            </w:tcBorders>
            <w:shd w:val="clear" w:color="000000" w:fill="FFFFFF"/>
            <w:noWrap/>
            <w:vAlign w:val="bottom"/>
            <w:hideMark/>
          </w:tcPr>
          <w:p w14:paraId="78E2A589"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Income</w:t>
            </w:r>
          </w:p>
        </w:tc>
        <w:tc>
          <w:tcPr>
            <w:tcW w:w="1220" w:type="dxa"/>
            <w:tcBorders>
              <w:top w:val="nil"/>
              <w:left w:val="nil"/>
              <w:bottom w:val="nil"/>
              <w:right w:val="single" w:sz="4" w:space="0" w:color="auto"/>
            </w:tcBorders>
            <w:shd w:val="clear" w:color="000000" w:fill="FFDDDD"/>
            <w:noWrap/>
            <w:vAlign w:val="bottom"/>
            <w:hideMark/>
          </w:tcPr>
          <w:p w14:paraId="29F579DF"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(1.915)</w:t>
            </w:r>
          </w:p>
        </w:tc>
      </w:tr>
      <w:tr w:rsidR="00D54977" w:rsidRPr="00D54977" w14:paraId="581DC9C5"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4BF733F0"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3.920</w:t>
            </w:r>
          </w:p>
        </w:tc>
        <w:tc>
          <w:tcPr>
            <w:tcW w:w="4680" w:type="dxa"/>
            <w:tcBorders>
              <w:top w:val="nil"/>
              <w:left w:val="nil"/>
              <w:bottom w:val="nil"/>
              <w:right w:val="single" w:sz="4" w:space="0" w:color="auto"/>
            </w:tcBorders>
            <w:shd w:val="clear" w:color="000000" w:fill="FFFFFF"/>
            <w:noWrap/>
            <w:vAlign w:val="bottom"/>
            <w:hideMark/>
          </w:tcPr>
          <w:p w14:paraId="65904CC9"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Governance/Support Services</w:t>
            </w:r>
          </w:p>
        </w:tc>
        <w:tc>
          <w:tcPr>
            <w:tcW w:w="1220" w:type="dxa"/>
            <w:tcBorders>
              <w:top w:val="nil"/>
              <w:left w:val="nil"/>
              <w:bottom w:val="nil"/>
              <w:right w:val="single" w:sz="4" w:space="0" w:color="auto"/>
            </w:tcBorders>
            <w:shd w:val="clear" w:color="000000" w:fill="FFDDDD"/>
            <w:noWrap/>
            <w:vAlign w:val="bottom"/>
            <w:hideMark/>
          </w:tcPr>
          <w:p w14:paraId="6BDEA99D"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4.234</w:t>
            </w:r>
          </w:p>
        </w:tc>
      </w:tr>
      <w:tr w:rsidR="00D54977" w:rsidRPr="00D54977" w14:paraId="133809F7" w14:textId="77777777" w:rsidTr="00D54977">
        <w:trPr>
          <w:trHeight w:val="315"/>
        </w:trPr>
        <w:tc>
          <w:tcPr>
            <w:tcW w:w="1220" w:type="dxa"/>
            <w:tcBorders>
              <w:top w:val="single" w:sz="4" w:space="0" w:color="auto"/>
              <w:left w:val="single" w:sz="4" w:space="0" w:color="auto"/>
              <w:bottom w:val="nil"/>
              <w:right w:val="single" w:sz="4" w:space="0" w:color="auto"/>
            </w:tcBorders>
            <w:shd w:val="clear" w:color="000000" w:fill="FFFFFF"/>
            <w:noWrap/>
            <w:vAlign w:val="bottom"/>
            <w:hideMark/>
          </w:tcPr>
          <w:p w14:paraId="09D26D67" w14:textId="77777777" w:rsidR="00D54977" w:rsidRPr="00D54977" w:rsidRDefault="00D54977" w:rsidP="00D54977">
            <w:pPr>
              <w:spacing w:line="240" w:lineRule="auto"/>
              <w:jc w:val="right"/>
              <w:rPr>
                <w:rFonts w:eastAsia="Times New Roman" w:cs="Calibri"/>
                <w:b/>
                <w:bCs/>
                <w:color w:val="000000"/>
                <w:sz w:val="24"/>
                <w:szCs w:val="24"/>
                <w:lang w:eastAsia="en-GB"/>
              </w:rPr>
            </w:pPr>
            <w:r w:rsidRPr="00D54977">
              <w:rPr>
                <w:rFonts w:eastAsia="Times New Roman" w:cs="Calibri"/>
                <w:b/>
                <w:bCs/>
                <w:color w:val="000000"/>
                <w:sz w:val="24"/>
                <w:szCs w:val="24"/>
                <w:lang w:eastAsia="en-GB"/>
              </w:rPr>
              <w:t>32.139</w:t>
            </w:r>
          </w:p>
        </w:tc>
        <w:tc>
          <w:tcPr>
            <w:tcW w:w="4680" w:type="dxa"/>
            <w:tcBorders>
              <w:top w:val="single" w:sz="4" w:space="0" w:color="auto"/>
              <w:left w:val="nil"/>
              <w:bottom w:val="nil"/>
              <w:right w:val="single" w:sz="4" w:space="0" w:color="auto"/>
            </w:tcBorders>
            <w:shd w:val="clear" w:color="000000" w:fill="FFFFFF"/>
            <w:noWrap/>
            <w:vAlign w:val="bottom"/>
            <w:hideMark/>
          </w:tcPr>
          <w:p w14:paraId="68BBABEF" w14:textId="77777777" w:rsidR="00D54977" w:rsidRPr="00D54977" w:rsidRDefault="00D54977" w:rsidP="00D54977">
            <w:pPr>
              <w:spacing w:line="240" w:lineRule="auto"/>
              <w:rPr>
                <w:rFonts w:eastAsia="Times New Roman" w:cs="Calibri"/>
                <w:b/>
                <w:bCs/>
                <w:color w:val="000000"/>
                <w:sz w:val="24"/>
                <w:szCs w:val="24"/>
                <w:lang w:eastAsia="en-GB"/>
              </w:rPr>
            </w:pPr>
            <w:r w:rsidRPr="00D54977">
              <w:rPr>
                <w:rFonts w:eastAsia="Times New Roman" w:cs="Calibri"/>
                <w:b/>
                <w:bCs/>
                <w:color w:val="000000"/>
                <w:sz w:val="24"/>
                <w:szCs w:val="24"/>
                <w:lang w:eastAsia="en-GB"/>
              </w:rPr>
              <w:t>OPERATIONAL BUDGET</w:t>
            </w:r>
          </w:p>
        </w:tc>
        <w:tc>
          <w:tcPr>
            <w:tcW w:w="1220" w:type="dxa"/>
            <w:tcBorders>
              <w:top w:val="single" w:sz="4" w:space="0" w:color="auto"/>
              <w:left w:val="nil"/>
              <w:bottom w:val="nil"/>
              <w:right w:val="single" w:sz="4" w:space="0" w:color="auto"/>
            </w:tcBorders>
            <w:shd w:val="clear" w:color="000000" w:fill="FFDDDD"/>
            <w:noWrap/>
            <w:vAlign w:val="bottom"/>
            <w:hideMark/>
          </w:tcPr>
          <w:p w14:paraId="02BFCD6A" w14:textId="77777777" w:rsidR="00D54977" w:rsidRPr="00D54977" w:rsidRDefault="00D54977" w:rsidP="00D54977">
            <w:pPr>
              <w:spacing w:line="240" w:lineRule="auto"/>
              <w:jc w:val="right"/>
              <w:rPr>
                <w:rFonts w:eastAsia="Times New Roman" w:cs="Calibri"/>
                <w:b/>
                <w:bCs/>
                <w:color w:val="000000"/>
                <w:sz w:val="24"/>
                <w:szCs w:val="24"/>
                <w:lang w:eastAsia="en-GB"/>
              </w:rPr>
            </w:pPr>
            <w:r w:rsidRPr="00D54977">
              <w:rPr>
                <w:rFonts w:eastAsia="Times New Roman" w:cs="Calibri"/>
                <w:b/>
                <w:bCs/>
                <w:color w:val="000000"/>
                <w:sz w:val="24"/>
                <w:szCs w:val="24"/>
                <w:lang w:eastAsia="en-GB"/>
              </w:rPr>
              <w:t>34.815</w:t>
            </w:r>
          </w:p>
        </w:tc>
      </w:tr>
      <w:tr w:rsidR="00D54977" w:rsidRPr="00D54977" w14:paraId="5EF88D24"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67E313E2"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 </w:t>
            </w:r>
          </w:p>
        </w:tc>
        <w:tc>
          <w:tcPr>
            <w:tcW w:w="4680" w:type="dxa"/>
            <w:tcBorders>
              <w:top w:val="nil"/>
              <w:left w:val="nil"/>
              <w:bottom w:val="nil"/>
              <w:right w:val="single" w:sz="4" w:space="0" w:color="auto"/>
            </w:tcBorders>
            <w:shd w:val="clear" w:color="000000" w:fill="FFFFFF"/>
            <w:noWrap/>
            <w:vAlign w:val="bottom"/>
            <w:hideMark/>
          </w:tcPr>
          <w:p w14:paraId="0D7EBD11"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 </w:t>
            </w:r>
          </w:p>
        </w:tc>
        <w:tc>
          <w:tcPr>
            <w:tcW w:w="1220" w:type="dxa"/>
            <w:tcBorders>
              <w:top w:val="nil"/>
              <w:left w:val="nil"/>
              <w:bottom w:val="nil"/>
              <w:right w:val="single" w:sz="4" w:space="0" w:color="auto"/>
            </w:tcBorders>
            <w:shd w:val="clear" w:color="000000" w:fill="FFDDDD"/>
            <w:noWrap/>
            <w:vAlign w:val="bottom"/>
            <w:hideMark/>
          </w:tcPr>
          <w:p w14:paraId="5227E13C"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 </w:t>
            </w:r>
          </w:p>
        </w:tc>
      </w:tr>
      <w:tr w:rsidR="00D54977" w:rsidRPr="00D54977" w14:paraId="441F2A42"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004B8FD3"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0.618</w:t>
            </w:r>
          </w:p>
        </w:tc>
        <w:tc>
          <w:tcPr>
            <w:tcW w:w="4680" w:type="dxa"/>
            <w:tcBorders>
              <w:top w:val="nil"/>
              <w:left w:val="nil"/>
              <w:bottom w:val="nil"/>
              <w:right w:val="single" w:sz="4" w:space="0" w:color="auto"/>
            </w:tcBorders>
            <w:shd w:val="clear" w:color="000000" w:fill="FFFFFF"/>
            <w:noWrap/>
            <w:vAlign w:val="bottom"/>
            <w:hideMark/>
          </w:tcPr>
          <w:p w14:paraId="6DD93AC9"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Capital Financing</w:t>
            </w:r>
          </w:p>
        </w:tc>
        <w:tc>
          <w:tcPr>
            <w:tcW w:w="1220" w:type="dxa"/>
            <w:tcBorders>
              <w:top w:val="nil"/>
              <w:left w:val="nil"/>
              <w:bottom w:val="nil"/>
              <w:right w:val="single" w:sz="4" w:space="0" w:color="auto"/>
            </w:tcBorders>
            <w:shd w:val="clear" w:color="000000" w:fill="FFDDDD"/>
            <w:noWrap/>
            <w:vAlign w:val="bottom"/>
            <w:hideMark/>
          </w:tcPr>
          <w:p w14:paraId="41B12682"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0.892</w:t>
            </w:r>
          </w:p>
        </w:tc>
      </w:tr>
      <w:tr w:rsidR="00D54977" w:rsidRPr="00D54977" w14:paraId="43CF69DF"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7AA5086E"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0.120</w:t>
            </w:r>
          </w:p>
        </w:tc>
        <w:tc>
          <w:tcPr>
            <w:tcW w:w="4680" w:type="dxa"/>
            <w:tcBorders>
              <w:top w:val="nil"/>
              <w:left w:val="nil"/>
              <w:bottom w:val="nil"/>
              <w:right w:val="single" w:sz="4" w:space="0" w:color="auto"/>
            </w:tcBorders>
            <w:shd w:val="clear" w:color="000000" w:fill="FFFFFF"/>
            <w:noWrap/>
            <w:vAlign w:val="bottom"/>
            <w:hideMark/>
          </w:tcPr>
          <w:p w14:paraId="284157BA"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Inflation Contingency</w:t>
            </w:r>
          </w:p>
        </w:tc>
        <w:tc>
          <w:tcPr>
            <w:tcW w:w="1220" w:type="dxa"/>
            <w:tcBorders>
              <w:top w:val="nil"/>
              <w:left w:val="nil"/>
              <w:bottom w:val="nil"/>
              <w:right w:val="single" w:sz="4" w:space="0" w:color="auto"/>
            </w:tcBorders>
            <w:shd w:val="clear" w:color="000000" w:fill="FFDDDD"/>
            <w:noWrap/>
            <w:vAlign w:val="bottom"/>
            <w:hideMark/>
          </w:tcPr>
          <w:p w14:paraId="6DCF4678"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0.120</w:t>
            </w:r>
          </w:p>
        </w:tc>
      </w:tr>
      <w:tr w:rsidR="00D54977" w:rsidRPr="00D54977" w14:paraId="365B999D"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071D68A8"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0.119</w:t>
            </w:r>
          </w:p>
        </w:tc>
        <w:tc>
          <w:tcPr>
            <w:tcW w:w="4680" w:type="dxa"/>
            <w:tcBorders>
              <w:top w:val="nil"/>
              <w:left w:val="nil"/>
              <w:bottom w:val="nil"/>
              <w:right w:val="single" w:sz="4" w:space="0" w:color="auto"/>
            </w:tcBorders>
            <w:shd w:val="clear" w:color="000000" w:fill="FFFFFF"/>
            <w:noWrap/>
            <w:vAlign w:val="bottom"/>
            <w:hideMark/>
          </w:tcPr>
          <w:p w14:paraId="0E44A3F1"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Transfer to Reserves</w:t>
            </w:r>
          </w:p>
        </w:tc>
        <w:tc>
          <w:tcPr>
            <w:tcW w:w="1220" w:type="dxa"/>
            <w:tcBorders>
              <w:top w:val="nil"/>
              <w:left w:val="nil"/>
              <w:bottom w:val="nil"/>
              <w:right w:val="single" w:sz="4" w:space="0" w:color="auto"/>
            </w:tcBorders>
            <w:shd w:val="clear" w:color="000000" w:fill="FFDDDD"/>
            <w:noWrap/>
            <w:vAlign w:val="bottom"/>
            <w:hideMark/>
          </w:tcPr>
          <w:p w14:paraId="7A51FCC9"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0.100</w:t>
            </w:r>
          </w:p>
        </w:tc>
      </w:tr>
      <w:tr w:rsidR="00D54977" w:rsidRPr="00D54977" w14:paraId="290F1343"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7320F9C5"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(0.184)</w:t>
            </w:r>
          </w:p>
        </w:tc>
        <w:tc>
          <w:tcPr>
            <w:tcW w:w="4680" w:type="dxa"/>
            <w:tcBorders>
              <w:top w:val="nil"/>
              <w:left w:val="nil"/>
              <w:bottom w:val="nil"/>
              <w:right w:val="single" w:sz="4" w:space="0" w:color="auto"/>
            </w:tcBorders>
            <w:shd w:val="clear" w:color="000000" w:fill="FFFFFF"/>
            <w:noWrap/>
            <w:vAlign w:val="bottom"/>
            <w:hideMark/>
          </w:tcPr>
          <w:p w14:paraId="531ADD52"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Transfer from Reserves</w:t>
            </w:r>
          </w:p>
        </w:tc>
        <w:tc>
          <w:tcPr>
            <w:tcW w:w="1220" w:type="dxa"/>
            <w:tcBorders>
              <w:top w:val="nil"/>
              <w:left w:val="nil"/>
              <w:bottom w:val="nil"/>
              <w:right w:val="single" w:sz="4" w:space="0" w:color="auto"/>
            </w:tcBorders>
            <w:shd w:val="clear" w:color="000000" w:fill="FFDDDD"/>
            <w:noWrap/>
            <w:vAlign w:val="bottom"/>
            <w:hideMark/>
          </w:tcPr>
          <w:p w14:paraId="48A97C37"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(0.766)</w:t>
            </w:r>
          </w:p>
        </w:tc>
      </w:tr>
      <w:tr w:rsidR="00D54977" w:rsidRPr="00D54977" w14:paraId="17801E99" w14:textId="77777777" w:rsidTr="00D54977">
        <w:trPr>
          <w:trHeight w:val="315"/>
        </w:trPr>
        <w:tc>
          <w:tcPr>
            <w:tcW w:w="1220" w:type="dxa"/>
            <w:tcBorders>
              <w:top w:val="single" w:sz="4" w:space="0" w:color="auto"/>
              <w:left w:val="single" w:sz="4" w:space="0" w:color="auto"/>
              <w:bottom w:val="nil"/>
              <w:right w:val="single" w:sz="4" w:space="0" w:color="auto"/>
            </w:tcBorders>
            <w:shd w:val="clear" w:color="000000" w:fill="FFFFFF"/>
            <w:noWrap/>
            <w:vAlign w:val="bottom"/>
            <w:hideMark/>
          </w:tcPr>
          <w:p w14:paraId="4262BD8B" w14:textId="77777777" w:rsidR="00D54977" w:rsidRPr="00D54977" w:rsidRDefault="00D54977" w:rsidP="00D54977">
            <w:pPr>
              <w:spacing w:line="240" w:lineRule="auto"/>
              <w:jc w:val="right"/>
              <w:rPr>
                <w:rFonts w:eastAsia="Times New Roman" w:cs="Calibri"/>
                <w:b/>
                <w:bCs/>
                <w:color w:val="000000"/>
                <w:sz w:val="24"/>
                <w:szCs w:val="24"/>
                <w:lang w:eastAsia="en-GB"/>
              </w:rPr>
            </w:pPr>
            <w:r w:rsidRPr="00D54977">
              <w:rPr>
                <w:rFonts w:eastAsia="Times New Roman" w:cs="Calibri"/>
                <w:b/>
                <w:bCs/>
                <w:color w:val="000000"/>
                <w:sz w:val="24"/>
                <w:szCs w:val="24"/>
                <w:lang w:eastAsia="en-GB"/>
              </w:rPr>
              <w:t>0.673</w:t>
            </w:r>
          </w:p>
        </w:tc>
        <w:tc>
          <w:tcPr>
            <w:tcW w:w="4680" w:type="dxa"/>
            <w:tcBorders>
              <w:top w:val="single" w:sz="4" w:space="0" w:color="auto"/>
              <w:left w:val="nil"/>
              <w:bottom w:val="nil"/>
              <w:right w:val="single" w:sz="4" w:space="0" w:color="auto"/>
            </w:tcBorders>
            <w:shd w:val="clear" w:color="000000" w:fill="FFFFFF"/>
            <w:noWrap/>
            <w:vAlign w:val="bottom"/>
            <w:hideMark/>
          </w:tcPr>
          <w:p w14:paraId="610E4CEB" w14:textId="77777777" w:rsidR="00D54977" w:rsidRPr="00D54977" w:rsidRDefault="00D54977" w:rsidP="00D54977">
            <w:pPr>
              <w:spacing w:line="240" w:lineRule="auto"/>
              <w:rPr>
                <w:rFonts w:eastAsia="Times New Roman" w:cs="Calibri"/>
                <w:b/>
                <w:bCs/>
                <w:color w:val="000000"/>
                <w:sz w:val="24"/>
                <w:szCs w:val="24"/>
                <w:lang w:eastAsia="en-GB"/>
              </w:rPr>
            </w:pPr>
            <w:r w:rsidRPr="00D54977">
              <w:rPr>
                <w:rFonts w:eastAsia="Times New Roman" w:cs="Calibri"/>
                <w:b/>
                <w:bCs/>
                <w:color w:val="000000"/>
                <w:sz w:val="24"/>
                <w:szCs w:val="24"/>
                <w:lang w:eastAsia="en-GB"/>
              </w:rPr>
              <w:t>BUDGETS MANAGED BY THE PFCC</w:t>
            </w:r>
          </w:p>
        </w:tc>
        <w:tc>
          <w:tcPr>
            <w:tcW w:w="1220" w:type="dxa"/>
            <w:tcBorders>
              <w:top w:val="single" w:sz="4" w:space="0" w:color="auto"/>
              <w:left w:val="nil"/>
              <w:bottom w:val="nil"/>
              <w:right w:val="single" w:sz="4" w:space="0" w:color="auto"/>
            </w:tcBorders>
            <w:shd w:val="clear" w:color="000000" w:fill="FFDDDD"/>
            <w:noWrap/>
            <w:vAlign w:val="bottom"/>
            <w:hideMark/>
          </w:tcPr>
          <w:p w14:paraId="7CA9C1E3" w14:textId="77777777" w:rsidR="00D54977" w:rsidRPr="00D54977" w:rsidRDefault="00D54977" w:rsidP="00D54977">
            <w:pPr>
              <w:spacing w:line="240" w:lineRule="auto"/>
              <w:jc w:val="right"/>
              <w:rPr>
                <w:rFonts w:eastAsia="Times New Roman" w:cs="Calibri"/>
                <w:b/>
                <w:bCs/>
                <w:color w:val="000000"/>
                <w:sz w:val="24"/>
                <w:szCs w:val="24"/>
                <w:lang w:eastAsia="en-GB"/>
              </w:rPr>
            </w:pPr>
            <w:r w:rsidRPr="00D54977">
              <w:rPr>
                <w:rFonts w:eastAsia="Times New Roman" w:cs="Calibri"/>
                <w:b/>
                <w:bCs/>
                <w:color w:val="000000"/>
                <w:sz w:val="24"/>
                <w:szCs w:val="24"/>
                <w:lang w:eastAsia="en-GB"/>
              </w:rPr>
              <w:t>0.346</w:t>
            </w:r>
          </w:p>
        </w:tc>
      </w:tr>
      <w:tr w:rsidR="00D54977" w:rsidRPr="00D54977" w14:paraId="6731BA94"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2922943F"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 </w:t>
            </w:r>
          </w:p>
        </w:tc>
        <w:tc>
          <w:tcPr>
            <w:tcW w:w="4680" w:type="dxa"/>
            <w:tcBorders>
              <w:top w:val="nil"/>
              <w:left w:val="nil"/>
              <w:bottom w:val="nil"/>
              <w:right w:val="single" w:sz="4" w:space="0" w:color="auto"/>
            </w:tcBorders>
            <w:shd w:val="clear" w:color="000000" w:fill="FFFFFF"/>
            <w:noWrap/>
            <w:vAlign w:val="bottom"/>
            <w:hideMark/>
          </w:tcPr>
          <w:p w14:paraId="2E9E055C"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 </w:t>
            </w:r>
          </w:p>
        </w:tc>
        <w:tc>
          <w:tcPr>
            <w:tcW w:w="1220" w:type="dxa"/>
            <w:tcBorders>
              <w:top w:val="nil"/>
              <w:left w:val="nil"/>
              <w:bottom w:val="nil"/>
              <w:right w:val="single" w:sz="4" w:space="0" w:color="auto"/>
            </w:tcBorders>
            <w:shd w:val="clear" w:color="000000" w:fill="FFDDDD"/>
            <w:noWrap/>
            <w:vAlign w:val="bottom"/>
            <w:hideMark/>
          </w:tcPr>
          <w:p w14:paraId="7F407768"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 </w:t>
            </w:r>
          </w:p>
        </w:tc>
      </w:tr>
      <w:tr w:rsidR="00D54977" w:rsidRPr="00D54977" w14:paraId="6ABF84D7"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79CFABE2"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0.126</w:t>
            </w:r>
          </w:p>
        </w:tc>
        <w:tc>
          <w:tcPr>
            <w:tcW w:w="4680" w:type="dxa"/>
            <w:tcBorders>
              <w:top w:val="nil"/>
              <w:left w:val="nil"/>
              <w:bottom w:val="nil"/>
              <w:right w:val="single" w:sz="4" w:space="0" w:color="auto"/>
            </w:tcBorders>
            <w:shd w:val="clear" w:color="000000" w:fill="FFFFFF"/>
            <w:noWrap/>
            <w:vAlign w:val="bottom"/>
            <w:hideMark/>
          </w:tcPr>
          <w:p w14:paraId="2F02016D"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New investment proposals</w:t>
            </w:r>
          </w:p>
        </w:tc>
        <w:tc>
          <w:tcPr>
            <w:tcW w:w="1220" w:type="dxa"/>
            <w:tcBorders>
              <w:top w:val="nil"/>
              <w:left w:val="nil"/>
              <w:bottom w:val="nil"/>
              <w:right w:val="single" w:sz="4" w:space="0" w:color="auto"/>
            </w:tcBorders>
            <w:shd w:val="clear" w:color="000000" w:fill="FFDDDD"/>
            <w:noWrap/>
            <w:vAlign w:val="bottom"/>
            <w:hideMark/>
          </w:tcPr>
          <w:p w14:paraId="7AFD840B"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0.250</w:t>
            </w:r>
          </w:p>
        </w:tc>
      </w:tr>
      <w:tr w:rsidR="00D54977" w:rsidRPr="00D54977" w14:paraId="2B349394" w14:textId="77777777" w:rsidTr="00D5497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50582D35"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(1.484)</w:t>
            </w:r>
          </w:p>
        </w:tc>
        <w:tc>
          <w:tcPr>
            <w:tcW w:w="4680" w:type="dxa"/>
            <w:tcBorders>
              <w:top w:val="nil"/>
              <w:left w:val="nil"/>
              <w:bottom w:val="nil"/>
              <w:right w:val="single" w:sz="4" w:space="0" w:color="auto"/>
            </w:tcBorders>
            <w:shd w:val="clear" w:color="000000" w:fill="FFFFFF"/>
            <w:noWrap/>
            <w:vAlign w:val="bottom"/>
            <w:hideMark/>
          </w:tcPr>
          <w:p w14:paraId="61CB22D1" w14:textId="77777777" w:rsidR="00D54977" w:rsidRPr="00D54977" w:rsidRDefault="00D54977" w:rsidP="00D54977">
            <w:pPr>
              <w:spacing w:line="240" w:lineRule="auto"/>
              <w:rPr>
                <w:rFonts w:eastAsia="Times New Roman" w:cs="Calibri"/>
                <w:color w:val="000000"/>
                <w:sz w:val="24"/>
                <w:szCs w:val="24"/>
                <w:lang w:eastAsia="en-GB"/>
              </w:rPr>
            </w:pPr>
            <w:r w:rsidRPr="00D54977">
              <w:rPr>
                <w:rFonts w:eastAsia="Times New Roman" w:cs="Calibri"/>
                <w:color w:val="000000"/>
                <w:sz w:val="24"/>
                <w:szCs w:val="24"/>
                <w:lang w:eastAsia="en-GB"/>
              </w:rPr>
              <w:t>Savings Plans</w:t>
            </w:r>
          </w:p>
        </w:tc>
        <w:tc>
          <w:tcPr>
            <w:tcW w:w="1220" w:type="dxa"/>
            <w:tcBorders>
              <w:top w:val="nil"/>
              <w:left w:val="nil"/>
              <w:bottom w:val="nil"/>
              <w:right w:val="single" w:sz="4" w:space="0" w:color="auto"/>
            </w:tcBorders>
            <w:shd w:val="clear" w:color="000000" w:fill="FFDDDD"/>
            <w:noWrap/>
            <w:vAlign w:val="bottom"/>
            <w:hideMark/>
          </w:tcPr>
          <w:p w14:paraId="4903A097" w14:textId="77777777" w:rsidR="00D54977" w:rsidRPr="00D54977" w:rsidRDefault="00D54977" w:rsidP="00D54977">
            <w:pPr>
              <w:spacing w:line="240" w:lineRule="auto"/>
              <w:jc w:val="right"/>
              <w:rPr>
                <w:rFonts w:eastAsia="Times New Roman" w:cs="Calibri"/>
                <w:color w:val="000000"/>
                <w:sz w:val="24"/>
                <w:szCs w:val="24"/>
                <w:lang w:eastAsia="en-GB"/>
              </w:rPr>
            </w:pPr>
            <w:r w:rsidRPr="00D54977">
              <w:rPr>
                <w:rFonts w:eastAsia="Times New Roman" w:cs="Calibri"/>
                <w:color w:val="000000"/>
                <w:sz w:val="24"/>
                <w:szCs w:val="24"/>
                <w:lang w:eastAsia="en-GB"/>
              </w:rPr>
              <w:t>(1.688)</w:t>
            </w:r>
          </w:p>
        </w:tc>
      </w:tr>
      <w:tr w:rsidR="00D54977" w:rsidRPr="00D54977" w14:paraId="7A144BF6" w14:textId="77777777" w:rsidTr="00D54977">
        <w:trPr>
          <w:trHeight w:val="315"/>
        </w:trPr>
        <w:tc>
          <w:tcPr>
            <w:tcW w:w="1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0E5CA0" w14:textId="77777777" w:rsidR="00D54977" w:rsidRPr="00D54977" w:rsidRDefault="00D54977" w:rsidP="00D54977">
            <w:pPr>
              <w:spacing w:line="240" w:lineRule="auto"/>
              <w:jc w:val="right"/>
              <w:rPr>
                <w:rFonts w:eastAsia="Times New Roman" w:cs="Calibri"/>
                <w:b/>
                <w:bCs/>
                <w:color w:val="000000"/>
                <w:sz w:val="24"/>
                <w:szCs w:val="24"/>
                <w:lang w:eastAsia="en-GB"/>
              </w:rPr>
            </w:pPr>
            <w:r w:rsidRPr="00D54977">
              <w:rPr>
                <w:rFonts w:eastAsia="Times New Roman" w:cs="Calibri"/>
                <w:b/>
                <w:bCs/>
                <w:color w:val="000000"/>
                <w:sz w:val="24"/>
                <w:szCs w:val="24"/>
                <w:lang w:eastAsia="en-GB"/>
              </w:rPr>
              <w:t>31.454</w:t>
            </w:r>
          </w:p>
        </w:tc>
        <w:tc>
          <w:tcPr>
            <w:tcW w:w="4680" w:type="dxa"/>
            <w:tcBorders>
              <w:top w:val="single" w:sz="4" w:space="0" w:color="auto"/>
              <w:left w:val="nil"/>
              <w:bottom w:val="single" w:sz="4" w:space="0" w:color="auto"/>
              <w:right w:val="single" w:sz="4" w:space="0" w:color="auto"/>
            </w:tcBorders>
            <w:shd w:val="clear" w:color="000000" w:fill="FFFFFF"/>
            <w:noWrap/>
            <w:vAlign w:val="bottom"/>
            <w:hideMark/>
          </w:tcPr>
          <w:p w14:paraId="11042106" w14:textId="77777777" w:rsidR="00D54977" w:rsidRPr="00D54977" w:rsidRDefault="00D54977" w:rsidP="00D54977">
            <w:pPr>
              <w:spacing w:line="240" w:lineRule="auto"/>
              <w:rPr>
                <w:rFonts w:eastAsia="Times New Roman" w:cs="Calibri"/>
                <w:b/>
                <w:bCs/>
                <w:color w:val="000000"/>
                <w:sz w:val="24"/>
                <w:szCs w:val="24"/>
                <w:lang w:eastAsia="en-GB"/>
              </w:rPr>
            </w:pPr>
            <w:r w:rsidRPr="00D54977">
              <w:rPr>
                <w:rFonts w:eastAsia="Times New Roman" w:cs="Calibri"/>
                <w:b/>
                <w:bCs/>
                <w:color w:val="000000"/>
                <w:sz w:val="24"/>
                <w:szCs w:val="24"/>
                <w:lang w:eastAsia="en-GB"/>
              </w:rPr>
              <w:t>TOTAL BUDGET</w:t>
            </w:r>
          </w:p>
        </w:tc>
        <w:tc>
          <w:tcPr>
            <w:tcW w:w="1220" w:type="dxa"/>
            <w:tcBorders>
              <w:top w:val="single" w:sz="4" w:space="0" w:color="auto"/>
              <w:left w:val="nil"/>
              <w:bottom w:val="single" w:sz="4" w:space="0" w:color="auto"/>
              <w:right w:val="single" w:sz="4" w:space="0" w:color="auto"/>
            </w:tcBorders>
            <w:shd w:val="clear" w:color="000000" w:fill="FFDDDD"/>
            <w:noWrap/>
            <w:vAlign w:val="bottom"/>
            <w:hideMark/>
          </w:tcPr>
          <w:p w14:paraId="66738DD0" w14:textId="77777777" w:rsidR="00D54977" w:rsidRPr="00D54977" w:rsidRDefault="00D54977" w:rsidP="00D54977">
            <w:pPr>
              <w:spacing w:line="240" w:lineRule="auto"/>
              <w:jc w:val="right"/>
              <w:rPr>
                <w:rFonts w:eastAsia="Times New Roman" w:cs="Calibri"/>
                <w:b/>
                <w:bCs/>
                <w:color w:val="000000"/>
                <w:sz w:val="24"/>
                <w:szCs w:val="24"/>
                <w:lang w:eastAsia="en-GB"/>
              </w:rPr>
            </w:pPr>
            <w:r w:rsidRPr="00D54977">
              <w:rPr>
                <w:rFonts w:eastAsia="Times New Roman" w:cs="Calibri"/>
                <w:b/>
                <w:bCs/>
                <w:color w:val="000000"/>
                <w:sz w:val="24"/>
                <w:szCs w:val="24"/>
                <w:lang w:eastAsia="en-GB"/>
              </w:rPr>
              <w:t>33.723</w:t>
            </w:r>
          </w:p>
        </w:tc>
      </w:tr>
    </w:tbl>
    <w:p w14:paraId="6DABC485" w14:textId="77777777" w:rsidR="00F120AF" w:rsidRDefault="00F120AF" w:rsidP="000566DF">
      <w:pPr>
        <w:pStyle w:val="PanelPara"/>
        <w:numPr>
          <w:ilvl w:val="0"/>
          <w:numId w:val="0"/>
        </w:numPr>
        <w:rPr>
          <w:highlight w:val="yellow"/>
        </w:rPr>
      </w:pPr>
    </w:p>
    <w:p w14:paraId="2C0F9852" w14:textId="0F9BF8FD" w:rsidR="00F120AF" w:rsidRPr="00F120AF" w:rsidRDefault="00F120AF" w:rsidP="00BD46B3">
      <w:pPr>
        <w:pStyle w:val="PanelPara"/>
      </w:pPr>
      <w:bookmarkStart w:id="16" w:name="_Hlk187418543"/>
      <w:r w:rsidRPr="00F120AF">
        <w:t>A detailed breakdown is set out in Appendix B.  Key Headlines are as follows:</w:t>
      </w:r>
    </w:p>
    <w:bookmarkEnd w:id="16"/>
    <w:p w14:paraId="6D5342E6" w14:textId="77777777" w:rsidR="00F120AF" w:rsidRPr="006C5895" w:rsidRDefault="00F120AF" w:rsidP="000E5F87">
      <w:pPr>
        <w:pStyle w:val="PanelPara2"/>
      </w:pPr>
      <w:r w:rsidRPr="006C5895">
        <w:t>The firefighter budget reflects the planned retirement and recruitment profile.</w:t>
      </w:r>
    </w:p>
    <w:p w14:paraId="2E3A6BD7" w14:textId="77777777" w:rsidR="00F120AF" w:rsidRPr="006C5895" w:rsidRDefault="00F120AF" w:rsidP="000E5F87">
      <w:pPr>
        <w:pStyle w:val="PanelPara2"/>
      </w:pPr>
      <w:r w:rsidRPr="006C5895">
        <w:t>Staff posts include roles such as Home Safety Advisers, Prevention, Protection, Control and some support staff.</w:t>
      </w:r>
    </w:p>
    <w:p w14:paraId="1247DB5E" w14:textId="77777777" w:rsidR="00F120AF" w:rsidRPr="006C5895" w:rsidRDefault="00F120AF" w:rsidP="000E5F87">
      <w:pPr>
        <w:pStyle w:val="PanelPara2"/>
      </w:pPr>
      <w:r w:rsidRPr="006C5895">
        <w:t>Other employee costs include the pay contingency, staff training, occupational health.</w:t>
      </w:r>
    </w:p>
    <w:p w14:paraId="69B76AD4" w14:textId="77777777" w:rsidR="00F120AF" w:rsidRPr="006C5895" w:rsidRDefault="00F120AF" w:rsidP="000E5F87">
      <w:pPr>
        <w:pStyle w:val="PanelPara2"/>
      </w:pPr>
      <w:r w:rsidRPr="006C5895">
        <w:t>Other non-pay budgets are based on a zero-based budget review which reflects inflationary increases and include estates, ICT, fleet, equipment and clothing.</w:t>
      </w:r>
    </w:p>
    <w:p w14:paraId="3C8A445F" w14:textId="77777777" w:rsidR="00F120AF" w:rsidRPr="006C5895" w:rsidRDefault="00F120AF" w:rsidP="000E5F87">
      <w:pPr>
        <w:pStyle w:val="PanelPara2"/>
      </w:pPr>
      <w:r w:rsidRPr="006C5895">
        <w:t>Interest income has been reviewed to reflect current interest rates and forecast cash balances.</w:t>
      </w:r>
    </w:p>
    <w:p w14:paraId="1F6DC5EF" w14:textId="3DFC60CC" w:rsidR="00F120AF" w:rsidRPr="00505A6D" w:rsidRDefault="00F120AF" w:rsidP="000E5F87">
      <w:pPr>
        <w:pStyle w:val="PanelPara2"/>
      </w:pPr>
      <w:r w:rsidRPr="00505A6D">
        <w:t xml:space="preserve">Reserves transfers reflect agreed one off drawdowns and contributions to capital, </w:t>
      </w:r>
      <w:r w:rsidR="00505A6D" w:rsidRPr="00505A6D">
        <w:t>transformation</w:t>
      </w:r>
      <w:r w:rsidRPr="00505A6D">
        <w:t xml:space="preserve"> and smoothing reserves.</w:t>
      </w:r>
    </w:p>
    <w:p w14:paraId="2B627B32" w14:textId="77777777" w:rsidR="000E5F87" w:rsidRDefault="000E5F87" w:rsidP="000566DF"/>
    <w:p w14:paraId="71BDA397" w14:textId="77777777" w:rsidR="00DE5ADB" w:rsidRDefault="00DE5ADB" w:rsidP="000566DF"/>
    <w:p w14:paraId="303D27FB" w14:textId="77777777" w:rsidR="00663AE7" w:rsidRDefault="00663AE7" w:rsidP="000566DF"/>
    <w:p w14:paraId="178E20DB" w14:textId="77777777" w:rsidR="00663AE7" w:rsidRDefault="00663AE7" w:rsidP="000566DF"/>
    <w:p w14:paraId="0B21BE33" w14:textId="77777777" w:rsidR="00663AE7" w:rsidRDefault="00663AE7" w:rsidP="000566DF"/>
    <w:p w14:paraId="6038156B" w14:textId="1462BFBD" w:rsidR="00505A6D" w:rsidRPr="006C5895" w:rsidRDefault="00505A6D" w:rsidP="00505A6D">
      <w:pPr>
        <w:pStyle w:val="PanelHeading"/>
      </w:pPr>
      <w:r w:rsidRPr="006C5895">
        <w:lastRenderedPageBreak/>
        <w:t xml:space="preserve">MEDIUM TERM FINANCIAL PLAN (MTFP) </w:t>
      </w:r>
    </w:p>
    <w:p w14:paraId="701FA5E4" w14:textId="77777777" w:rsidR="00505A6D" w:rsidRDefault="00505A6D" w:rsidP="00BD46B3">
      <w:pPr>
        <w:pStyle w:val="PanelPara"/>
      </w:pPr>
      <w:r w:rsidRPr="004B1AD4">
        <w:t>The MTFP covers a five-year period and is included in more detail at Appendix B.  It is reviewed regularly with formal updates every 6 months.</w:t>
      </w:r>
      <w:r>
        <w:t xml:space="preserve">  The current version is as follows:</w:t>
      </w:r>
    </w:p>
    <w:tbl>
      <w:tblPr>
        <w:tblW w:w="8380" w:type="dxa"/>
        <w:tblInd w:w="562" w:type="dxa"/>
        <w:tblLook w:val="04A0" w:firstRow="1" w:lastRow="0" w:firstColumn="1" w:lastColumn="0" w:noHBand="0" w:noVBand="1"/>
      </w:tblPr>
      <w:tblGrid>
        <w:gridCol w:w="1100"/>
        <w:gridCol w:w="1780"/>
        <w:gridCol w:w="1100"/>
        <w:gridCol w:w="1100"/>
        <w:gridCol w:w="1100"/>
        <w:gridCol w:w="1100"/>
        <w:gridCol w:w="1100"/>
      </w:tblGrid>
      <w:tr w:rsidR="00D54977" w:rsidRPr="00D54977" w14:paraId="5308491C" w14:textId="77777777" w:rsidTr="00D54977">
        <w:trPr>
          <w:trHeight w:val="600"/>
        </w:trPr>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52E89B" w14:textId="77777777" w:rsidR="00D54977" w:rsidRPr="00D54977" w:rsidRDefault="00D54977" w:rsidP="00D54977">
            <w:pPr>
              <w:spacing w:line="240" w:lineRule="auto"/>
              <w:jc w:val="center"/>
              <w:rPr>
                <w:rFonts w:eastAsia="Times New Roman" w:cs="Calibri"/>
                <w:b/>
                <w:bCs/>
                <w:color w:val="000000"/>
                <w:lang w:eastAsia="en-GB"/>
              </w:rPr>
            </w:pPr>
            <w:r w:rsidRPr="00D54977">
              <w:rPr>
                <w:rFonts w:eastAsia="Times New Roman" w:cs="Calibri"/>
                <w:b/>
                <w:bCs/>
                <w:color w:val="000000"/>
                <w:lang w:eastAsia="en-GB"/>
              </w:rPr>
              <w:t>2024/25</w:t>
            </w:r>
            <w:r w:rsidRPr="00D54977">
              <w:rPr>
                <w:rFonts w:eastAsia="Times New Roman" w:cs="Calibri"/>
                <w:b/>
                <w:bCs/>
                <w:color w:val="000000"/>
                <w:lang w:eastAsia="en-GB"/>
              </w:rPr>
              <w:br/>
              <w:t>£m</w:t>
            </w:r>
          </w:p>
        </w:tc>
        <w:tc>
          <w:tcPr>
            <w:tcW w:w="1780" w:type="dxa"/>
            <w:tcBorders>
              <w:top w:val="single" w:sz="4" w:space="0" w:color="auto"/>
              <w:left w:val="nil"/>
              <w:bottom w:val="single" w:sz="4" w:space="0" w:color="auto"/>
              <w:right w:val="single" w:sz="4" w:space="0" w:color="auto"/>
            </w:tcBorders>
            <w:shd w:val="clear" w:color="000000" w:fill="FFFFFF"/>
            <w:noWrap/>
            <w:vAlign w:val="center"/>
            <w:hideMark/>
          </w:tcPr>
          <w:p w14:paraId="6EB241D8" w14:textId="77777777" w:rsidR="00D54977" w:rsidRPr="00D54977" w:rsidRDefault="00D54977" w:rsidP="00D54977">
            <w:pPr>
              <w:spacing w:line="240" w:lineRule="auto"/>
              <w:jc w:val="center"/>
              <w:rPr>
                <w:rFonts w:eastAsia="Times New Roman" w:cs="Calibri"/>
                <w:b/>
                <w:bCs/>
                <w:color w:val="000000"/>
                <w:lang w:eastAsia="en-GB"/>
              </w:rPr>
            </w:pPr>
            <w:r w:rsidRPr="00D54977">
              <w:rPr>
                <w:rFonts w:eastAsia="Times New Roman" w:cs="Calibri"/>
                <w:b/>
                <w:bCs/>
                <w:color w:val="000000"/>
                <w:lang w:eastAsia="en-GB"/>
              </w:rPr>
              <w:t> </w:t>
            </w:r>
          </w:p>
        </w:tc>
        <w:tc>
          <w:tcPr>
            <w:tcW w:w="1100" w:type="dxa"/>
            <w:tcBorders>
              <w:top w:val="single" w:sz="4" w:space="0" w:color="auto"/>
              <w:left w:val="nil"/>
              <w:bottom w:val="single" w:sz="4" w:space="0" w:color="auto"/>
              <w:right w:val="single" w:sz="4" w:space="0" w:color="auto"/>
            </w:tcBorders>
            <w:shd w:val="clear" w:color="000000" w:fill="FFDDDD"/>
            <w:vAlign w:val="center"/>
            <w:hideMark/>
          </w:tcPr>
          <w:p w14:paraId="4794FCDF" w14:textId="77777777" w:rsidR="00D54977" w:rsidRPr="00D54977" w:rsidRDefault="00D54977" w:rsidP="00D54977">
            <w:pPr>
              <w:spacing w:line="240" w:lineRule="auto"/>
              <w:jc w:val="center"/>
              <w:rPr>
                <w:rFonts w:eastAsia="Times New Roman" w:cs="Calibri"/>
                <w:b/>
                <w:bCs/>
                <w:color w:val="000000"/>
                <w:lang w:eastAsia="en-GB"/>
              </w:rPr>
            </w:pPr>
            <w:r w:rsidRPr="00D54977">
              <w:rPr>
                <w:rFonts w:eastAsia="Times New Roman" w:cs="Calibri"/>
                <w:b/>
                <w:bCs/>
                <w:color w:val="000000"/>
                <w:lang w:eastAsia="en-GB"/>
              </w:rPr>
              <w:t>2025/26</w:t>
            </w:r>
            <w:r w:rsidRPr="00D54977">
              <w:rPr>
                <w:rFonts w:eastAsia="Times New Roman" w:cs="Calibri"/>
                <w:b/>
                <w:bCs/>
                <w:color w:val="000000"/>
                <w:lang w:eastAsia="en-GB"/>
              </w:rPr>
              <w:br/>
              <w:t>£m</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39B5C52A" w14:textId="77777777" w:rsidR="00D54977" w:rsidRPr="00D54977" w:rsidRDefault="00D54977" w:rsidP="00D54977">
            <w:pPr>
              <w:spacing w:line="240" w:lineRule="auto"/>
              <w:jc w:val="center"/>
              <w:rPr>
                <w:rFonts w:eastAsia="Times New Roman" w:cs="Calibri"/>
                <w:b/>
                <w:bCs/>
                <w:color w:val="000000"/>
                <w:lang w:eastAsia="en-GB"/>
              </w:rPr>
            </w:pPr>
            <w:r w:rsidRPr="00D54977">
              <w:rPr>
                <w:rFonts w:eastAsia="Times New Roman" w:cs="Calibri"/>
                <w:b/>
                <w:bCs/>
                <w:color w:val="000000"/>
                <w:lang w:eastAsia="en-GB"/>
              </w:rPr>
              <w:t>2026/27</w:t>
            </w:r>
            <w:r w:rsidRPr="00D54977">
              <w:rPr>
                <w:rFonts w:eastAsia="Times New Roman" w:cs="Calibri"/>
                <w:b/>
                <w:bCs/>
                <w:color w:val="000000"/>
                <w:lang w:eastAsia="en-GB"/>
              </w:rPr>
              <w:br/>
              <w:t>£m</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0D59A10C" w14:textId="77777777" w:rsidR="00D54977" w:rsidRPr="00D54977" w:rsidRDefault="00D54977" w:rsidP="00D54977">
            <w:pPr>
              <w:spacing w:line="240" w:lineRule="auto"/>
              <w:jc w:val="center"/>
              <w:rPr>
                <w:rFonts w:eastAsia="Times New Roman" w:cs="Calibri"/>
                <w:b/>
                <w:bCs/>
                <w:color w:val="000000"/>
                <w:lang w:eastAsia="en-GB"/>
              </w:rPr>
            </w:pPr>
            <w:r w:rsidRPr="00D54977">
              <w:rPr>
                <w:rFonts w:eastAsia="Times New Roman" w:cs="Calibri"/>
                <w:b/>
                <w:bCs/>
                <w:color w:val="000000"/>
                <w:lang w:eastAsia="en-GB"/>
              </w:rPr>
              <w:t>2027/28</w:t>
            </w:r>
            <w:r w:rsidRPr="00D54977">
              <w:rPr>
                <w:rFonts w:eastAsia="Times New Roman" w:cs="Calibri"/>
                <w:b/>
                <w:bCs/>
                <w:color w:val="000000"/>
                <w:lang w:eastAsia="en-GB"/>
              </w:rPr>
              <w:br/>
              <w:t>£m</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4283F318" w14:textId="77777777" w:rsidR="00D54977" w:rsidRPr="00D54977" w:rsidRDefault="00D54977" w:rsidP="00D54977">
            <w:pPr>
              <w:spacing w:line="240" w:lineRule="auto"/>
              <w:jc w:val="center"/>
              <w:rPr>
                <w:rFonts w:eastAsia="Times New Roman" w:cs="Calibri"/>
                <w:b/>
                <w:bCs/>
                <w:color w:val="000000"/>
                <w:lang w:eastAsia="en-GB"/>
              </w:rPr>
            </w:pPr>
            <w:r w:rsidRPr="00D54977">
              <w:rPr>
                <w:rFonts w:eastAsia="Times New Roman" w:cs="Calibri"/>
                <w:b/>
                <w:bCs/>
                <w:color w:val="000000"/>
                <w:lang w:eastAsia="en-GB"/>
              </w:rPr>
              <w:t>2028/29</w:t>
            </w:r>
            <w:r w:rsidRPr="00D54977">
              <w:rPr>
                <w:rFonts w:eastAsia="Times New Roman" w:cs="Calibri"/>
                <w:b/>
                <w:bCs/>
                <w:color w:val="000000"/>
                <w:lang w:eastAsia="en-GB"/>
              </w:rPr>
              <w:br/>
              <w:t>£m</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5B11C03A" w14:textId="77777777" w:rsidR="00D54977" w:rsidRPr="00D54977" w:rsidRDefault="00D54977" w:rsidP="00D54977">
            <w:pPr>
              <w:spacing w:line="240" w:lineRule="auto"/>
              <w:jc w:val="center"/>
              <w:rPr>
                <w:rFonts w:eastAsia="Times New Roman" w:cs="Calibri"/>
                <w:b/>
                <w:bCs/>
                <w:color w:val="000000"/>
                <w:lang w:eastAsia="en-GB"/>
              </w:rPr>
            </w:pPr>
            <w:r w:rsidRPr="00D54977">
              <w:rPr>
                <w:rFonts w:eastAsia="Times New Roman" w:cs="Calibri"/>
                <w:b/>
                <w:bCs/>
                <w:color w:val="000000"/>
                <w:lang w:eastAsia="en-GB"/>
              </w:rPr>
              <w:t>2029/30</w:t>
            </w:r>
            <w:r w:rsidRPr="00D54977">
              <w:rPr>
                <w:rFonts w:eastAsia="Times New Roman" w:cs="Calibri"/>
                <w:b/>
                <w:bCs/>
                <w:color w:val="000000"/>
                <w:lang w:eastAsia="en-GB"/>
              </w:rPr>
              <w:br/>
              <w:t>£m</w:t>
            </w:r>
          </w:p>
        </w:tc>
      </w:tr>
      <w:tr w:rsidR="00D54977" w:rsidRPr="00D54977" w14:paraId="672830B7" w14:textId="77777777" w:rsidTr="00D54977">
        <w:trPr>
          <w:trHeight w:val="630"/>
        </w:trPr>
        <w:tc>
          <w:tcPr>
            <w:tcW w:w="1100" w:type="dxa"/>
            <w:tcBorders>
              <w:top w:val="nil"/>
              <w:left w:val="single" w:sz="4" w:space="0" w:color="auto"/>
              <w:bottom w:val="nil"/>
              <w:right w:val="single" w:sz="4" w:space="0" w:color="auto"/>
            </w:tcBorders>
            <w:shd w:val="clear" w:color="000000" w:fill="FFFFFF"/>
            <w:noWrap/>
            <w:vAlign w:val="bottom"/>
            <w:hideMark/>
          </w:tcPr>
          <w:p w14:paraId="7FE9A16B"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32.938</w:t>
            </w:r>
          </w:p>
        </w:tc>
        <w:tc>
          <w:tcPr>
            <w:tcW w:w="1780" w:type="dxa"/>
            <w:tcBorders>
              <w:top w:val="nil"/>
              <w:left w:val="nil"/>
              <w:bottom w:val="nil"/>
              <w:right w:val="single" w:sz="4" w:space="0" w:color="auto"/>
            </w:tcBorders>
            <w:shd w:val="clear" w:color="000000" w:fill="FFFFFF"/>
            <w:noWrap/>
            <w:vAlign w:val="bottom"/>
            <w:hideMark/>
          </w:tcPr>
          <w:p w14:paraId="40E27571" w14:textId="77777777" w:rsidR="00D54977" w:rsidRPr="00D54977" w:rsidRDefault="00D54977" w:rsidP="00D54977">
            <w:pPr>
              <w:spacing w:line="240" w:lineRule="auto"/>
              <w:rPr>
                <w:rFonts w:eastAsia="Times New Roman" w:cs="Calibri"/>
                <w:color w:val="000000"/>
                <w:lang w:eastAsia="en-GB"/>
              </w:rPr>
            </w:pPr>
            <w:r w:rsidRPr="00D54977">
              <w:rPr>
                <w:rFonts w:eastAsia="Times New Roman" w:cs="Calibri"/>
                <w:color w:val="000000"/>
                <w:lang w:eastAsia="en-GB"/>
              </w:rPr>
              <w:t>Expenditure</w:t>
            </w:r>
          </w:p>
        </w:tc>
        <w:tc>
          <w:tcPr>
            <w:tcW w:w="1100" w:type="dxa"/>
            <w:tcBorders>
              <w:top w:val="nil"/>
              <w:left w:val="nil"/>
              <w:bottom w:val="nil"/>
              <w:right w:val="single" w:sz="4" w:space="0" w:color="auto"/>
            </w:tcBorders>
            <w:shd w:val="clear" w:color="000000" w:fill="FFDDDD"/>
            <w:noWrap/>
            <w:vAlign w:val="bottom"/>
            <w:hideMark/>
          </w:tcPr>
          <w:p w14:paraId="4AC0355C"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35.411</w:t>
            </w:r>
          </w:p>
        </w:tc>
        <w:tc>
          <w:tcPr>
            <w:tcW w:w="1100" w:type="dxa"/>
            <w:tcBorders>
              <w:top w:val="nil"/>
              <w:left w:val="nil"/>
              <w:bottom w:val="nil"/>
              <w:right w:val="single" w:sz="4" w:space="0" w:color="auto"/>
            </w:tcBorders>
            <w:shd w:val="clear" w:color="000000" w:fill="FFFFFF"/>
            <w:noWrap/>
            <w:vAlign w:val="bottom"/>
            <w:hideMark/>
          </w:tcPr>
          <w:p w14:paraId="4ACBE4EF"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37.324</w:t>
            </w:r>
          </w:p>
        </w:tc>
        <w:tc>
          <w:tcPr>
            <w:tcW w:w="1100" w:type="dxa"/>
            <w:tcBorders>
              <w:top w:val="nil"/>
              <w:left w:val="nil"/>
              <w:bottom w:val="nil"/>
              <w:right w:val="single" w:sz="4" w:space="0" w:color="auto"/>
            </w:tcBorders>
            <w:shd w:val="clear" w:color="000000" w:fill="FFFFFF"/>
            <w:noWrap/>
            <w:vAlign w:val="bottom"/>
            <w:hideMark/>
          </w:tcPr>
          <w:p w14:paraId="0B1A8EDA"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39.535</w:t>
            </w:r>
          </w:p>
        </w:tc>
        <w:tc>
          <w:tcPr>
            <w:tcW w:w="1100" w:type="dxa"/>
            <w:tcBorders>
              <w:top w:val="nil"/>
              <w:left w:val="nil"/>
              <w:bottom w:val="nil"/>
              <w:right w:val="single" w:sz="4" w:space="0" w:color="auto"/>
            </w:tcBorders>
            <w:shd w:val="clear" w:color="000000" w:fill="FFFFFF"/>
            <w:noWrap/>
            <w:vAlign w:val="bottom"/>
            <w:hideMark/>
          </w:tcPr>
          <w:p w14:paraId="14E6F580"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41.128</w:t>
            </w:r>
          </w:p>
        </w:tc>
        <w:tc>
          <w:tcPr>
            <w:tcW w:w="1100" w:type="dxa"/>
            <w:tcBorders>
              <w:top w:val="nil"/>
              <w:left w:val="nil"/>
              <w:bottom w:val="nil"/>
              <w:right w:val="single" w:sz="4" w:space="0" w:color="auto"/>
            </w:tcBorders>
            <w:shd w:val="clear" w:color="000000" w:fill="FFFFFF"/>
            <w:noWrap/>
            <w:vAlign w:val="bottom"/>
            <w:hideMark/>
          </w:tcPr>
          <w:p w14:paraId="7B64DABB"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41.815</w:t>
            </w:r>
          </w:p>
        </w:tc>
      </w:tr>
      <w:tr w:rsidR="00D54977" w:rsidRPr="00D54977" w14:paraId="199573B1" w14:textId="77777777" w:rsidTr="00D54977">
        <w:trPr>
          <w:trHeight w:val="315"/>
        </w:trPr>
        <w:tc>
          <w:tcPr>
            <w:tcW w:w="1100" w:type="dxa"/>
            <w:tcBorders>
              <w:top w:val="nil"/>
              <w:left w:val="single" w:sz="4" w:space="0" w:color="auto"/>
              <w:bottom w:val="nil"/>
              <w:right w:val="single" w:sz="4" w:space="0" w:color="auto"/>
            </w:tcBorders>
            <w:shd w:val="clear" w:color="000000" w:fill="FFFFFF"/>
            <w:noWrap/>
            <w:vAlign w:val="bottom"/>
            <w:hideMark/>
          </w:tcPr>
          <w:p w14:paraId="0BE1D532"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(1.484)</w:t>
            </w:r>
          </w:p>
        </w:tc>
        <w:tc>
          <w:tcPr>
            <w:tcW w:w="1780" w:type="dxa"/>
            <w:tcBorders>
              <w:top w:val="nil"/>
              <w:left w:val="nil"/>
              <w:bottom w:val="nil"/>
              <w:right w:val="single" w:sz="4" w:space="0" w:color="auto"/>
            </w:tcBorders>
            <w:shd w:val="clear" w:color="000000" w:fill="FFFFFF"/>
            <w:noWrap/>
            <w:vAlign w:val="bottom"/>
            <w:hideMark/>
          </w:tcPr>
          <w:p w14:paraId="71BC842D" w14:textId="77777777" w:rsidR="00D54977" w:rsidRPr="00D54977" w:rsidRDefault="00D54977" w:rsidP="00D54977">
            <w:pPr>
              <w:spacing w:line="240" w:lineRule="auto"/>
              <w:rPr>
                <w:rFonts w:eastAsia="Times New Roman" w:cs="Calibri"/>
                <w:color w:val="000000"/>
                <w:lang w:eastAsia="en-GB"/>
              </w:rPr>
            </w:pPr>
            <w:r w:rsidRPr="00D54977">
              <w:rPr>
                <w:rFonts w:eastAsia="Times New Roman" w:cs="Calibri"/>
                <w:color w:val="000000"/>
                <w:lang w:eastAsia="en-GB"/>
              </w:rPr>
              <w:t>Savings Plans</w:t>
            </w:r>
          </w:p>
        </w:tc>
        <w:tc>
          <w:tcPr>
            <w:tcW w:w="1100" w:type="dxa"/>
            <w:tcBorders>
              <w:top w:val="nil"/>
              <w:left w:val="nil"/>
              <w:bottom w:val="nil"/>
              <w:right w:val="single" w:sz="4" w:space="0" w:color="auto"/>
            </w:tcBorders>
            <w:shd w:val="clear" w:color="000000" w:fill="FFDDDD"/>
            <w:noWrap/>
            <w:vAlign w:val="bottom"/>
            <w:hideMark/>
          </w:tcPr>
          <w:p w14:paraId="6827A835"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(1.688)</w:t>
            </w:r>
          </w:p>
        </w:tc>
        <w:tc>
          <w:tcPr>
            <w:tcW w:w="1100" w:type="dxa"/>
            <w:tcBorders>
              <w:top w:val="nil"/>
              <w:left w:val="nil"/>
              <w:bottom w:val="nil"/>
              <w:right w:val="single" w:sz="4" w:space="0" w:color="auto"/>
            </w:tcBorders>
            <w:shd w:val="clear" w:color="000000" w:fill="FFFFFF"/>
            <w:noWrap/>
            <w:vAlign w:val="bottom"/>
            <w:hideMark/>
          </w:tcPr>
          <w:p w14:paraId="546CEED1"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(1.078)</w:t>
            </w:r>
          </w:p>
        </w:tc>
        <w:tc>
          <w:tcPr>
            <w:tcW w:w="1100" w:type="dxa"/>
            <w:tcBorders>
              <w:top w:val="nil"/>
              <w:left w:val="nil"/>
              <w:bottom w:val="nil"/>
              <w:right w:val="single" w:sz="4" w:space="0" w:color="auto"/>
            </w:tcBorders>
            <w:shd w:val="clear" w:color="000000" w:fill="FFFFFF"/>
            <w:noWrap/>
            <w:vAlign w:val="bottom"/>
            <w:hideMark/>
          </w:tcPr>
          <w:p w14:paraId="7212A18A"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(1.472)</w:t>
            </w:r>
          </w:p>
        </w:tc>
        <w:tc>
          <w:tcPr>
            <w:tcW w:w="1100" w:type="dxa"/>
            <w:tcBorders>
              <w:top w:val="nil"/>
              <w:left w:val="nil"/>
              <w:bottom w:val="nil"/>
              <w:right w:val="single" w:sz="4" w:space="0" w:color="auto"/>
            </w:tcBorders>
            <w:shd w:val="clear" w:color="000000" w:fill="FFFFFF"/>
            <w:noWrap/>
            <w:vAlign w:val="bottom"/>
            <w:hideMark/>
          </w:tcPr>
          <w:p w14:paraId="4FCC0E43"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(1.840)</w:t>
            </w:r>
          </w:p>
        </w:tc>
        <w:tc>
          <w:tcPr>
            <w:tcW w:w="1100" w:type="dxa"/>
            <w:tcBorders>
              <w:top w:val="nil"/>
              <w:left w:val="nil"/>
              <w:bottom w:val="nil"/>
              <w:right w:val="single" w:sz="4" w:space="0" w:color="auto"/>
            </w:tcBorders>
            <w:shd w:val="clear" w:color="000000" w:fill="FFFFFF"/>
            <w:noWrap/>
            <w:vAlign w:val="bottom"/>
            <w:hideMark/>
          </w:tcPr>
          <w:p w14:paraId="624C062A"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(2.216)</w:t>
            </w:r>
          </w:p>
        </w:tc>
      </w:tr>
      <w:tr w:rsidR="00D54977" w:rsidRPr="00D54977" w14:paraId="539C9934" w14:textId="77777777" w:rsidTr="00D54977">
        <w:trPr>
          <w:trHeight w:val="315"/>
        </w:trPr>
        <w:tc>
          <w:tcPr>
            <w:tcW w:w="1100" w:type="dxa"/>
            <w:tcBorders>
              <w:top w:val="single" w:sz="4" w:space="0" w:color="auto"/>
              <w:left w:val="single" w:sz="4" w:space="0" w:color="auto"/>
              <w:bottom w:val="nil"/>
              <w:right w:val="single" w:sz="4" w:space="0" w:color="auto"/>
            </w:tcBorders>
            <w:shd w:val="clear" w:color="000000" w:fill="FFFFFF"/>
            <w:noWrap/>
            <w:vAlign w:val="bottom"/>
            <w:hideMark/>
          </w:tcPr>
          <w:p w14:paraId="15841F80" w14:textId="77777777" w:rsidR="00D54977" w:rsidRPr="00D54977" w:rsidRDefault="00D54977" w:rsidP="00D54977">
            <w:pPr>
              <w:spacing w:line="240" w:lineRule="auto"/>
              <w:jc w:val="right"/>
              <w:rPr>
                <w:rFonts w:eastAsia="Times New Roman" w:cs="Calibri"/>
                <w:b/>
                <w:bCs/>
                <w:color w:val="000000"/>
                <w:lang w:eastAsia="en-GB"/>
              </w:rPr>
            </w:pPr>
            <w:r w:rsidRPr="00D54977">
              <w:rPr>
                <w:rFonts w:eastAsia="Times New Roman" w:cs="Calibri"/>
                <w:b/>
                <w:bCs/>
                <w:color w:val="000000"/>
                <w:lang w:eastAsia="en-GB"/>
              </w:rPr>
              <w:t>31.454</w:t>
            </w:r>
          </w:p>
        </w:tc>
        <w:tc>
          <w:tcPr>
            <w:tcW w:w="1780" w:type="dxa"/>
            <w:tcBorders>
              <w:top w:val="nil"/>
              <w:left w:val="nil"/>
              <w:bottom w:val="nil"/>
              <w:right w:val="single" w:sz="4" w:space="0" w:color="auto"/>
            </w:tcBorders>
            <w:shd w:val="clear" w:color="000000" w:fill="FFFFFF"/>
            <w:noWrap/>
            <w:vAlign w:val="bottom"/>
            <w:hideMark/>
          </w:tcPr>
          <w:p w14:paraId="08B92EF2" w14:textId="77777777" w:rsidR="00D54977" w:rsidRPr="00D54977" w:rsidRDefault="00D54977" w:rsidP="00D54977">
            <w:pPr>
              <w:spacing w:line="240" w:lineRule="auto"/>
              <w:rPr>
                <w:rFonts w:eastAsia="Times New Roman" w:cs="Calibri"/>
                <w:b/>
                <w:bCs/>
                <w:color w:val="000000"/>
                <w:lang w:eastAsia="en-GB"/>
              </w:rPr>
            </w:pPr>
            <w:r w:rsidRPr="00D54977">
              <w:rPr>
                <w:rFonts w:eastAsia="Times New Roman" w:cs="Calibri"/>
                <w:b/>
                <w:bCs/>
                <w:color w:val="000000"/>
                <w:lang w:eastAsia="en-GB"/>
              </w:rPr>
              <w:t> </w:t>
            </w:r>
          </w:p>
        </w:tc>
        <w:tc>
          <w:tcPr>
            <w:tcW w:w="1100" w:type="dxa"/>
            <w:tcBorders>
              <w:top w:val="single" w:sz="4" w:space="0" w:color="auto"/>
              <w:left w:val="nil"/>
              <w:bottom w:val="nil"/>
              <w:right w:val="single" w:sz="4" w:space="0" w:color="auto"/>
            </w:tcBorders>
            <w:shd w:val="clear" w:color="000000" w:fill="FFDDDD"/>
            <w:noWrap/>
            <w:vAlign w:val="bottom"/>
            <w:hideMark/>
          </w:tcPr>
          <w:p w14:paraId="434AAB4B" w14:textId="77777777" w:rsidR="00D54977" w:rsidRPr="00D54977" w:rsidRDefault="00D54977" w:rsidP="00D54977">
            <w:pPr>
              <w:spacing w:line="240" w:lineRule="auto"/>
              <w:jc w:val="right"/>
              <w:rPr>
                <w:rFonts w:eastAsia="Times New Roman" w:cs="Calibri"/>
                <w:b/>
                <w:bCs/>
                <w:color w:val="000000"/>
                <w:lang w:eastAsia="en-GB"/>
              </w:rPr>
            </w:pPr>
            <w:r w:rsidRPr="00D54977">
              <w:rPr>
                <w:rFonts w:eastAsia="Times New Roman" w:cs="Calibri"/>
                <w:b/>
                <w:bCs/>
                <w:color w:val="000000"/>
                <w:lang w:eastAsia="en-GB"/>
              </w:rPr>
              <w:t>33.723</w:t>
            </w:r>
          </w:p>
        </w:tc>
        <w:tc>
          <w:tcPr>
            <w:tcW w:w="1100" w:type="dxa"/>
            <w:tcBorders>
              <w:top w:val="single" w:sz="4" w:space="0" w:color="auto"/>
              <w:left w:val="nil"/>
              <w:bottom w:val="nil"/>
              <w:right w:val="single" w:sz="4" w:space="0" w:color="auto"/>
            </w:tcBorders>
            <w:shd w:val="clear" w:color="000000" w:fill="FFFFFF"/>
            <w:noWrap/>
            <w:vAlign w:val="bottom"/>
            <w:hideMark/>
          </w:tcPr>
          <w:p w14:paraId="229A2AA0" w14:textId="77777777" w:rsidR="00D54977" w:rsidRPr="00D54977" w:rsidRDefault="00D54977" w:rsidP="00D54977">
            <w:pPr>
              <w:spacing w:line="240" w:lineRule="auto"/>
              <w:jc w:val="right"/>
              <w:rPr>
                <w:rFonts w:eastAsia="Times New Roman" w:cs="Calibri"/>
                <w:b/>
                <w:bCs/>
                <w:color w:val="000000"/>
                <w:lang w:eastAsia="en-GB"/>
              </w:rPr>
            </w:pPr>
            <w:r w:rsidRPr="00D54977">
              <w:rPr>
                <w:rFonts w:eastAsia="Times New Roman" w:cs="Calibri"/>
                <w:b/>
                <w:bCs/>
                <w:color w:val="000000"/>
                <w:lang w:eastAsia="en-GB"/>
              </w:rPr>
              <w:t>36.246</w:t>
            </w:r>
          </w:p>
        </w:tc>
        <w:tc>
          <w:tcPr>
            <w:tcW w:w="1100" w:type="dxa"/>
            <w:tcBorders>
              <w:top w:val="single" w:sz="4" w:space="0" w:color="auto"/>
              <w:left w:val="nil"/>
              <w:bottom w:val="nil"/>
              <w:right w:val="single" w:sz="4" w:space="0" w:color="auto"/>
            </w:tcBorders>
            <w:shd w:val="clear" w:color="000000" w:fill="FFFFFF"/>
            <w:noWrap/>
            <w:vAlign w:val="bottom"/>
            <w:hideMark/>
          </w:tcPr>
          <w:p w14:paraId="0F61EF74" w14:textId="77777777" w:rsidR="00D54977" w:rsidRPr="00D54977" w:rsidRDefault="00D54977" w:rsidP="00D54977">
            <w:pPr>
              <w:spacing w:line="240" w:lineRule="auto"/>
              <w:jc w:val="right"/>
              <w:rPr>
                <w:rFonts w:eastAsia="Times New Roman" w:cs="Calibri"/>
                <w:b/>
                <w:bCs/>
                <w:color w:val="000000"/>
                <w:lang w:eastAsia="en-GB"/>
              </w:rPr>
            </w:pPr>
            <w:r w:rsidRPr="00D54977">
              <w:rPr>
                <w:rFonts w:eastAsia="Times New Roman" w:cs="Calibri"/>
                <w:b/>
                <w:bCs/>
                <w:color w:val="000000"/>
                <w:lang w:eastAsia="en-GB"/>
              </w:rPr>
              <w:t>38.063</w:t>
            </w:r>
          </w:p>
        </w:tc>
        <w:tc>
          <w:tcPr>
            <w:tcW w:w="1100" w:type="dxa"/>
            <w:tcBorders>
              <w:top w:val="single" w:sz="4" w:space="0" w:color="auto"/>
              <w:left w:val="nil"/>
              <w:bottom w:val="nil"/>
              <w:right w:val="single" w:sz="4" w:space="0" w:color="auto"/>
            </w:tcBorders>
            <w:shd w:val="clear" w:color="000000" w:fill="FFFFFF"/>
            <w:noWrap/>
            <w:vAlign w:val="bottom"/>
            <w:hideMark/>
          </w:tcPr>
          <w:p w14:paraId="3B2BF8E0" w14:textId="77777777" w:rsidR="00D54977" w:rsidRPr="00D54977" w:rsidRDefault="00D54977" w:rsidP="00D54977">
            <w:pPr>
              <w:spacing w:line="240" w:lineRule="auto"/>
              <w:jc w:val="right"/>
              <w:rPr>
                <w:rFonts w:eastAsia="Times New Roman" w:cs="Calibri"/>
                <w:b/>
                <w:bCs/>
                <w:color w:val="000000"/>
                <w:lang w:eastAsia="en-GB"/>
              </w:rPr>
            </w:pPr>
            <w:r w:rsidRPr="00D54977">
              <w:rPr>
                <w:rFonts w:eastAsia="Times New Roman" w:cs="Calibri"/>
                <w:b/>
                <w:bCs/>
                <w:color w:val="000000"/>
                <w:lang w:eastAsia="en-GB"/>
              </w:rPr>
              <w:t>39.288</w:t>
            </w:r>
          </w:p>
        </w:tc>
        <w:tc>
          <w:tcPr>
            <w:tcW w:w="1100" w:type="dxa"/>
            <w:tcBorders>
              <w:top w:val="single" w:sz="4" w:space="0" w:color="auto"/>
              <w:left w:val="nil"/>
              <w:bottom w:val="nil"/>
              <w:right w:val="single" w:sz="4" w:space="0" w:color="auto"/>
            </w:tcBorders>
            <w:shd w:val="clear" w:color="000000" w:fill="FFFFFF"/>
            <w:noWrap/>
            <w:vAlign w:val="bottom"/>
            <w:hideMark/>
          </w:tcPr>
          <w:p w14:paraId="20F78B02" w14:textId="77777777" w:rsidR="00D54977" w:rsidRPr="00D54977" w:rsidRDefault="00D54977" w:rsidP="00D54977">
            <w:pPr>
              <w:spacing w:line="240" w:lineRule="auto"/>
              <w:jc w:val="right"/>
              <w:rPr>
                <w:rFonts w:eastAsia="Times New Roman" w:cs="Calibri"/>
                <w:b/>
                <w:bCs/>
                <w:color w:val="000000"/>
                <w:lang w:eastAsia="en-GB"/>
              </w:rPr>
            </w:pPr>
            <w:r w:rsidRPr="00D54977">
              <w:rPr>
                <w:rFonts w:eastAsia="Times New Roman" w:cs="Calibri"/>
                <w:b/>
                <w:bCs/>
                <w:color w:val="000000"/>
                <w:lang w:eastAsia="en-GB"/>
              </w:rPr>
              <w:t>39.599</w:t>
            </w:r>
          </w:p>
        </w:tc>
      </w:tr>
      <w:tr w:rsidR="00D54977" w:rsidRPr="00D54977" w14:paraId="23BD074A" w14:textId="77777777" w:rsidTr="00D54977">
        <w:trPr>
          <w:trHeight w:val="315"/>
        </w:trPr>
        <w:tc>
          <w:tcPr>
            <w:tcW w:w="1100" w:type="dxa"/>
            <w:tcBorders>
              <w:top w:val="nil"/>
              <w:left w:val="single" w:sz="4" w:space="0" w:color="auto"/>
              <w:bottom w:val="nil"/>
              <w:right w:val="single" w:sz="4" w:space="0" w:color="auto"/>
            </w:tcBorders>
            <w:shd w:val="clear" w:color="000000" w:fill="FFFFFF"/>
            <w:noWrap/>
            <w:vAlign w:val="bottom"/>
            <w:hideMark/>
          </w:tcPr>
          <w:p w14:paraId="39AE32B0" w14:textId="77777777" w:rsidR="00D54977" w:rsidRPr="00D54977" w:rsidRDefault="00D54977" w:rsidP="00D54977">
            <w:pPr>
              <w:spacing w:line="240" w:lineRule="auto"/>
              <w:rPr>
                <w:rFonts w:eastAsia="Times New Roman" w:cs="Calibri"/>
                <w:color w:val="000000"/>
                <w:lang w:eastAsia="en-GB"/>
              </w:rPr>
            </w:pPr>
            <w:r w:rsidRPr="00D54977">
              <w:rPr>
                <w:rFonts w:eastAsia="Times New Roman" w:cs="Calibri"/>
                <w:color w:val="000000"/>
                <w:lang w:eastAsia="en-GB"/>
              </w:rPr>
              <w:t> </w:t>
            </w:r>
          </w:p>
        </w:tc>
        <w:tc>
          <w:tcPr>
            <w:tcW w:w="1780" w:type="dxa"/>
            <w:tcBorders>
              <w:top w:val="nil"/>
              <w:left w:val="nil"/>
              <w:bottom w:val="nil"/>
              <w:right w:val="single" w:sz="4" w:space="0" w:color="auto"/>
            </w:tcBorders>
            <w:shd w:val="clear" w:color="000000" w:fill="FFFFFF"/>
            <w:noWrap/>
            <w:vAlign w:val="bottom"/>
            <w:hideMark/>
          </w:tcPr>
          <w:p w14:paraId="6ADB58C3" w14:textId="77777777" w:rsidR="00D54977" w:rsidRPr="00D54977" w:rsidRDefault="00D54977" w:rsidP="00D54977">
            <w:pPr>
              <w:spacing w:line="240" w:lineRule="auto"/>
              <w:rPr>
                <w:rFonts w:eastAsia="Times New Roman" w:cs="Calibri"/>
                <w:color w:val="000000"/>
                <w:lang w:eastAsia="en-GB"/>
              </w:rPr>
            </w:pPr>
            <w:r w:rsidRPr="00D54977">
              <w:rPr>
                <w:rFonts w:eastAsia="Times New Roman" w:cs="Calibri"/>
                <w:color w:val="000000"/>
                <w:lang w:eastAsia="en-GB"/>
              </w:rPr>
              <w:t> </w:t>
            </w:r>
          </w:p>
        </w:tc>
        <w:tc>
          <w:tcPr>
            <w:tcW w:w="1100" w:type="dxa"/>
            <w:tcBorders>
              <w:top w:val="nil"/>
              <w:left w:val="nil"/>
              <w:bottom w:val="nil"/>
              <w:right w:val="single" w:sz="4" w:space="0" w:color="auto"/>
            </w:tcBorders>
            <w:shd w:val="clear" w:color="000000" w:fill="FFDDDD"/>
            <w:noWrap/>
            <w:vAlign w:val="bottom"/>
            <w:hideMark/>
          </w:tcPr>
          <w:p w14:paraId="7BE90DF9" w14:textId="77777777" w:rsidR="00D54977" w:rsidRPr="00D54977" w:rsidRDefault="00D54977" w:rsidP="00D54977">
            <w:pPr>
              <w:spacing w:line="240" w:lineRule="auto"/>
              <w:rPr>
                <w:rFonts w:eastAsia="Times New Roman" w:cs="Calibri"/>
                <w:color w:val="000000"/>
                <w:lang w:eastAsia="en-GB"/>
              </w:rPr>
            </w:pPr>
            <w:r w:rsidRPr="00D54977">
              <w:rPr>
                <w:rFonts w:eastAsia="Times New Roman" w:cs="Calibri"/>
                <w:color w:val="000000"/>
                <w:lang w:eastAsia="en-GB"/>
              </w:rPr>
              <w:t> </w:t>
            </w:r>
          </w:p>
        </w:tc>
        <w:tc>
          <w:tcPr>
            <w:tcW w:w="1100" w:type="dxa"/>
            <w:tcBorders>
              <w:top w:val="nil"/>
              <w:left w:val="nil"/>
              <w:bottom w:val="nil"/>
              <w:right w:val="single" w:sz="4" w:space="0" w:color="auto"/>
            </w:tcBorders>
            <w:shd w:val="clear" w:color="000000" w:fill="FFFFFF"/>
            <w:noWrap/>
            <w:vAlign w:val="bottom"/>
            <w:hideMark/>
          </w:tcPr>
          <w:p w14:paraId="36CA0145" w14:textId="77777777" w:rsidR="00D54977" w:rsidRPr="00D54977" w:rsidRDefault="00D54977" w:rsidP="00D54977">
            <w:pPr>
              <w:spacing w:line="240" w:lineRule="auto"/>
              <w:rPr>
                <w:rFonts w:eastAsia="Times New Roman" w:cs="Calibri"/>
                <w:color w:val="000000"/>
                <w:lang w:eastAsia="en-GB"/>
              </w:rPr>
            </w:pPr>
            <w:r w:rsidRPr="00D54977">
              <w:rPr>
                <w:rFonts w:eastAsia="Times New Roman" w:cs="Calibri"/>
                <w:color w:val="000000"/>
                <w:lang w:eastAsia="en-GB"/>
              </w:rPr>
              <w:t> </w:t>
            </w:r>
          </w:p>
        </w:tc>
        <w:tc>
          <w:tcPr>
            <w:tcW w:w="1100" w:type="dxa"/>
            <w:tcBorders>
              <w:top w:val="nil"/>
              <w:left w:val="nil"/>
              <w:bottom w:val="nil"/>
              <w:right w:val="single" w:sz="4" w:space="0" w:color="auto"/>
            </w:tcBorders>
            <w:shd w:val="clear" w:color="000000" w:fill="FFFFFF"/>
            <w:noWrap/>
            <w:vAlign w:val="bottom"/>
            <w:hideMark/>
          </w:tcPr>
          <w:p w14:paraId="7E9F789F" w14:textId="77777777" w:rsidR="00D54977" w:rsidRPr="00D54977" w:rsidRDefault="00D54977" w:rsidP="00D54977">
            <w:pPr>
              <w:spacing w:line="240" w:lineRule="auto"/>
              <w:rPr>
                <w:rFonts w:eastAsia="Times New Roman" w:cs="Calibri"/>
                <w:color w:val="000000"/>
                <w:lang w:eastAsia="en-GB"/>
              </w:rPr>
            </w:pPr>
            <w:r w:rsidRPr="00D54977">
              <w:rPr>
                <w:rFonts w:eastAsia="Times New Roman" w:cs="Calibri"/>
                <w:color w:val="000000"/>
                <w:lang w:eastAsia="en-GB"/>
              </w:rPr>
              <w:t> </w:t>
            </w:r>
          </w:p>
        </w:tc>
        <w:tc>
          <w:tcPr>
            <w:tcW w:w="1100" w:type="dxa"/>
            <w:tcBorders>
              <w:top w:val="nil"/>
              <w:left w:val="nil"/>
              <w:bottom w:val="nil"/>
              <w:right w:val="single" w:sz="4" w:space="0" w:color="auto"/>
            </w:tcBorders>
            <w:shd w:val="clear" w:color="000000" w:fill="FFFFFF"/>
            <w:noWrap/>
            <w:vAlign w:val="bottom"/>
            <w:hideMark/>
          </w:tcPr>
          <w:p w14:paraId="46E373AE" w14:textId="77777777" w:rsidR="00D54977" w:rsidRPr="00D54977" w:rsidRDefault="00D54977" w:rsidP="00D54977">
            <w:pPr>
              <w:spacing w:line="240" w:lineRule="auto"/>
              <w:rPr>
                <w:rFonts w:eastAsia="Times New Roman" w:cs="Calibri"/>
                <w:color w:val="000000"/>
                <w:lang w:eastAsia="en-GB"/>
              </w:rPr>
            </w:pPr>
            <w:r w:rsidRPr="00D54977">
              <w:rPr>
                <w:rFonts w:eastAsia="Times New Roman" w:cs="Calibri"/>
                <w:color w:val="000000"/>
                <w:lang w:eastAsia="en-GB"/>
              </w:rPr>
              <w:t> </w:t>
            </w:r>
          </w:p>
        </w:tc>
        <w:tc>
          <w:tcPr>
            <w:tcW w:w="1100" w:type="dxa"/>
            <w:tcBorders>
              <w:top w:val="nil"/>
              <w:left w:val="nil"/>
              <w:bottom w:val="nil"/>
              <w:right w:val="single" w:sz="4" w:space="0" w:color="auto"/>
            </w:tcBorders>
            <w:shd w:val="clear" w:color="000000" w:fill="FFFFFF"/>
            <w:noWrap/>
            <w:vAlign w:val="bottom"/>
            <w:hideMark/>
          </w:tcPr>
          <w:p w14:paraId="1ED9C73C" w14:textId="77777777" w:rsidR="00D54977" w:rsidRPr="00D54977" w:rsidRDefault="00D54977" w:rsidP="00D54977">
            <w:pPr>
              <w:spacing w:line="240" w:lineRule="auto"/>
              <w:rPr>
                <w:rFonts w:eastAsia="Times New Roman" w:cs="Calibri"/>
                <w:color w:val="000000"/>
                <w:lang w:eastAsia="en-GB"/>
              </w:rPr>
            </w:pPr>
            <w:r w:rsidRPr="00D54977">
              <w:rPr>
                <w:rFonts w:eastAsia="Times New Roman" w:cs="Calibri"/>
                <w:color w:val="000000"/>
                <w:lang w:eastAsia="en-GB"/>
              </w:rPr>
              <w:t> </w:t>
            </w:r>
          </w:p>
        </w:tc>
      </w:tr>
      <w:tr w:rsidR="00D54977" w:rsidRPr="00D54977" w14:paraId="086E70BB" w14:textId="77777777" w:rsidTr="00D54977">
        <w:trPr>
          <w:trHeight w:val="315"/>
        </w:trPr>
        <w:tc>
          <w:tcPr>
            <w:tcW w:w="1100" w:type="dxa"/>
            <w:tcBorders>
              <w:top w:val="nil"/>
              <w:left w:val="single" w:sz="4" w:space="0" w:color="auto"/>
              <w:bottom w:val="nil"/>
              <w:right w:val="single" w:sz="4" w:space="0" w:color="auto"/>
            </w:tcBorders>
            <w:shd w:val="clear" w:color="000000" w:fill="FFFFFF"/>
            <w:noWrap/>
            <w:vAlign w:val="bottom"/>
            <w:hideMark/>
          </w:tcPr>
          <w:p w14:paraId="25CD6818"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(31.454)</w:t>
            </w:r>
          </w:p>
        </w:tc>
        <w:tc>
          <w:tcPr>
            <w:tcW w:w="1780" w:type="dxa"/>
            <w:tcBorders>
              <w:top w:val="nil"/>
              <w:left w:val="nil"/>
              <w:bottom w:val="nil"/>
              <w:right w:val="single" w:sz="4" w:space="0" w:color="auto"/>
            </w:tcBorders>
            <w:shd w:val="clear" w:color="000000" w:fill="FFFFFF"/>
            <w:noWrap/>
            <w:vAlign w:val="bottom"/>
            <w:hideMark/>
          </w:tcPr>
          <w:p w14:paraId="541F1BC3" w14:textId="77777777" w:rsidR="00D54977" w:rsidRPr="00D54977" w:rsidRDefault="00D54977" w:rsidP="00D54977">
            <w:pPr>
              <w:spacing w:line="240" w:lineRule="auto"/>
              <w:rPr>
                <w:rFonts w:eastAsia="Times New Roman" w:cs="Calibri"/>
                <w:color w:val="000000"/>
                <w:lang w:eastAsia="en-GB"/>
              </w:rPr>
            </w:pPr>
            <w:r w:rsidRPr="00D54977">
              <w:rPr>
                <w:rFonts w:eastAsia="Times New Roman" w:cs="Calibri"/>
                <w:color w:val="000000"/>
                <w:lang w:eastAsia="en-GB"/>
              </w:rPr>
              <w:t>Funding</w:t>
            </w:r>
          </w:p>
        </w:tc>
        <w:tc>
          <w:tcPr>
            <w:tcW w:w="1100" w:type="dxa"/>
            <w:tcBorders>
              <w:top w:val="nil"/>
              <w:left w:val="nil"/>
              <w:bottom w:val="nil"/>
              <w:right w:val="single" w:sz="4" w:space="0" w:color="auto"/>
            </w:tcBorders>
            <w:shd w:val="clear" w:color="000000" w:fill="FFDDDD"/>
            <w:noWrap/>
            <w:vAlign w:val="bottom"/>
            <w:hideMark/>
          </w:tcPr>
          <w:p w14:paraId="4878E6C6"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(33.723)</w:t>
            </w:r>
          </w:p>
        </w:tc>
        <w:tc>
          <w:tcPr>
            <w:tcW w:w="1100" w:type="dxa"/>
            <w:tcBorders>
              <w:top w:val="nil"/>
              <w:left w:val="nil"/>
              <w:bottom w:val="nil"/>
              <w:right w:val="single" w:sz="4" w:space="0" w:color="auto"/>
            </w:tcBorders>
            <w:shd w:val="clear" w:color="000000" w:fill="FFFFFF"/>
            <w:noWrap/>
            <w:vAlign w:val="bottom"/>
            <w:hideMark/>
          </w:tcPr>
          <w:p w14:paraId="613A1916"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(34.710)</w:t>
            </w:r>
          </w:p>
        </w:tc>
        <w:tc>
          <w:tcPr>
            <w:tcW w:w="1100" w:type="dxa"/>
            <w:tcBorders>
              <w:top w:val="nil"/>
              <w:left w:val="nil"/>
              <w:bottom w:val="nil"/>
              <w:right w:val="single" w:sz="4" w:space="0" w:color="auto"/>
            </w:tcBorders>
            <w:shd w:val="clear" w:color="000000" w:fill="FFFFFF"/>
            <w:noWrap/>
            <w:vAlign w:val="bottom"/>
            <w:hideMark/>
          </w:tcPr>
          <w:p w14:paraId="0CE1550F"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(35.834)</w:t>
            </w:r>
          </w:p>
        </w:tc>
        <w:tc>
          <w:tcPr>
            <w:tcW w:w="1100" w:type="dxa"/>
            <w:tcBorders>
              <w:top w:val="nil"/>
              <w:left w:val="nil"/>
              <w:bottom w:val="nil"/>
              <w:right w:val="single" w:sz="4" w:space="0" w:color="auto"/>
            </w:tcBorders>
            <w:shd w:val="clear" w:color="000000" w:fill="FFFFFF"/>
            <w:noWrap/>
            <w:vAlign w:val="bottom"/>
            <w:hideMark/>
          </w:tcPr>
          <w:p w14:paraId="3B88E1CA"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(36.985)</w:t>
            </w:r>
          </w:p>
        </w:tc>
        <w:tc>
          <w:tcPr>
            <w:tcW w:w="1100" w:type="dxa"/>
            <w:tcBorders>
              <w:top w:val="nil"/>
              <w:left w:val="nil"/>
              <w:bottom w:val="nil"/>
              <w:right w:val="single" w:sz="4" w:space="0" w:color="auto"/>
            </w:tcBorders>
            <w:shd w:val="clear" w:color="000000" w:fill="FFFFFF"/>
            <w:noWrap/>
            <w:vAlign w:val="bottom"/>
            <w:hideMark/>
          </w:tcPr>
          <w:p w14:paraId="0D4AC4D9" w14:textId="77777777" w:rsidR="00D54977" w:rsidRPr="00D54977" w:rsidRDefault="00D54977" w:rsidP="00D54977">
            <w:pPr>
              <w:spacing w:line="240" w:lineRule="auto"/>
              <w:jc w:val="right"/>
              <w:rPr>
                <w:rFonts w:eastAsia="Times New Roman" w:cs="Calibri"/>
                <w:color w:val="000000"/>
                <w:lang w:eastAsia="en-GB"/>
              </w:rPr>
            </w:pPr>
            <w:r w:rsidRPr="00D54977">
              <w:rPr>
                <w:rFonts w:eastAsia="Times New Roman" w:cs="Calibri"/>
                <w:color w:val="000000"/>
                <w:lang w:eastAsia="en-GB"/>
              </w:rPr>
              <w:t>(38.163)</w:t>
            </w:r>
          </w:p>
        </w:tc>
      </w:tr>
      <w:tr w:rsidR="00D54977" w:rsidRPr="00D54977" w14:paraId="5BF7FE6F" w14:textId="77777777" w:rsidTr="00D54977">
        <w:trPr>
          <w:trHeight w:val="315"/>
        </w:trPr>
        <w:tc>
          <w:tcPr>
            <w:tcW w:w="1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E77CBE" w14:textId="77777777" w:rsidR="00D54977" w:rsidRPr="00D54977" w:rsidRDefault="00D54977" w:rsidP="00D54977">
            <w:pPr>
              <w:spacing w:line="240" w:lineRule="auto"/>
              <w:jc w:val="right"/>
              <w:rPr>
                <w:rFonts w:eastAsia="Times New Roman" w:cs="Calibri"/>
                <w:b/>
                <w:bCs/>
                <w:color w:val="000000"/>
                <w:lang w:eastAsia="en-GB"/>
              </w:rPr>
            </w:pPr>
            <w:r w:rsidRPr="00D54977">
              <w:rPr>
                <w:rFonts w:eastAsia="Times New Roman" w:cs="Calibri"/>
                <w:b/>
                <w:bCs/>
                <w:color w:val="000000"/>
                <w:lang w:eastAsia="en-GB"/>
              </w:rPr>
              <w:t>-</w:t>
            </w:r>
          </w:p>
        </w:tc>
        <w:tc>
          <w:tcPr>
            <w:tcW w:w="1780" w:type="dxa"/>
            <w:tcBorders>
              <w:top w:val="single" w:sz="4" w:space="0" w:color="auto"/>
              <w:left w:val="nil"/>
              <w:bottom w:val="single" w:sz="4" w:space="0" w:color="auto"/>
              <w:right w:val="single" w:sz="4" w:space="0" w:color="auto"/>
            </w:tcBorders>
            <w:shd w:val="clear" w:color="000000" w:fill="FFFFFF"/>
            <w:noWrap/>
            <w:vAlign w:val="bottom"/>
            <w:hideMark/>
          </w:tcPr>
          <w:p w14:paraId="3EA95173" w14:textId="77777777" w:rsidR="00D54977" w:rsidRPr="00D54977" w:rsidRDefault="00D54977" w:rsidP="00D54977">
            <w:pPr>
              <w:spacing w:line="240" w:lineRule="auto"/>
              <w:rPr>
                <w:rFonts w:eastAsia="Times New Roman" w:cs="Calibri"/>
                <w:b/>
                <w:bCs/>
                <w:color w:val="000000"/>
                <w:lang w:eastAsia="en-GB"/>
              </w:rPr>
            </w:pPr>
            <w:r w:rsidRPr="00D54977">
              <w:rPr>
                <w:rFonts w:eastAsia="Times New Roman" w:cs="Calibri"/>
                <w:b/>
                <w:bCs/>
                <w:color w:val="000000"/>
                <w:lang w:eastAsia="en-GB"/>
              </w:rPr>
              <w:t>Shortfall</w:t>
            </w:r>
          </w:p>
        </w:tc>
        <w:tc>
          <w:tcPr>
            <w:tcW w:w="1100" w:type="dxa"/>
            <w:tcBorders>
              <w:top w:val="single" w:sz="4" w:space="0" w:color="auto"/>
              <w:left w:val="nil"/>
              <w:bottom w:val="single" w:sz="4" w:space="0" w:color="auto"/>
              <w:right w:val="single" w:sz="4" w:space="0" w:color="auto"/>
            </w:tcBorders>
            <w:shd w:val="clear" w:color="000000" w:fill="FFDDDD"/>
            <w:noWrap/>
            <w:vAlign w:val="bottom"/>
            <w:hideMark/>
          </w:tcPr>
          <w:p w14:paraId="00A68D1C" w14:textId="77777777" w:rsidR="00D54977" w:rsidRPr="00D54977" w:rsidRDefault="00D54977" w:rsidP="00D54977">
            <w:pPr>
              <w:spacing w:line="240" w:lineRule="auto"/>
              <w:jc w:val="right"/>
              <w:rPr>
                <w:rFonts w:eastAsia="Times New Roman" w:cs="Calibri"/>
                <w:b/>
                <w:bCs/>
                <w:color w:val="000000"/>
                <w:lang w:eastAsia="en-GB"/>
              </w:rPr>
            </w:pPr>
            <w:r w:rsidRPr="00D54977">
              <w:rPr>
                <w:rFonts w:eastAsia="Times New Roman" w:cs="Calibri"/>
                <w:b/>
                <w:bCs/>
                <w:color w:val="000000"/>
                <w:lang w:eastAsia="en-GB"/>
              </w:rPr>
              <w:t>-</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108026F8" w14:textId="77777777" w:rsidR="00D54977" w:rsidRPr="00D54977" w:rsidRDefault="00D54977" w:rsidP="00D54977">
            <w:pPr>
              <w:spacing w:line="240" w:lineRule="auto"/>
              <w:jc w:val="right"/>
              <w:rPr>
                <w:rFonts w:eastAsia="Times New Roman" w:cs="Calibri"/>
                <w:b/>
                <w:bCs/>
                <w:color w:val="000000"/>
                <w:lang w:eastAsia="en-GB"/>
              </w:rPr>
            </w:pPr>
            <w:r w:rsidRPr="00D54977">
              <w:rPr>
                <w:rFonts w:eastAsia="Times New Roman" w:cs="Calibri"/>
                <w:b/>
                <w:bCs/>
                <w:color w:val="000000"/>
                <w:lang w:eastAsia="en-GB"/>
              </w:rPr>
              <w:t>1.536</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1F63A9A0" w14:textId="77777777" w:rsidR="00D54977" w:rsidRPr="00D54977" w:rsidRDefault="00D54977" w:rsidP="00D54977">
            <w:pPr>
              <w:spacing w:line="240" w:lineRule="auto"/>
              <w:jc w:val="right"/>
              <w:rPr>
                <w:rFonts w:eastAsia="Times New Roman" w:cs="Calibri"/>
                <w:b/>
                <w:bCs/>
                <w:color w:val="000000"/>
                <w:lang w:eastAsia="en-GB"/>
              </w:rPr>
            </w:pPr>
            <w:r w:rsidRPr="00D54977">
              <w:rPr>
                <w:rFonts w:eastAsia="Times New Roman" w:cs="Calibri"/>
                <w:b/>
                <w:bCs/>
                <w:color w:val="000000"/>
                <w:lang w:eastAsia="en-GB"/>
              </w:rPr>
              <w:t>2.229</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4D6F2093" w14:textId="77777777" w:rsidR="00D54977" w:rsidRPr="00D54977" w:rsidRDefault="00D54977" w:rsidP="00D54977">
            <w:pPr>
              <w:spacing w:line="240" w:lineRule="auto"/>
              <w:jc w:val="right"/>
              <w:rPr>
                <w:rFonts w:eastAsia="Times New Roman" w:cs="Calibri"/>
                <w:b/>
                <w:bCs/>
                <w:color w:val="000000"/>
                <w:lang w:eastAsia="en-GB"/>
              </w:rPr>
            </w:pPr>
            <w:r w:rsidRPr="00D54977">
              <w:rPr>
                <w:rFonts w:eastAsia="Times New Roman" w:cs="Calibri"/>
                <w:b/>
                <w:bCs/>
                <w:color w:val="000000"/>
                <w:lang w:eastAsia="en-GB"/>
              </w:rPr>
              <w:t>2.303</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3B418780" w14:textId="77777777" w:rsidR="00D54977" w:rsidRPr="00D54977" w:rsidRDefault="00D54977" w:rsidP="00D54977">
            <w:pPr>
              <w:spacing w:line="240" w:lineRule="auto"/>
              <w:jc w:val="right"/>
              <w:rPr>
                <w:rFonts w:eastAsia="Times New Roman" w:cs="Calibri"/>
                <w:b/>
                <w:bCs/>
                <w:color w:val="000000"/>
                <w:lang w:eastAsia="en-GB"/>
              </w:rPr>
            </w:pPr>
            <w:r w:rsidRPr="00D54977">
              <w:rPr>
                <w:rFonts w:eastAsia="Times New Roman" w:cs="Calibri"/>
                <w:b/>
                <w:bCs/>
                <w:color w:val="000000"/>
                <w:lang w:eastAsia="en-GB"/>
              </w:rPr>
              <w:t>1.436</w:t>
            </w:r>
          </w:p>
        </w:tc>
      </w:tr>
    </w:tbl>
    <w:p w14:paraId="0B711A6D" w14:textId="77777777" w:rsidR="000566DF" w:rsidRDefault="000566DF" w:rsidP="000566DF"/>
    <w:p w14:paraId="5D5F876A" w14:textId="33422423" w:rsidR="00505A6D" w:rsidRPr="006C5895" w:rsidRDefault="00505A6D" w:rsidP="00BD46B3">
      <w:pPr>
        <w:pStyle w:val="PanelPara"/>
      </w:pPr>
      <w:r w:rsidRPr="00BD46B3">
        <w:t xml:space="preserve">The impact of high inflation </w:t>
      </w:r>
      <w:r w:rsidR="000F12A8" w:rsidRPr="00BD46B3">
        <w:t>continues</w:t>
      </w:r>
      <w:r w:rsidRPr="00BD46B3">
        <w:t xml:space="preserve"> to be built in with prudent forecasts and no guarantee of future funding to meet these increases.</w:t>
      </w:r>
    </w:p>
    <w:p w14:paraId="6B4C696F" w14:textId="5247B408" w:rsidR="00DC339C" w:rsidRPr="004B1AD4" w:rsidRDefault="00DC339C" w:rsidP="00BD46B3">
      <w:pPr>
        <w:pStyle w:val="PanelPara"/>
      </w:pPr>
      <w:r>
        <w:t>T</w:t>
      </w:r>
      <w:r w:rsidRPr="004B1AD4">
        <w:t>he MTFP include</w:t>
      </w:r>
      <w:r>
        <w:t>s</w:t>
      </w:r>
      <w:r w:rsidRPr="004B1AD4">
        <w:t xml:space="preserve"> </w:t>
      </w:r>
      <w:r>
        <w:t>a target for</w:t>
      </w:r>
      <w:r w:rsidRPr="004B1AD4">
        <w:t xml:space="preserve"> cashable efficiency savings each year, </w:t>
      </w:r>
      <w:r>
        <w:t xml:space="preserve">but </w:t>
      </w:r>
      <w:r w:rsidRPr="004B1AD4">
        <w:t xml:space="preserve">these will not be sufficient to meet the shortfalls identified.  Efficiencies will continue to be sought from sharing buildings, robust and shared procurement practices and sharing of resources/assets where it makes sense to do so.  The Chief </w:t>
      </w:r>
      <w:r>
        <w:t>Fire Officer</w:t>
      </w:r>
      <w:r w:rsidRPr="004B1AD4">
        <w:t xml:space="preserve"> has already started work to look at a comprehensive savings plan. </w:t>
      </w:r>
    </w:p>
    <w:p w14:paraId="4378B305" w14:textId="77777777" w:rsidR="00DC339C" w:rsidRDefault="00505A6D" w:rsidP="00BD46B3">
      <w:pPr>
        <w:pStyle w:val="PanelPara"/>
      </w:pPr>
      <w:r w:rsidRPr="00DC339C">
        <w:t>Despite future shortfalls forecast in the MTFP, in the unlikely event that further efficiencies could not be found, the budget can be balanced in the short term by the use of reserves.  However, the use of reserves is not a permanent solution, and the PFCC and Chief Fire Officer will continue to seek efficiencies to ensure the budgets are balanced.</w:t>
      </w:r>
    </w:p>
    <w:p w14:paraId="5A73CE37" w14:textId="77777777" w:rsidR="00DC339C" w:rsidRDefault="00DC339C" w:rsidP="00BD46B3">
      <w:pPr>
        <w:pStyle w:val="PanelPara"/>
      </w:pPr>
      <w:r w:rsidRPr="00DC339C">
        <w:t>The key assumptions used to estimate the financial challenge for the medium term are:</w:t>
      </w:r>
    </w:p>
    <w:p w14:paraId="02A0E353" w14:textId="307382F5" w:rsidR="00505A6D" w:rsidRPr="00DC339C" w:rsidRDefault="00505A6D" w:rsidP="00BD46B3">
      <w:pPr>
        <w:pStyle w:val="PanelPara2"/>
      </w:pPr>
      <w:r w:rsidRPr="00DC339C">
        <w:t xml:space="preserve">Precept will increase by £5 in 2025/26 and </w:t>
      </w:r>
      <w:r w:rsidR="00DC339C" w:rsidRPr="00DC339C">
        <w:t>£2.50</w:t>
      </w:r>
      <w:r w:rsidRPr="00DC339C">
        <w:t xml:space="preserve"> each year thereafter.  No information is yet available about referendum limits beyond 2025/26.</w:t>
      </w:r>
    </w:p>
    <w:p w14:paraId="713D912F" w14:textId="1D0B4827" w:rsidR="00505A6D" w:rsidRPr="006C5895" w:rsidRDefault="00505A6D" w:rsidP="00BD46B3">
      <w:pPr>
        <w:pStyle w:val="PanelPara2"/>
      </w:pPr>
      <w:r w:rsidRPr="006C5895">
        <w:t>Prudent funding assumptions have been made in respect of government funding, business rates, taxbase levels and council tax collection rates.</w:t>
      </w:r>
      <w:r w:rsidR="00DC339C">
        <w:t xml:space="preserve">  </w:t>
      </w:r>
      <w:r w:rsidR="00DC339C" w:rsidRPr="00AA1B14">
        <w:t>More information on funding in future years has been promised by the government in the coming months, and colleagues will continue to liaise with the local authorities to align assumptions for council taxbase/collection.</w:t>
      </w:r>
    </w:p>
    <w:p w14:paraId="7B5B7BFE" w14:textId="30B11CED" w:rsidR="00B2577A" w:rsidRPr="00510EC4" w:rsidRDefault="00B2577A" w:rsidP="00BD46B3">
      <w:pPr>
        <w:pStyle w:val="PanelPara2"/>
      </w:pPr>
      <w:r w:rsidRPr="00510EC4">
        <w:t>In line with previous assumptions, pay increase estimates are assumed at an average of 2% per year</w:t>
      </w:r>
      <w:r w:rsidR="00A257B8">
        <w:t xml:space="preserve"> for next 3 years</w:t>
      </w:r>
      <w:r w:rsidRPr="00510EC4">
        <w:t>.  There has not yet been any indication of government funding to support any increases above this level.</w:t>
      </w:r>
    </w:p>
    <w:p w14:paraId="3E3A05CB" w14:textId="77777777" w:rsidR="0078704A" w:rsidRPr="00AA5E18" w:rsidRDefault="0078704A" w:rsidP="00BD46B3">
      <w:pPr>
        <w:pStyle w:val="PanelPara2"/>
      </w:pPr>
      <w:r w:rsidRPr="00AA5E18">
        <w:t>Investment requirements can be prioritised and met from within the revenue budget or capital programme.  Where appropriate, the PFCC will use reserves to pump prime investment initiatives.  Any multi-year investments will be subject to review each year and may require additional savings to embed in the base budget longer term.</w:t>
      </w:r>
    </w:p>
    <w:p w14:paraId="0FC7E75E" w14:textId="77777777" w:rsidR="00505A6D" w:rsidRPr="00213BB1" w:rsidRDefault="00505A6D" w:rsidP="00BD46B3">
      <w:pPr>
        <w:pStyle w:val="PanelPara2"/>
      </w:pPr>
      <w:r w:rsidRPr="00213BB1">
        <w:t>Further borrowing beyond the capital programme is not required.</w:t>
      </w:r>
    </w:p>
    <w:p w14:paraId="3E3D36DC" w14:textId="77777777" w:rsidR="00DC339C" w:rsidRPr="006C5895" w:rsidRDefault="00DC339C" w:rsidP="00BD46B3">
      <w:pPr>
        <w:pStyle w:val="PanelPara2"/>
      </w:pPr>
      <w:bookmarkStart w:id="17" w:name="OLE_LINK1"/>
      <w:r w:rsidRPr="006C5895">
        <w:lastRenderedPageBreak/>
        <w:t>It is assumed that no additional unfunded priorities or responsibilities will be given to the PFCC and Chief Fire Officer to deliver.</w:t>
      </w:r>
    </w:p>
    <w:bookmarkEnd w:id="17"/>
    <w:p w14:paraId="7D38EA51" w14:textId="77777777" w:rsidR="00505A6D" w:rsidRDefault="00505A6D" w:rsidP="000C2930">
      <w:pPr>
        <w:spacing w:line="240" w:lineRule="auto"/>
        <w:ind w:left="567" w:hanging="567"/>
        <w:jc w:val="both"/>
        <w:rPr>
          <w:rFonts w:asciiTheme="minorHAnsi" w:hAnsiTheme="minorHAnsi" w:cstheme="minorHAnsi"/>
          <w:b/>
          <w:sz w:val="24"/>
          <w:szCs w:val="24"/>
        </w:rPr>
      </w:pPr>
    </w:p>
    <w:p w14:paraId="1A8A1186" w14:textId="0191FE72" w:rsidR="0084375B" w:rsidRPr="00AB1630" w:rsidRDefault="0078704A" w:rsidP="000C2930">
      <w:pPr>
        <w:spacing w:line="240" w:lineRule="auto"/>
        <w:ind w:left="567" w:hanging="567"/>
        <w:jc w:val="both"/>
        <w:rPr>
          <w:rFonts w:asciiTheme="minorHAnsi" w:hAnsiTheme="minorHAnsi" w:cstheme="minorHAnsi"/>
          <w:b/>
          <w:sz w:val="24"/>
          <w:szCs w:val="24"/>
        </w:rPr>
      </w:pPr>
      <w:r w:rsidRPr="00AB1630">
        <w:rPr>
          <w:rFonts w:asciiTheme="minorHAnsi" w:hAnsiTheme="minorHAnsi" w:cstheme="minorHAnsi"/>
          <w:b/>
          <w:sz w:val="24"/>
          <w:szCs w:val="24"/>
        </w:rPr>
        <w:t xml:space="preserve">THE FINANCIAL CHALLENGE – FUTURE RISKS, CHALLENGES AND UNCERTAINTIES </w:t>
      </w:r>
    </w:p>
    <w:p w14:paraId="3DCF00B2" w14:textId="77777777" w:rsidR="00C270EC" w:rsidRPr="00AB1630" w:rsidRDefault="00C270EC" w:rsidP="000C2930">
      <w:pPr>
        <w:spacing w:line="240" w:lineRule="auto"/>
        <w:ind w:left="851" w:hanging="851"/>
        <w:jc w:val="both"/>
        <w:rPr>
          <w:rFonts w:asciiTheme="minorHAnsi" w:hAnsiTheme="minorHAnsi" w:cstheme="minorHAnsi"/>
          <w:sz w:val="24"/>
          <w:szCs w:val="24"/>
        </w:rPr>
      </w:pPr>
    </w:p>
    <w:p w14:paraId="2F854472" w14:textId="138718AD" w:rsidR="001638AD" w:rsidRPr="00AB1630" w:rsidRDefault="001638AD" w:rsidP="00BD46B3">
      <w:pPr>
        <w:pStyle w:val="PanelPara"/>
      </w:pPr>
      <w:r w:rsidRPr="00AB1630">
        <w:t xml:space="preserve">The impact of a different </w:t>
      </w:r>
      <w:r w:rsidR="00FD0772" w:rsidRPr="00AB1630">
        <w:t xml:space="preserve">inflation </w:t>
      </w:r>
      <w:r w:rsidRPr="00AB1630">
        <w:t>assumptio</w:t>
      </w:r>
      <w:r w:rsidR="00FD0772" w:rsidRPr="00AB1630">
        <w:t>ns to that estimated in the MTFP</w:t>
      </w:r>
      <w:r w:rsidRPr="00AB1630">
        <w:t xml:space="preserve"> are as follows: </w:t>
      </w:r>
    </w:p>
    <w:p w14:paraId="04B89FEC" w14:textId="16C4FE6C" w:rsidR="00AD7BCC" w:rsidRPr="0078704A" w:rsidRDefault="00AD7BCC" w:rsidP="00BD46B3">
      <w:pPr>
        <w:pStyle w:val="PanelPara2"/>
      </w:pPr>
      <w:r w:rsidRPr="0078704A">
        <w:t>Every 1% reduction in grant equates to circa £0.1</w:t>
      </w:r>
      <w:r w:rsidR="0078704A" w:rsidRPr="0078704A">
        <w:t>2</w:t>
      </w:r>
      <w:r w:rsidRPr="0078704A">
        <w:t>m per annum</w:t>
      </w:r>
    </w:p>
    <w:p w14:paraId="269F849C" w14:textId="1E61329A" w:rsidR="001638AD" w:rsidRPr="0078704A" w:rsidRDefault="001638AD" w:rsidP="00BD46B3">
      <w:pPr>
        <w:pStyle w:val="PanelPara2"/>
      </w:pPr>
      <w:r w:rsidRPr="0078704A">
        <w:t xml:space="preserve">Every 1% in </w:t>
      </w:r>
      <w:r w:rsidR="006E0068" w:rsidRPr="0078704A">
        <w:t>Council Tax</w:t>
      </w:r>
      <w:r w:rsidRPr="0078704A">
        <w:t xml:space="preserve"> equates to circa £</w:t>
      </w:r>
      <w:r w:rsidR="00AD7BCC" w:rsidRPr="0078704A">
        <w:t>0</w:t>
      </w:r>
      <w:r w:rsidR="0078704A" w:rsidRPr="0078704A">
        <w:t>.21</w:t>
      </w:r>
      <w:r w:rsidR="00AD7BCC" w:rsidRPr="0078704A">
        <w:t>m</w:t>
      </w:r>
      <w:r w:rsidR="00CD7C13" w:rsidRPr="0078704A">
        <w:t xml:space="preserve"> per annum</w:t>
      </w:r>
    </w:p>
    <w:p w14:paraId="50AF1B2E" w14:textId="11DF0EB9" w:rsidR="00D40F27" w:rsidRPr="00A77833" w:rsidRDefault="00D40F27" w:rsidP="00BD46B3">
      <w:pPr>
        <w:pStyle w:val="PanelPara2"/>
      </w:pPr>
      <w:r w:rsidRPr="00A77833">
        <w:t>Every £1 in Council Tax equates to £</w:t>
      </w:r>
      <w:r w:rsidR="00AD7BCC" w:rsidRPr="00A77833">
        <w:t>0.</w:t>
      </w:r>
      <w:r w:rsidRPr="00A77833">
        <w:t>2</w:t>
      </w:r>
      <w:r w:rsidR="0078704A" w:rsidRPr="00A77833">
        <w:t>6</w:t>
      </w:r>
      <w:r w:rsidR="00AD7BCC" w:rsidRPr="00A77833">
        <w:t>m</w:t>
      </w:r>
      <w:r w:rsidRPr="00A77833">
        <w:t xml:space="preserve"> per annum</w:t>
      </w:r>
    </w:p>
    <w:p w14:paraId="68B28AA0" w14:textId="71B6D1FD" w:rsidR="001638AD" w:rsidRPr="00A77833" w:rsidRDefault="001638AD" w:rsidP="00BD46B3">
      <w:pPr>
        <w:pStyle w:val="PanelPara2"/>
      </w:pPr>
      <w:r w:rsidRPr="00A77833">
        <w:t>Every 1% in Pay equates to circa £</w:t>
      </w:r>
      <w:r w:rsidR="00AD7BCC" w:rsidRPr="00A77833">
        <w:t>0.</w:t>
      </w:r>
      <w:r w:rsidR="00A77833" w:rsidRPr="00A77833">
        <w:t>25</w:t>
      </w:r>
      <w:r w:rsidR="00AD7BCC" w:rsidRPr="00A77833">
        <w:t>m</w:t>
      </w:r>
      <w:r w:rsidRPr="00A77833">
        <w:t xml:space="preserve"> in a full year</w:t>
      </w:r>
    </w:p>
    <w:p w14:paraId="247D10F1" w14:textId="0DA2CD27" w:rsidR="001638AD" w:rsidRPr="00A77833" w:rsidRDefault="001638AD" w:rsidP="00BD46B3">
      <w:pPr>
        <w:pStyle w:val="PanelPara2"/>
      </w:pPr>
      <w:r w:rsidRPr="00A77833">
        <w:t>Every 1% non</w:t>
      </w:r>
      <w:r w:rsidR="00377422" w:rsidRPr="00A77833">
        <w:t>-</w:t>
      </w:r>
      <w:r w:rsidR="00FD0772" w:rsidRPr="00A77833">
        <w:t>pay inflation equates to £</w:t>
      </w:r>
      <w:r w:rsidR="00AD7BCC" w:rsidRPr="00A77833">
        <w:t>0.1</w:t>
      </w:r>
      <w:r w:rsidR="00A77833" w:rsidRPr="00A77833">
        <w:t>0</w:t>
      </w:r>
      <w:r w:rsidR="00AD7BCC" w:rsidRPr="00A77833">
        <w:t>m</w:t>
      </w:r>
      <w:r w:rsidR="00CD7C13" w:rsidRPr="00A77833">
        <w:t xml:space="preserve"> per annum</w:t>
      </w:r>
    </w:p>
    <w:p w14:paraId="1EACCA7F" w14:textId="39A4F68F" w:rsidR="00657220" w:rsidRPr="00AB1630" w:rsidRDefault="00AD7BCC" w:rsidP="00BD46B3">
      <w:pPr>
        <w:pStyle w:val="PanelPara"/>
      </w:pPr>
      <w:r w:rsidRPr="00AB1630">
        <w:t>Prudent forecasts have been included where information which has not yet been finalised.  Any variations between the provisional and final settlement, council tax or the collection fund will be balanced with reserves.</w:t>
      </w:r>
    </w:p>
    <w:p w14:paraId="05FB54B5" w14:textId="03030155" w:rsidR="00A77833" w:rsidRPr="003701F3" w:rsidRDefault="00A77833" w:rsidP="00BD46B3">
      <w:pPr>
        <w:pStyle w:val="PanelPara"/>
      </w:pPr>
      <w:r w:rsidRPr="003701F3">
        <w:t>There are some further financial and operational risks</w:t>
      </w:r>
      <w:r w:rsidR="009C2820">
        <w:t xml:space="preserve">, </w:t>
      </w:r>
      <w:r w:rsidRPr="003701F3">
        <w:t xml:space="preserve">challenges </w:t>
      </w:r>
      <w:r w:rsidR="009C2820">
        <w:t>and mitigations</w:t>
      </w:r>
      <w:r w:rsidRPr="003701F3">
        <w:t xml:space="preserve"> as follows:  </w:t>
      </w:r>
    </w:p>
    <w:p w14:paraId="0695B035" w14:textId="3CCFE8FC" w:rsidR="00802B30" w:rsidRPr="00A77833" w:rsidRDefault="00713B11" w:rsidP="00BD46B3">
      <w:pPr>
        <w:pStyle w:val="PanelPara2"/>
      </w:pPr>
      <w:r w:rsidRPr="00A77833">
        <w:t>Inflation uncertainty</w:t>
      </w:r>
      <w:r w:rsidR="00802B30" w:rsidRPr="00A77833">
        <w:t xml:space="preserve"> including pay awards.</w:t>
      </w:r>
      <w:bookmarkStart w:id="18" w:name="_Hlk125051835"/>
      <w:r w:rsidR="00802B30" w:rsidRPr="00A77833">
        <w:t xml:space="preserve">  </w:t>
      </w:r>
      <w:r w:rsidRPr="00A77833">
        <w:t>M</w:t>
      </w:r>
      <w:r w:rsidR="005E59A5" w:rsidRPr="00A77833">
        <w:t>indful of th</w:t>
      </w:r>
      <w:r w:rsidR="004777A1" w:rsidRPr="00A77833">
        <w:t xml:space="preserve">is, </w:t>
      </w:r>
      <w:r w:rsidR="005E59A5" w:rsidRPr="00A77833">
        <w:t xml:space="preserve">the </w:t>
      </w:r>
      <w:r w:rsidR="00A77833" w:rsidRPr="00A77833">
        <w:t>budget includes</w:t>
      </w:r>
      <w:r w:rsidR="005E59A5" w:rsidRPr="00A77833">
        <w:t xml:space="preserve"> a</w:t>
      </w:r>
      <w:r w:rsidR="006E5916" w:rsidRPr="00A77833">
        <w:t>n</w:t>
      </w:r>
      <w:r w:rsidRPr="00A77833">
        <w:t xml:space="preserve"> </w:t>
      </w:r>
      <w:r w:rsidR="005E59A5" w:rsidRPr="00A77833">
        <w:t>inflation contingency for the Chief Fire Officer and</w:t>
      </w:r>
      <w:r w:rsidRPr="00A77833">
        <w:t xml:space="preserve"> </w:t>
      </w:r>
      <w:r w:rsidR="00A77833" w:rsidRPr="00A77833">
        <w:t xml:space="preserve">the PFCC </w:t>
      </w:r>
      <w:r w:rsidR="005E59A5" w:rsidRPr="00A77833">
        <w:t xml:space="preserve">holds a further </w:t>
      </w:r>
      <w:r w:rsidR="00205AAD" w:rsidRPr="00A77833">
        <w:t>£</w:t>
      </w:r>
      <w:r w:rsidR="00FE20FA">
        <w:t>0.</w:t>
      </w:r>
      <w:r w:rsidR="00205AAD" w:rsidRPr="00A77833">
        <w:t>12</w:t>
      </w:r>
      <w:r w:rsidR="00FE20FA">
        <w:t>m</w:t>
      </w:r>
      <w:r w:rsidR="00205AAD" w:rsidRPr="00A77833">
        <w:t xml:space="preserve"> </w:t>
      </w:r>
      <w:r w:rsidR="005E59A5" w:rsidRPr="00A77833">
        <w:t xml:space="preserve">to meet other </w:t>
      </w:r>
      <w:r w:rsidR="00205AAD" w:rsidRPr="00A77833">
        <w:t>inflationary pressures</w:t>
      </w:r>
      <w:r w:rsidR="005E59A5" w:rsidRPr="00A77833">
        <w:t>.</w:t>
      </w:r>
      <w:bookmarkEnd w:id="18"/>
    </w:p>
    <w:p w14:paraId="53359013" w14:textId="77777777" w:rsidR="00A77833" w:rsidRPr="00FE46A6" w:rsidRDefault="00A77833" w:rsidP="00BD46B3">
      <w:pPr>
        <w:pStyle w:val="PanelPara2"/>
      </w:pPr>
      <w:r w:rsidRPr="00FE46A6">
        <w:t>Strategies for</w:t>
      </w:r>
      <w:r>
        <w:t xml:space="preserve"> </w:t>
      </w:r>
      <w:r w:rsidRPr="00FE46A6">
        <w:t>estates, fleet, digital and operational equipment are in place which inform the capital programme and revenue budgets.  The Estates Strategy has been reviewed and updated throughout the MTFP and built into longer term financial forecasts.</w:t>
      </w:r>
    </w:p>
    <w:p w14:paraId="6F2B6D15" w14:textId="29B6B906" w:rsidR="00802B30" w:rsidRPr="00664418" w:rsidRDefault="00141870" w:rsidP="00BD46B3">
      <w:pPr>
        <w:pStyle w:val="PanelPara2"/>
      </w:pPr>
      <w:r w:rsidRPr="00664418">
        <w:t>Condition surveys for the Fire estate inform the production of maintenance and repair programmes for all Fire sites.</w:t>
      </w:r>
    </w:p>
    <w:p w14:paraId="683A00CB" w14:textId="1FD3B963" w:rsidR="0011485D" w:rsidRPr="009C2820" w:rsidRDefault="00A77833" w:rsidP="00BD46B3">
      <w:pPr>
        <w:pStyle w:val="PanelPara2"/>
      </w:pPr>
      <w:r w:rsidRPr="009C2820">
        <w:t xml:space="preserve">The Chief Fire Officer is leading on the </w:t>
      </w:r>
      <w:r w:rsidRPr="009C2820">
        <w:rPr>
          <w:i/>
          <w:iCs/>
        </w:rPr>
        <w:t>Your Future Service</w:t>
      </w:r>
      <w:r w:rsidRPr="009C2820">
        <w:t xml:space="preserve"> programme that seeks to use findings of the Emergency Cover Review to make improvements for the public </w:t>
      </w:r>
      <w:r w:rsidR="009C2820" w:rsidRPr="009C2820">
        <w:t xml:space="preserve">with a service that is </w:t>
      </w:r>
      <w:r w:rsidR="009C2820">
        <w:t xml:space="preserve">as </w:t>
      </w:r>
      <w:r w:rsidR="009C2820" w:rsidRPr="009C2820">
        <w:t>efficient and effective as possible.  Funds are available to drive this significant piece of work forward.</w:t>
      </w:r>
    </w:p>
    <w:p w14:paraId="3D74D08D" w14:textId="5A66ABFE" w:rsidR="003D0134" w:rsidRPr="00A77833" w:rsidRDefault="00664418" w:rsidP="00BD46B3">
      <w:pPr>
        <w:pStyle w:val="PanelPara2"/>
      </w:pPr>
      <w:r w:rsidRPr="00A77833">
        <w:t>J</w:t>
      </w:r>
      <w:r w:rsidR="003D0134" w:rsidRPr="00A77833">
        <w:t xml:space="preserve">oint </w:t>
      </w:r>
      <w:r w:rsidR="0011485D" w:rsidRPr="00A77833">
        <w:t>s</w:t>
      </w:r>
      <w:r w:rsidR="003D0134" w:rsidRPr="00A77833">
        <w:t xml:space="preserve">upport services with Police managed by a Joint Assistant Chief </w:t>
      </w:r>
      <w:r w:rsidR="0011485D" w:rsidRPr="00A77833">
        <w:t>O</w:t>
      </w:r>
      <w:r w:rsidR="003D0134" w:rsidRPr="00A77833">
        <w:t xml:space="preserve">fficer </w:t>
      </w:r>
      <w:r w:rsidRPr="00A77833">
        <w:t xml:space="preserve">are </w:t>
      </w:r>
      <w:r w:rsidR="003F70D0" w:rsidRPr="00A77833">
        <w:t>embedded within the service</w:t>
      </w:r>
      <w:r w:rsidR="004777A1" w:rsidRPr="00A77833">
        <w:t xml:space="preserve"> </w:t>
      </w:r>
      <w:r w:rsidR="003D0134" w:rsidRPr="00A77833">
        <w:t>to ensure that the Authority has the right range and resilience of skills and expertise to build capacity and support transformative as well as business</w:t>
      </w:r>
      <w:r w:rsidR="00A77833">
        <w:t>-</w:t>
      </w:r>
      <w:r w:rsidR="003D0134" w:rsidRPr="00A77833">
        <w:t>as</w:t>
      </w:r>
      <w:r w:rsidR="00A77833">
        <w:t>-</w:t>
      </w:r>
      <w:r w:rsidR="003D0134" w:rsidRPr="00A77833">
        <w:t xml:space="preserve">usual activities. </w:t>
      </w:r>
    </w:p>
    <w:p w14:paraId="2181D082" w14:textId="472FBA1B" w:rsidR="00872960" w:rsidRPr="009C2820" w:rsidRDefault="001D11DE" w:rsidP="00BD46B3">
      <w:pPr>
        <w:pStyle w:val="PanelPara2"/>
      </w:pPr>
      <w:r w:rsidRPr="009C2820">
        <w:t xml:space="preserve">Any </w:t>
      </w:r>
      <w:r w:rsidR="001638AD" w:rsidRPr="009C2820">
        <w:t>potential for industrial action requires contingency arrangements have previously been managed within year</w:t>
      </w:r>
      <w:r w:rsidR="003D0134" w:rsidRPr="009C2820">
        <w:t xml:space="preserve"> or from </w:t>
      </w:r>
      <w:r w:rsidR="0081263C" w:rsidRPr="009C2820">
        <w:t>reserve</w:t>
      </w:r>
      <w:r w:rsidR="003D0134" w:rsidRPr="009C2820">
        <w:t xml:space="preserve">s. </w:t>
      </w:r>
      <w:r w:rsidR="0011485D" w:rsidRPr="009C2820">
        <w:t xml:space="preserve"> </w:t>
      </w:r>
      <w:r w:rsidR="003D0134" w:rsidRPr="009C2820">
        <w:t xml:space="preserve">That position remains and any </w:t>
      </w:r>
      <w:r w:rsidR="00CD7C13" w:rsidRPr="009C2820">
        <w:t xml:space="preserve">alternative options </w:t>
      </w:r>
      <w:r w:rsidR="0011485D" w:rsidRPr="009C2820">
        <w:t>will be</w:t>
      </w:r>
      <w:r w:rsidR="001638AD" w:rsidRPr="009C2820">
        <w:t xml:space="preserve"> costed</w:t>
      </w:r>
      <w:r w:rsidR="00366013" w:rsidRPr="009C2820">
        <w:t>,</w:t>
      </w:r>
      <w:r w:rsidR="003F70D0" w:rsidRPr="009C2820">
        <w:t xml:space="preserve"> and </w:t>
      </w:r>
      <w:r w:rsidR="001638AD" w:rsidRPr="009C2820">
        <w:t>funding set aside</w:t>
      </w:r>
      <w:r w:rsidR="003F70D0" w:rsidRPr="009C2820">
        <w:t xml:space="preserve"> from within the </w:t>
      </w:r>
      <w:r w:rsidR="0081263C" w:rsidRPr="009C2820">
        <w:t xml:space="preserve">General </w:t>
      </w:r>
      <w:r w:rsidR="0011485D" w:rsidRPr="009C2820">
        <w:t>R</w:t>
      </w:r>
      <w:r w:rsidR="0081263C" w:rsidRPr="009C2820">
        <w:t>eserve</w:t>
      </w:r>
      <w:r w:rsidR="003F70D0" w:rsidRPr="009C2820">
        <w:t xml:space="preserve">. </w:t>
      </w:r>
    </w:p>
    <w:p w14:paraId="1CC48562" w14:textId="77777777" w:rsidR="001E10E3" w:rsidRDefault="001E10E3" w:rsidP="001E10E3">
      <w:pPr>
        <w:pStyle w:val="NoSpacing"/>
        <w:rPr>
          <w:highlight w:val="yellow"/>
        </w:rPr>
      </w:pPr>
    </w:p>
    <w:p w14:paraId="45A7C98B" w14:textId="77777777" w:rsidR="00DE5ADB" w:rsidRDefault="00DE5ADB" w:rsidP="001E10E3">
      <w:pPr>
        <w:pStyle w:val="NoSpacing"/>
        <w:rPr>
          <w:highlight w:val="yellow"/>
        </w:rPr>
      </w:pPr>
    </w:p>
    <w:p w14:paraId="7E34916F" w14:textId="77777777" w:rsidR="00DE5ADB" w:rsidRPr="00450555" w:rsidRDefault="00DE5ADB" w:rsidP="001E10E3">
      <w:pPr>
        <w:pStyle w:val="NoSpacing"/>
        <w:rPr>
          <w:highlight w:val="yellow"/>
        </w:rPr>
      </w:pPr>
    </w:p>
    <w:p w14:paraId="33BECF03" w14:textId="5A36B479" w:rsidR="00657220" w:rsidRPr="009C2820" w:rsidRDefault="009C2820" w:rsidP="004E1816">
      <w:pPr>
        <w:pStyle w:val="PanelHeading"/>
      </w:pPr>
      <w:r w:rsidRPr="009C2820">
        <w:lastRenderedPageBreak/>
        <w:t>CAPITAL PROGRAMME</w:t>
      </w:r>
      <w:bookmarkStart w:id="19" w:name="_Hlk62222128"/>
    </w:p>
    <w:p w14:paraId="13D077E9" w14:textId="77777777" w:rsidR="009C2820" w:rsidRPr="00B5503F" w:rsidRDefault="009C2820" w:rsidP="00BD46B3">
      <w:pPr>
        <w:pStyle w:val="PanelPara"/>
      </w:pPr>
      <w:r w:rsidRPr="00B5503F">
        <w:t>A Capital Programme has been approved as part of the budget setting process, which identifies the requirements across fleet, estates, ICT and operational equipment.</w:t>
      </w:r>
    </w:p>
    <w:p w14:paraId="63886A7C" w14:textId="5892CE51" w:rsidR="001E10E3" w:rsidRPr="00BD46B3" w:rsidRDefault="007C1FE2" w:rsidP="00BD46B3">
      <w:pPr>
        <w:pStyle w:val="PanelPara"/>
      </w:pPr>
      <w:r w:rsidRPr="00BD46B3">
        <w:t xml:space="preserve">The approved </w:t>
      </w:r>
      <w:r w:rsidR="00F671CE" w:rsidRPr="00BD46B3">
        <w:t>capital programme</w:t>
      </w:r>
      <w:r w:rsidRPr="00BD46B3">
        <w:t xml:space="preserve"> is as follows:</w:t>
      </w:r>
      <w:bookmarkEnd w:id="19"/>
    </w:p>
    <w:tbl>
      <w:tblPr>
        <w:tblW w:w="8940" w:type="dxa"/>
        <w:tblInd w:w="562" w:type="dxa"/>
        <w:tblLook w:val="04A0" w:firstRow="1" w:lastRow="0" w:firstColumn="1" w:lastColumn="0" w:noHBand="0" w:noVBand="1"/>
      </w:tblPr>
      <w:tblGrid>
        <w:gridCol w:w="3640"/>
        <w:gridCol w:w="1060"/>
        <w:gridCol w:w="1060"/>
        <w:gridCol w:w="1060"/>
        <w:gridCol w:w="1060"/>
        <w:gridCol w:w="1060"/>
      </w:tblGrid>
      <w:tr w:rsidR="009C2820" w:rsidRPr="009C2820" w14:paraId="0FEC3EE6" w14:textId="77777777" w:rsidTr="009C2820">
        <w:trPr>
          <w:trHeight w:val="630"/>
        </w:trPr>
        <w:tc>
          <w:tcPr>
            <w:tcW w:w="3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ACE871" w14:textId="77777777" w:rsidR="009C2820" w:rsidRPr="009C2820" w:rsidRDefault="009C2820" w:rsidP="009C2820">
            <w:pPr>
              <w:spacing w:line="240" w:lineRule="auto"/>
              <w:jc w:val="center"/>
              <w:rPr>
                <w:rFonts w:eastAsia="Times New Roman" w:cs="Calibri"/>
                <w:b/>
                <w:bCs/>
                <w:color w:val="000000"/>
                <w:sz w:val="24"/>
                <w:szCs w:val="24"/>
                <w:lang w:eastAsia="en-GB"/>
              </w:rPr>
            </w:pPr>
            <w:r w:rsidRPr="009C2820">
              <w:rPr>
                <w:rFonts w:eastAsia="Times New Roman" w:cs="Calibri"/>
                <w:b/>
                <w:bCs/>
                <w:color w:val="000000"/>
                <w:sz w:val="24"/>
                <w:szCs w:val="24"/>
                <w:lang w:eastAsia="en-GB"/>
              </w:rPr>
              <w:t>Programme</w:t>
            </w:r>
          </w:p>
        </w:tc>
        <w:tc>
          <w:tcPr>
            <w:tcW w:w="1060" w:type="dxa"/>
            <w:tcBorders>
              <w:top w:val="single" w:sz="4" w:space="0" w:color="auto"/>
              <w:left w:val="nil"/>
              <w:bottom w:val="single" w:sz="4" w:space="0" w:color="auto"/>
              <w:right w:val="single" w:sz="4" w:space="0" w:color="auto"/>
            </w:tcBorders>
            <w:shd w:val="clear" w:color="000000" w:fill="FFDDDD"/>
            <w:vAlign w:val="center"/>
            <w:hideMark/>
          </w:tcPr>
          <w:p w14:paraId="075E1DDB" w14:textId="77777777" w:rsidR="009C2820" w:rsidRPr="009C2820" w:rsidRDefault="009C2820" w:rsidP="009C2820">
            <w:pPr>
              <w:spacing w:line="240" w:lineRule="auto"/>
              <w:jc w:val="center"/>
              <w:rPr>
                <w:rFonts w:eastAsia="Times New Roman" w:cs="Calibri"/>
                <w:b/>
                <w:bCs/>
                <w:color w:val="000000"/>
                <w:sz w:val="24"/>
                <w:szCs w:val="24"/>
                <w:lang w:eastAsia="en-GB"/>
              </w:rPr>
            </w:pPr>
            <w:r w:rsidRPr="009C2820">
              <w:rPr>
                <w:rFonts w:eastAsia="Times New Roman" w:cs="Calibri"/>
                <w:b/>
                <w:bCs/>
                <w:color w:val="000000"/>
                <w:sz w:val="24"/>
                <w:szCs w:val="24"/>
                <w:lang w:eastAsia="en-GB"/>
              </w:rPr>
              <w:t>2025/26</w:t>
            </w:r>
            <w:r w:rsidRPr="009C2820">
              <w:rPr>
                <w:rFonts w:eastAsia="Times New Roman" w:cs="Calibri"/>
                <w:b/>
                <w:bCs/>
                <w:color w:val="000000"/>
                <w:sz w:val="24"/>
                <w:szCs w:val="24"/>
                <w:lang w:eastAsia="en-GB"/>
              </w:rPr>
              <w:br/>
              <w:t>£m</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40AC1620" w14:textId="77777777" w:rsidR="009C2820" w:rsidRPr="009C2820" w:rsidRDefault="009C2820" w:rsidP="009C2820">
            <w:pPr>
              <w:spacing w:line="240" w:lineRule="auto"/>
              <w:jc w:val="center"/>
              <w:rPr>
                <w:rFonts w:eastAsia="Times New Roman" w:cs="Calibri"/>
                <w:b/>
                <w:bCs/>
                <w:color w:val="000000"/>
                <w:sz w:val="24"/>
                <w:szCs w:val="24"/>
                <w:lang w:eastAsia="en-GB"/>
              </w:rPr>
            </w:pPr>
            <w:r w:rsidRPr="009C2820">
              <w:rPr>
                <w:rFonts w:eastAsia="Times New Roman" w:cs="Calibri"/>
                <w:b/>
                <w:bCs/>
                <w:color w:val="000000"/>
                <w:sz w:val="24"/>
                <w:szCs w:val="24"/>
                <w:lang w:eastAsia="en-GB"/>
              </w:rPr>
              <w:t>2026/27</w:t>
            </w:r>
            <w:r w:rsidRPr="009C2820">
              <w:rPr>
                <w:rFonts w:eastAsia="Times New Roman" w:cs="Calibri"/>
                <w:b/>
                <w:bCs/>
                <w:color w:val="000000"/>
                <w:sz w:val="24"/>
                <w:szCs w:val="24"/>
                <w:lang w:eastAsia="en-GB"/>
              </w:rPr>
              <w:br/>
              <w:t>£m</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24D9B2FA" w14:textId="77777777" w:rsidR="009C2820" w:rsidRPr="009C2820" w:rsidRDefault="009C2820" w:rsidP="009C2820">
            <w:pPr>
              <w:spacing w:line="240" w:lineRule="auto"/>
              <w:jc w:val="center"/>
              <w:rPr>
                <w:rFonts w:eastAsia="Times New Roman" w:cs="Calibri"/>
                <w:b/>
                <w:bCs/>
                <w:color w:val="000000"/>
                <w:sz w:val="24"/>
                <w:szCs w:val="24"/>
                <w:lang w:eastAsia="en-GB"/>
              </w:rPr>
            </w:pPr>
            <w:r w:rsidRPr="009C2820">
              <w:rPr>
                <w:rFonts w:eastAsia="Times New Roman" w:cs="Calibri"/>
                <w:b/>
                <w:bCs/>
                <w:color w:val="000000"/>
                <w:sz w:val="24"/>
                <w:szCs w:val="24"/>
                <w:lang w:eastAsia="en-GB"/>
              </w:rPr>
              <w:t>2027/28</w:t>
            </w:r>
            <w:r w:rsidRPr="009C2820">
              <w:rPr>
                <w:rFonts w:eastAsia="Times New Roman" w:cs="Calibri"/>
                <w:b/>
                <w:bCs/>
                <w:color w:val="000000"/>
                <w:sz w:val="24"/>
                <w:szCs w:val="24"/>
                <w:lang w:eastAsia="en-GB"/>
              </w:rPr>
              <w:br/>
              <w:t>£m</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4EB3E322" w14:textId="77777777" w:rsidR="009C2820" w:rsidRPr="009C2820" w:rsidRDefault="009C2820" w:rsidP="009C2820">
            <w:pPr>
              <w:spacing w:line="240" w:lineRule="auto"/>
              <w:jc w:val="center"/>
              <w:rPr>
                <w:rFonts w:eastAsia="Times New Roman" w:cs="Calibri"/>
                <w:b/>
                <w:bCs/>
                <w:color w:val="000000"/>
                <w:sz w:val="24"/>
                <w:szCs w:val="24"/>
                <w:lang w:eastAsia="en-GB"/>
              </w:rPr>
            </w:pPr>
            <w:r w:rsidRPr="009C2820">
              <w:rPr>
                <w:rFonts w:eastAsia="Times New Roman" w:cs="Calibri"/>
                <w:b/>
                <w:bCs/>
                <w:color w:val="000000"/>
                <w:sz w:val="24"/>
                <w:szCs w:val="24"/>
                <w:lang w:eastAsia="en-GB"/>
              </w:rPr>
              <w:t>2028/29</w:t>
            </w:r>
            <w:r w:rsidRPr="009C2820">
              <w:rPr>
                <w:rFonts w:eastAsia="Times New Roman" w:cs="Calibri"/>
                <w:b/>
                <w:bCs/>
                <w:color w:val="000000"/>
                <w:sz w:val="24"/>
                <w:szCs w:val="24"/>
                <w:lang w:eastAsia="en-GB"/>
              </w:rPr>
              <w:br/>
              <w:t>£m</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661D5FAC" w14:textId="77777777" w:rsidR="009C2820" w:rsidRPr="009C2820" w:rsidRDefault="009C2820" w:rsidP="009C2820">
            <w:pPr>
              <w:spacing w:line="240" w:lineRule="auto"/>
              <w:jc w:val="center"/>
              <w:rPr>
                <w:rFonts w:eastAsia="Times New Roman" w:cs="Calibri"/>
                <w:b/>
                <w:bCs/>
                <w:color w:val="000000"/>
                <w:sz w:val="24"/>
                <w:szCs w:val="24"/>
                <w:lang w:eastAsia="en-GB"/>
              </w:rPr>
            </w:pPr>
            <w:r w:rsidRPr="009C2820">
              <w:rPr>
                <w:rFonts w:eastAsia="Times New Roman" w:cs="Calibri"/>
                <w:b/>
                <w:bCs/>
                <w:color w:val="000000"/>
                <w:sz w:val="24"/>
                <w:szCs w:val="24"/>
                <w:lang w:eastAsia="en-GB"/>
              </w:rPr>
              <w:t>2029/30</w:t>
            </w:r>
            <w:r w:rsidRPr="009C2820">
              <w:rPr>
                <w:rFonts w:eastAsia="Times New Roman" w:cs="Calibri"/>
                <w:b/>
                <w:bCs/>
                <w:color w:val="000000"/>
                <w:sz w:val="24"/>
                <w:szCs w:val="24"/>
                <w:lang w:eastAsia="en-GB"/>
              </w:rPr>
              <w:br/>
              <w:t>£m</w:t>
            </w:r>
          </w:p>
        </w:tc>
      </w:tr>
      <w:tr w:rsidR="009C2820" w:rsidRPr="009C2820" w14:paraId="68DF1B49" w14:textId="77777777" w:rsidTr="009C2820">
        <w:trPr>
          <w:trHeight w:val="315"/>
        </w:trPr>
        <w:tc>
          <w:tcPr>
            <w:tcW w:w="3640" w:type="dxa"/>
            <w:tcBorders>
              <w:top w:val="nil"/>
              <w:left w:val="single" w:sz="4" w:space="0" w:color="auto"/>
              <w:bottom w:val="nil"/>
              <w:right w:val="single" w:sz="4" w:space="0" w:color="auto"/>
            </w:tcBorders>
            <w:shd w:val="clear" w:color="000000" w:fill="FFFFFF"/>
            <w:noWrap/>
            <w:vAlign w:val="bottom"/>
            <w:hideMark/>
          </w:tcPr>
          <w:p w14:paraId="7535C93B" w14:textId="77777777" w:rsidR="009C2820" w:rsidRPr="009C2820" w:rsidRDefault="009C2820" w:rsidP="009C2820">
            <w:pPr>
              <w:spacing w:line="240" w:lineRule="auto"/>
              <w:rPr>
                <w:rFonts w:eastAsia="Times New Roman" w:cs="Calibri"/>
                <w:color w:val="000000"/>
                <w:sz w:val="24"/>
                <w:szCs w:val="24"/>
                <w:lang w:eastAsia="en-GB"/>
              </w:rPr>
            </w:pPr>
            <w:r w:rsidRPr="009C2820">
              <w:rPr>
                <w:rFonts w:eastAsia="Times New Roman" w:cs="Calibri"/>
                <w:color w:val="000000"/>
                <w:sz w:val="24"/>
                <w:szCs w:val="24"/>
                <w:lang w:eastAsia="en-GB"/>
              </w:rPr>
              <w:t>Estates</w:t>
            </w:r>
          </w:p>
        </w:tc>
        <w:tc>
          <w:tcPr>
            <w:tcW w:w="1060" w:type="dxa"/>
            <w:tcBorders>
              <w:top w:val="nil"/>
              <w:left w:val="nil"/>
              <w:bottom w:val="nil"/>
              <w:right w:val="single" w:sz="4" w:space="0" w:color="auto"/>
            </w:tcBorders>
            <w:shd w:val="clear" w:color="000000" w:fill="FFDDDD"/>
            <w:noWrap/>
            <w:vAlign w:val="bottom"/>
            <w:hideMark/>
          </w:tcPr>
          <w:p w14:paraId="2B75C7CF"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2.4</w:t>
            </w:r>
          </w:p>
        </w:tc>
        <w:tc>
          <w:tcPr>
            <w:tcW w:w="1060" w:type="dxa"/>
            <w:tcBorders>
              <w:top w:val="nil"/>
              <w:left w:val="nil"/>
              <w:bottom w:val="nil"/>
              <w:right w:val="single" w:sz="4" w:space="0" w:color="auto"/>
            </w:tcBorders>
            <w:shd w:val="clear" w:color="000000" w:fill="FFFFFF"/>
            <w:noWrap/>
            <w:vAlign w:val="bottom"/>
            <w:hideMark/>
          </w:tcPr>
          <w:p w14:paraId="607F0EEA"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14.8</w:t>
            </w:r>
          </w:p>
        </w:tc>
        <w:tc>
          <w:tcPr>
            <w:tcW w:w="1060" w:type="dxa"/>
            <w:tcBorders>
              <w:top w:val="nil"/>
              <w:left w:val="nil"/>
              <w:bottom w:val="nil"/>
              <w:right w:val="single" w:sz="4" w:space="0" w:color="auto"/>
            </w:tcBorders>
            <w:shd w:val="clear" w:color="000000" w:fill="FFFFFF"/>
            <w:noWrap/>
            <w:vAlign w:val="bottom"/>
            <w:hideMark/>
          </w:tcPr>
          <w:p w14:paraId="056C0220"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0.4</w:t>
            </w:r>
          </w:p>
        </w:tc>
        <w:tc>
          <w:tcPr>
            <w:tcW w:w="1060" w:type="dxa"/>
            <w:tcBorders>
              <w:top w:val="nil"/>
              <w:left w:val="nil"/>
              <w:bottom w:val="nil"/>
              <w:right w:val="single" w:sz="4" w:space="0" w:color="auto"/>
            </w:tcBorders>
            <w:shd w:val="clear" w:color="000000" w:fill="FFFFFF"/>
            <w:noWrap/>
            <w:vAlign w:val="bottom"/>
            <w:hideMark/>
          </w:tcPr>
          <w:p w14:paraId="1B9A344F"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7.9</w:t>
            </w:r>
          </w:p>
        </w:tc>
        <w:tc>
          <w:tcPr>
            <w:tcW w:w="1060" w:type="dxa"/>
            <w:tcBorders>
              <w:top w:val="nil"/>
              <w:left w:val="nil"/>
              <w:bottom w:val="nil"/>
              <w:right w:val="single" w:sz="4" w:space="0" w:color="auto"/>
            </w:tcBorders>
            <w:shd w:val="clear" w:color="000000" w:fill="FFFFFF"/>
            <w:noWrap/>
            <w:vAlign w:val="bottom"/>
            <w:hideMark/>
          </w:tcPr>
          <w:p w14:paraId="05D57466"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7.9</w:t>
            </w:r>
          </w:p>
        </w:tc>
      </w:tr>
      <w:tr w:rsidR="009C2820" w:rsidRPr="009C2820" w14:paraId="4344F1D6" w14:textId="77777777" w:rsidTr="009C2820">
        <w:trPr>
          <w:trHeight w:val="315"/>
        </w:trPr>
        <w:tc>
          <w:tcPr>
            <w:tcW w:w="3640" w:type="dxa"/>
            <w:tcBorders>
              <w:top w:val="nil"/>
              <w:left w:val="single" w:sz="4" w:space="0" w:color="auto"/>
              <w:bottom w:val="nil"/>
              <w:right w:val="single" w:sz="4" w:space="0" w:color="auto"/>
            </w:tcBorders>
            <w:shd w:val="clear" w:color="000000" w:fill="FFFFFF"/>
            <w:noWrap/>
            <w:vAlign w:val="bottom"/>
            <w:hideMark/>
          </w:tcPr>
          <w:p w14:paraId="52269C21" w14:textId="77777777" w:rsidR="009C2820" w:rsidRPr="009C2820" w:rsidRDefault="009C2820" w:rsidP="009C2820">
            <w:pPr>
              <w:spacing w:line="240" w:lineRule="auto"/>
              <w:rPr>
                <w:rFonts w:eastAsia="Times New Roman" w:cs="Calibri"/>
                <w:color w:val="000000"/>
                <w:sz w:val="24"/>
                <w:szCs w:val="24"/>
                <w:lang w:eastAsia="en-GB"/>
              </w:rPr>
            </w:pPr>
            <w:r w:rsidRPr="009C2820">
              <w:rPr>
                <w:rFonts w:eastAsia="Times New Roman" w:cs="Calibri"/>
                <w:color w:val="000000"/>
                <w:sz w:val="24"/>
                <w:szCs w:val="24"/>
                <w:lang w:eastAsia="en-GB"/>
              </w:rPr>
              <w:t>ICT</w:t>
            </w:r>
          </w:p>
        </w:tc>
        <w:tc>
          <w:tcPr>
            <w:tcW w:w="1060" w:type="dxa"/>
            <w:tcBorders>
              <w:top w:val="nil"/>
              <w:left w:val="nil"/>
              <w:bottom w:val="nil"/>
              <w:right w:val="single" w:sz="4" w:space="0" w:color="auto"/>
            </w:tcBorders>
            <w:shd w:val="clear" w:color="000000" w:fill="FFDDDD"/>
            <w:noWrap/>
            <w:vAlign w:val="bottom"/>
            <w:hideMark/>
          </w:tcPr>
          <w:p w14:paraId="2E408B4F"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1.8</w:t>
            </w:r>
          </w:p>
        </w:tc>
        <w:tc>
          <w:tcPr>
            <w:tcW w:w="1060" w:type="dxa"/>
            <w:tcBorders>
              <w:top w:val="nil"/>
              <w:left w:val="nil"/>
              <w:bottom w:val="nil"/>
              <w:right w:val="single" w:sz="4" w:space="0" w:color="auto"/>
            </w:tcBorders>
            <w:shd w:val="clear" w:color="000000" w:fill="FFFFFF"/>
            <w:noWrap/>
            <w:vAlign w:val="bottom"/>
            <w:hideMark/>
          </w:tcPr>
          <w:p w14:paraId="7D2D300F"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0.4</w:t>
            </w:r>
          </w:p>
        </w:tc>
        <w:tc>
          <w:tcPr>
            <w:tcW w:w="1060" w:type="dxa"/>
            <w:tcBorders>
              <w:top w:val="nil"/>
              <w:left w:val="nil"/>
              <w:bottom w:val="nil"/>
              <w:right w:val="single" w:sz="4" w:space="0" w:color="auto"/>
            </w:tcBorders>
            <w:shd w:val="clear" w:color="000000" w:fill="FFFFFF"/>
            <w:noWrap/>
            <w:vAlign w:val="bottom"/>
            <w:hideMark/>
          </w:tcPr>
          <w:p w14:paraId="4999B1E6"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0.4</w:t>
            </w:r>
          </w:p>
        </w:tc>
        <w:tc>
          <w:tcPr>
            <w:tcW w:w="1060" w:type="dxa"/>
            <w:tcBorders>
              <w:top w:val="nil"/>
              <w:left w:val="nil"/>
              <w:bottom w:val="nil"/>
              <w:right w:val="single" w:sz="4" w:space="0" w:color="auto"/>
            </w:tcBorders>
            <w:shd w:val="clear" w:color="000000" w:fill="FFFFFF"/>
            <w:noWrap/>
            <w:vAlign w:val="bottom"/>
            <w:hideMark/>
          </w:tcPr>
          <w:p w14:paraId="284AA789"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0.9</w:t>
            </w:r>
          </w:p>
        </w:tc>
        <w:tc>
          <w:tcPr>
            <w:tcW w:w="1060" w:type="dxa"/>
            <w:tcBorders>
              <w:top w:val="nil"/>
              <w:left w:val="nil"/>
              <w:bottom w:val="nil"/>
              <w:right w:val="single" w:sz="4" w:space="0" w:color="auto"/>
            </w:tcBorders>
            <w:shd w:val="clear" w:color="000000" w:fill="FFFFFF"/>
            <w:noWrap/>
            <w:vAlign w:val="bottom"/>
            <w:hideMark/>
          </w:tcPr>
          <w:p w14:paraId="530A0A96"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0.3</w:t>
            </w:r>
          </w:p>
        </w:tc>
      </w:tr>
      <w:tr w:rsidR="009C2820" w:rsidRPr="009C2820" w14:paraId="567015FE" w14:textId="77777777" w:rsidTr="009C2820">
        <w:trPr>
          <w:trHeight w:val="315"/>
        </w:trPr>
        <w:tc>
          <w:tcPr>
            <w:tcW w:w="3640" w:type="dxa"/>
            <w:tcBorders>
              <w:top w:val="nil"/>
              <w:left w:val="single" w:sz="4" w:space="0" w:color="auto"/>
              <w:bottom w:val="nil"/>
              <w:right w:val="single" w:sz="4" w:space="0" w:color="auto"/>
            </w:tcBorders>
            <w:shd w:val="clear" w:color="000000" w:fill="FFFFFF"/>
            <w:noWrap/>
            <w:vAlign w:val="bottom"/>
            <w:hideMark/>
          </w:tcPr>
          <w:p w14:paraId="46FE744F" w14:textId="77777777" w:rsidR="009C2820" w:rsidRPr="009C2820" w:rsidRDefault="009C2820" w:rsidP="009C2820">
            <w:pPr>
              <w:spacing w:line="240" w:lineRule="auto"/>
              <w:rPr>
                <w:rFonts w:eastAsia="Times New Roman" w:cs="Calibri"/>
                <w:color w:val="000000"/>
                <w:sz w:val="24"/>
                <w:szCs w:val="24"/>
                <w:lang w:eastAsia="en-GB"/>
              </w:rPr>
            </w:pPr>
            <w:r w:rsidRPr="009C2820">
              <w:rPr>
                <w:rFonts w:eastAsia="Times New Roman" w:cs="Calibri"/>
                <w:color w:val="000000"/>
                <w:sz w:val="24"/>
                <w:szCs w:val="24"/>
                <w:lang w:eastAsia="en-GB"/>
              </w:rPr>
              <w:t>Vehicles &amp; Operational Equipment</w:t>
            </w:r>
          </w:p>
        </w:tc>
        <w:tc>
          <w:tcPr>
            <w:tcW w:w="1060" w:type="dxa"/>
            <w:tcBorders>
              <w:top w:val="nil"/>
              <w:left w:val="nil"/>
              <w:bottom w:val="nil"/>
              <w:right w:val="single" w:sz="4" w:space="0" w:color="auto"/>
            </w:tcBorders>
            <w:shd w:val="clear" w:color="000000" w:fill="FFDDDD"/>
            <w:noWrap/>
            <w:vAlign w:val="bottom"/>
            <w:hideMark/>
          </w:tcPr>
          <w:p w14:paraId="2AC0E52D"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2.1</w:t>
            </w:r>
          </w:p>
        </w:tc>
        <w:tc>
          <w:tcPr>
            <w:tcW w:w="1060" w:type="dxa"/>
            <w:tcBorders>
              <w:top w:val="nil"/>
              <w:left w:val="nil"/>
              <w:bottom w:val="nil"/>
              <w:right w:val="single" w:sz="4" w:space="0" w:color="auto"/>
            </w:tcBorders>
            <w:shd w:val="clear" w:color="000000" w:fill="FFFFFF"/>
            <w:noWrap/>
            <w:vAlign w:val="bottom"/>
            <w:hideMark/>
          </w:tcPr>
          <w:p w14:paraId="4524A718"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1.4</w:t>
            </w:r>
          </w:p>
        </w:tc>
        <w:tc>
          <w:tcPr>
            <w:tcW w:w="1060" w:type="dxa"/>
            <w:tcBorders>
              <w:top w:val="nil"/>
              <w:left w:val="nil"/>
              <w:bottom w:val="nil"/>
              <w:right w:val="single" w:sz="4" w:space="0" w:color="auto"/>
            </w:tcBorders>
            <w:shd w:val="clear" w:color="000000" w:fill="FFFFFF"/>
            <w:noWrap/>
            <w:vAlign w:val="bottom"/>
            <w:hideMark/>
          </w:tcPr>
          <w:p w14:paraId="2A2B22F4"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0.9</w:t>
            </w:r>
          </w:p>
        </w:tc>
        <w:tc>
          <w:tcPr>
            <w:tcW w:w="1060" w:type="dxa"/>
            <w:tcBorders>
              <w:top w:val="nil"/>
              <w:left w:val="nil"/>
              <w:bottom w:val="nil"/>
              <w:right w:val="single" w:sz="4" w:space="0" w:color="auto"/>
            </w:tcBorders>
            <w:shd w:val="clear" w:color="000000" w:fill="FFFFFF"/>
            <w:noWrap/>
            <w:vAlign w:val="bottom"/>
            <w:hideMark/>
          </w:tcPr>
          <w:p w14:paraId="53E8BF4F"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0.8</w:t>
            </w:r>
          </w:p>
        </w:tc>
        <w:tc>
          <w:tcPr>
            <w:tcW w:w="1060" w:type="dxa"/>
            <w:tcBorders>
              <w:top w:val="nil"/>
              <w:left w:val="nil"/>
              <w:bottom w:val="nil"/>
              <w:right w:val="single" w:sz="4" w:space="0" w:color="auto"/>
            </w:tcBorders>
            <w:shd w:val="clear" w:color="000000" w:fill="FFFFFF"/>
            <w:noWrap/>
            <w:vAlign w:val="bottom"/>
            <w:hideMark/>
          </w:tcPr>
          <w:p w14:paraId="23001D48" w14:textId="77777777" w:rsidR="009C2820" w:rsidRPr="009C2820" w:rsidRDefault="009C2820" w:rsidP="009C2820">
            <w:pPr>
              <w:spacing w:line="240" w:lineRule="auto"/>
              <w:jc w:val="right"/>
              <w:rPr>
                <w:rFonts w:eastAsia="Times New Roman" w:cs="Calibri"/>
                <w:color w:val="000000"/>
                <w:sz w:val="24"/>
                <w:szCs w:val="24"/>
                <w:lang w:eastAsia="en-GB"/>
              </w:rPr>
            </w:pPr>
            <w:r w:rsidRPr="009C2820">
              <w:rPr>
                <w:rFonts w:eastAsia="Times New Roman" w:cs="Calibri"/>
                <w:color w:val="000000"/>
                <w:sz w:val="24"/>
                <w:szCs w:val="24"/>
                <w:lang w:eastAsia="en-GB"/>
              </w:rPr>
              <w:t>0.4</w:t>
            </w:r>
          </w:p>
        </w:tc>
      </w:tr>
      <w:tr w:rsidR="009C2820" w:rsidRPr="009C2820" w14:paraId="61BA2FEE" w14:textId="77777777" w:rsidTr="009C2820">
        <w:trPr>
          <w:trHeight w:val="315"/>
        </w:trPr>
        <w:tc>
          <w:tcPr>
            <w:tcW w:w="3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088C03" w14:textId="77777777" w:rsidR="009C2820" w:rsidRPr="009C2820" w:rsidRDefault="009C2820" w:rsidP="009C2820">
            <w:pPr>
              <w:spacing w:line="240" w:lineRule="auto"/>
              <w:rPr>
                <w:rFonts w:eastAsia="Times New Roman" w:cs="Calibri"/>
                <w:b/>
                <w:bCs/>
                <w:color w:val="000000"/>
                <w:sz w:val="24"/>
                <w:szCs w:val="24"/>
                <w:lang w:eastAsia="en-GB"/>
              </w:rPr>
            </w:pPr>
            <w:r w:rsidRPr="009C2820">
              <w:rPr>
                <w:rFonts w:eastAsia="Times New Roman" w:cs="Calibri"/>
                <w:b/>
                <w:bCs/>
                <w:color w:val="000000"/>
                <w:sz w:val="24"/>
                <w:szCs w:val="24"/>
                <w:lang w:eastAsia="en-GB"/>
              </w:rPr>
              <w:t>TOTAL</w:t>
            </w:r>
          </w:p>
        </w:tc>
        <w:tc>
          <w:tcPr>
            <w:tcW w:w="1060" w:type="dxa"/>
            <w:tcBorders>
              <w:top w:val="single" w:sz="4" w:space="0" w:color="auto"/>
              <w:left w:val="nil"/>
              <w:bottom w:val="single" w:sz="4" w:space="0" w:color="auto"/>
              <w:right w:val="single" w:sz="4" w:space="0" w:color="auto"/>
            </w:tcBorders>
            <w:shd w:val="clear" w:color="000000" w:fill="FFDDDD"/>
            <w:noWrap/>
            <w:vAlign w:val="bottom"/>
            <w:hideMark/>
          </w:tcPr>
          <w:p w14:paraId="53F027A7" w14:textId="77777777" w:rsidR="009C2820" w:rsidRPr="009C2820" w:rsidRDefault="009C2820" w:rsidP="009C2820">
            <w:pPr>
              <w:spacing w:line="240" w:lineRule="auto"/>
              <w:jc w:val="right"/>
              <w:rPr>
                <w:rFonts w:eastAsia="Times New Roman" w:cs="Calibri"/>
                <w:b/>
                <w:bCs/>
                <w:color w:val="000000"/>
                <w:sz w:val="24"/>
                <w:szCs w:val="24"/>
                <w:lang w:eastAsia="en-GB"/>
              </w:rPr>
            </w:pPr>
            <w:r w:rsidRPr="009C2820">
              <w:rPr>
                <w:rFonts w:eastAsia="Times New Roman" w:cs="Calibri"/>
                <w:b/>
                <w:bCs/>
                <w:color w:val="000000"/>
                <w:sz w:val="24"/>
                <w:szCs w:val="24"/>
                <w:lang w:eastAsia="en-GB"/>
              </w:rPr>
              <w:t>6.3</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3F2E2655" w14:textId="77777777" w:rsidR="009C2820" w:rsidRPr="009C2820" w:rsidRDefault="009C2820" w:rsidP="009C2820">
            <w:pPr>
              <w:spacing w:line="240" w:lineRule="auto"/>
              <w:jc w:val="right"/>
              <w:rPr>
                <w:rFonts w:eastAsia="Times New Roman" w:cs="Calibri"/>
                <w:b/>
                <w:bCs/>
                <w:color w:val="000000"/>
                <w:sz w:val="24"/>
                <w:szCs w:val="24"/>
                <w:lang w:eastAsia="en-GB"/>
              </w:rPr>
            </w:pPr>
            <w:r w:rsidRPr="009C2820">
              <w:rPr>
                <w:rFonts w:eastAsia="Times New Roman" w:cs="Calibri"/>
                <w:b/>
                <w:bCs/>
                <w:color w:val="000000"/>
                <w:sz w:val="24"/>
                <w:szCs w:val="24"/>
                <w:lang w:eastAsia="en-GB"/>
              </w:rPr>
              <w:t>16.6</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68815D99" w14:textId="77777777" w:rsidR="009C2820" w:rsidRPr="009C2820" w:rsidRDefault="009C2820" w:rsidP="009C2820">
            <w:pPr>
              <w:spacing w:line="240" w:lineRule="auto"/>
              <w:jc w:val="right"/>
              <w:rPr>
                <w:rFonts w:eastAsia="Times New Roman" w:cs="Calibri"/>
                <w:b/>
                <w:bCs/>
                <w:color w:val="000000"/>
                <w:sz w:val="24"/>
                <w:szCs w:val="24"/>
                <w:lang w:eastAsia="en-GB"/>
              </w:rPr>
            </w:pPr>
            <w:r w:rsidRPr="009C2820">
              <w:rPr>
                <w:rFonts w:eastAsia="Times New Roman" w:cs="Calibri"/>
                <w:b/>
                <w:bCs/>
                <w:color w:val="000000"/>
                <w:sz w:val="24"/>
                <w:szCs w:val="24"/>
                <w:lang w:eastAsia="en-GB"/>
              </w:rPr>
              <w:t>1.7</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45F0A4CD" w14:textId="568E0A69" w:rsidR="009C2820" w:rsidRPr="009C2820" w:rsidRDefault="009C2820" w:rsidP="009C2820">
            <w:pPr>
              <w:spacing w:line="240" w:lineRule="auto"/>
              <w:jc w:val="right"/>
              <w:rPr>
                <w:rFonts w:eastAsia="Times New Roman" w:cs="Calibri"/>
                <w:b/>
                <w:bCs/>
                <w:color w:val="000000"/>
                <w:sz w:val="24"/>
                <w:szCs w:val="24"/>
                <w:lang w:eastAsia="en-GB"/>
              </w:rPr>
            </w:pPr>
            <w:r w:rsidRPr="009C2820">
              <w:rPr>
                <w:rFonts w:eastAsia="Times New Roman" w:cs="Calibri"/>
                <w:b/>
                <w:bCs/>
                <w:color w:val="000000"/>
                <w:sz w:val="24"/>
                <w:szCs w:val="24"/>
                <w:lang w:eastAsia="en-GB"/>
              </w:rPr>
              <w:t>9.</w:t>
            </w:r>
            <w:r w:rsidR="00FE20FA">
              <w:rPr>
                <w:rFonts w:eastAsia="Times New Roman" w:cs="Calibri"/>
                <w:b/>
                <w:bCs/>
                <w:color w:val="000000"/>
                <w:sz w:val="24"/>
                <w:szCs w:val="24"/>
                <w:lang w:eastAsia="en-GB"/>
              </w:rPr>
              <w:t>6</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3BEF2DBB" w14:textId="77777777" w:rsidR="009C2820" w:rsidRPr="009C2820" w:rsidRDefault="009C2820" w:rsidP="009C2820">
            <w:pPr>
              <w:spacing w:line="240" w:lineRule="auto"/>
              <w:jc w:val="right"/>
              <w:rPr>
                <w:rFonts w:eastAsia="Times New Roman" w:cs="Calibri"/>
                <w:b/>
                <w:bCs/>
                <w:color w:val="000000"/>
                <w:sz w:val="24"/>
                <w:szCs w:val="24"/>
                <w:lang w:eastAsia="en-GB"/>
              </w:rPr>
            </w:pPr>
            <w:r w:rsidRPr="009C2820">
              <w:rPr>
                <w:rFonts w:eastAsia="Times New Roman" w:cs="Calibri"/>
                <w:b/>
                <w:bCs/>
                <w:color w:val="000000"/>
                <w:sz w:val="24"/>
                <w:szCs w:val="24"/>
                <w:lang w:eastAsia="en-GB"/>
              </w:rPr>
              <w:t>8.6</w:t>
            </w:r>
          </w:p>
        </w:tc>
      </w:tr>
    </w:tbl>
    <w:p w14:paraId="136A7935" w14:textId="77777777" w:rsidR="00E06B24" w:rsidRPr="00450555" w:rsidRDefault="00E06B24" w:rsidP="009C2820">
      <w:pPr>
        <w:spacing w:line="240" w:lineRule="auto"/>
        <w:jc w:val="both"/>
        <w:rPr>
          <w:rFonts w:asciiTheme="minorHAnsi" w:hAnsiTheme="minorHAnsi" w:cs="Arial"/>
          <w:sz w:val="24"/>
          <w:szCs w:val="24"/>
          <w:highlight w:val="yellow"/>
        </w:rPr>
      </w:pPr>
    </w:p>
    <w:p w14:paraId="7D317C65" w14:textId="26EE38B3" w:rsidR="009C2820" w:rsidRPr="00BD46B3" w:rsidRDefault="009C2820" w:rsidP="00BD46B3">
      <w:pPr>
        <w:pStyle w:val="PanelPara"/>
      </w:pPr>
      <w:bookmarkStart w:id="20" w:name="_Hlk156833016"/>
      <w:r w:rsidRPr="00073E24">
        <w:t xml:space="preserve">This includes provision for the latest agreed estates masterplan, continuing ambitions for joint vehicle maintenance and specialist training premises with </w:t>
      </w:r>
      <w:r>
        <w:t>Police</w:t>
      </w:r>
      <w:r w:rsidRPr="00073E24">
        <w:t xml:space="preserve"> along with ensuring buildings are fit-for-purpose, safe and accessible in line with the missions set out in the Public Safety Plan.</w:t>
      </w:r>
    </w:p>
    <w:bookmarkEnd w:id="20"/>
    <w:p w14:paraId="3D9164DE" w14:textId="751DA0ED" w:rsidR="00152D49" w:rsidRPr="00BD46B3" w:rsidRDefault="0054521E" w:rsidP="00BD46B3">
      <w:pPr>
        <w:pStyle w:val="PanelPara"/>
      </w:pPr>
      <w:r w:rsidRPr="00BD46B3">
        <w:t>E</w:t>
      </w:r>
      <w:r w:rsidR="00E06B24" w:rsidRPr="00BD46B3">
        <w:t xml:space="preserve">states costs include </w:t>
      </w:r>
      <w:r w:rsidRPr="00BD46B3">
        <w:t xml:space="preserve">essential refurbishments and </w:t>
      </w:r>
      <w:r w:rsidR="0036010F" w:rsidRPr="00BD46B3">
        <w:t>funding for</w:t>
      </w:r>
      <w:r w:rsidRPr="00BD46B3">
        <w:t xml:space="preserve"> appropriate welfare facilities in Fire buildings</w:t>
      </w:r>
      <w:r w:rsidR="00CB12C0" w:rsidRPr="00BD46B3">
        <w:t>.</w:t>
      </w:r>
    </w:p>
    <w:p w14:paraId="12A04F0F" w14:textId="0D10605E" w:rsidR="00152D49" w:rsidRPr="0036010F" w:rsidRDefault="001F7CE7" w:rsidP="00BD46B3">
      <w:pPr>
        <w:pStyle w:val="PanelPara"/>
      </w:pPr>
      <w:r w:rsidRPr="00BD46B3">
        <w:t xml:space="preserve">Since the governance transfer, good progress has been made on the legacy </w:t>
      </w:r>
      <w:r w:rsidR="00F671CE" w:rsidRPr="00BD46B3">
        <w:t>capital programme</w:t>
      </w:r>
      <w:r w:rsidRPr="00BD46B3">
        <w:t xml:space="preserve"> requirements and </w:t>
      </w:r>
      <w:r w:rsidR="0036010F" w:rsidRPr="00BD46B3">
        <w:t xml:space="preserve">continues to fund the replacement of </w:t>
      </w:r>
      <w:r w:rsidRPr="00BD46B3">
        <w:t xml:space="preserve">fire </w:t>
      </w:r>
      <w:r w:rsidR="0036010F" w:rsidRPr="00BD46B3">
        <w:t>appliances</w:t>
      </w:r>
      <w:r w:rsidRPr="00BD46B3">
        <w:t xml:space="preserve">, essential operational equipment and ICT systems. </w:t>
      </w:r>
      <w:r w:rsidR="00152D49" w:rsidRPr="00BD46B3">
        <w:t xml:space="preserve"> </w:t>
      </w:r>
      <w:r w:rsidRPr="00BD46B3">
        <w:t>This work continues.</w:t>
      </w:r>
      <w:bookmarkStart w:id="21" w:name="_Hlk62222145"/>
    </w:p>
    <w:p w14:paraId="679C2358" w14:textId="77777777" w:rsidR="0036010F" w:rsidRPr="00073E24" w:rsidRDefault="0036010F" w:rsidP="00BD46B3">
      <w:pPr>
        <w:pStyle w:val="PanelPara"/>
      </w:pPr>
      <w:r w:rsidRPr="00073E24">
        <w:t>Costs are often occurred ahead of any efficiencies or disposals, therefore, the PFCC will continue to push to ensure that any disposals included in the plans are made in a timely and efficient manner to ensure the full benefits can be realised.</w:t>
      </w:r>
    </w:p>
    <w:p w14:paraId="7FA1742B" w14:textId="77777777" w:rsidR="0036010F" w:rsidRPr="00693C94" w:rsidRDefault="0036010F" w:rsidP="00BD46B3">
      <w:pPr>
        <w:pStyle w:val="PanelPara"/>
      </w:pPr>
      <w:bookmarkStart w:id="22" w:name="_Hlk156833226"/>
      <w:bookmarkEnd w:id="21"/>
      <w:r w:rsidRPr="00073E24">
        <w:t xml:space="preserve">The </w:t>
      </w:r>
      <w:r>
        <w:t>PFCC</w:t>
      </w:r>
      <w:r w:rsidRPr="00073E24">
        <w:t xml:space="preserve"> is required to approve a </w:t>
      </w:r>
      <w:r w:rsidRPr="00BD46B3">
        <w:t>Treasury Management Strategy</w:t>
      </w:r>
      <w:r w:rsidRPr="00073E24">
        <w:t xml:space="preserve"> each year, setting out the policy and </w:t>
      </w:r>
      <w:r w:rsidRPr="00BD46B3">
        <w:t>approach</w:t>
      </w:r>
      <w:r w:rsidRPr="00073E24">
        <w:t xml:space="preserve"> to managing investments, borrowing and cashflow, and that </w:t>
      </w:r>
      <w:r w:rsidRPr="00BD46B3">
        <w:t>decisions are taken in accordance with good professional practice</w:t>
      </w:r>
      <w:r w:rsidRPr="00073E24">
        <w:t xml:space="preserve">.  </w:t>
      </w:r>
      <w:r w:rsidRPr="00BD46B3">
        <w:t>This approach is required by the Prudential Code and the Code of Treasury Management published by the Chartered</w:t>
      </w:r>
      <w:r w:rsidRPr="00073E24">
        <w:rPr>
          <w:rFonts w:cs="Arial"/>
        </w:rPr>
        <w:t xml:space="preserve"> Institute of Public Finance and Accountancy (CIPFA).  It ensures that the capital investment plans of local authorities are affordable, prudent and sustainable</w:t>
      </w:r>
      <w:r w:rsidRPr="00592CA9">
        <w:rPr>
          <w:rFonts w:cs="Arial"/>
        </w:rPr>
        <w:t>.  The Joint Independent Audit Committee (JIAC) will consider this document at their March meeting prior to it being placed on the OPFCC website.</w:t>
      </w:r>
    </w:p>
    <w:p w14:paraId="38311D93" w14:textId="77777777" w:rsidR="00693C94" w:rsidRPr="00B8603D" w:rsidRDefault="00693C94" w:rsidP="00693C94"/>
    <w:p w14:paraId="42CE6120" w14:textId="77777777" w:rsidR="00693C94" w:rsidRPr="00EC2F0A" w:rsidRDefault="00693C94" w:rsidP="00693C94">
      <w:pPr>
        <w:pStyle w:val="PanelHeading"/>
      </w:pPr>
      <w:r>
        <w:t>DEVELOPER CONTRIBUTIONS (S106)</w:t>
      </w:r>
    </w:p>
    <w:p w14:paraId="0270DAD3" w14:textId="77777777" w:rsidR="00693C94" w:rsidRPr="00693C94" w:rsidRDefault="00693C94" w:rsidP="00693C94">
      <w:pPr>
        <w:pStyle w:val="PanelPara"/>
      </w:pPr>
      <w:r w:rsidRPr="00693C94">
        <w:t>An experienced Infrastructure Planning Manager is employed jointly across police and fire as part of the Joint Estates Team.  Their role includes working with the unitary authorities to ensure where possible we obtain appropriate funds from developers under Section 106 of the Town and Country Planning Act 1990.</w:t>
      </w:r>
    </w:p>
    <w:p w14:paraId="3E878E18" w14:textId="77777777" w:rsidR="00693C94" w:rsidRPr="00693C94" w:rsidRDefault="00693C94" w:rsidP="00693C94">
      <w:pPr>
        <w:pStyle w:val="PanelPara"/>
      </w:pPr>
      <w:r w:rsidRPr="00693C94">
        <w:t>As present, we are aware of up to an estimated £0.6m for Police and £0.2m for Fire for various developments, but the timing of when these amounts can be drawn down will depend on a number of factors, including milestone points in building progress.</w:t>
      </w:r>
    </w:p>
    <w:p w14:paraId="71630676" w14:textId="77777777" w:rsidR="00693C94" w:rsidRPr="00693C94" w:rsidRDefault="00693C94" w:rsidP="00693C94">
      <w:pPr>
        <w:pStyle w:val="PanelPara"/>
      </w:pPr>
      <w:r w:rsidRPr="00693C94">
        <w:lastRenderedPageBreak/>
        <w:t>More work is ongoing to maximise these funds, and we await progress on legislative changes that would give police and fire more certainty around these contributions.</w:t>
      </w:r>
    </w:p>
    <w:p w14:paraId="7DB3F9C9" w14:textId="77777777" w:rsidR="00B8603D" w:rsidRPr="00592CA9" w:rsidRDefault="00B8603D" w:rsidP="00B8603D"/>
    <w:bookmarkEnd w:id="22"/>
    <w:p w14:paraId="036F0B2B" w14:textId="6F9C5D72" w:rsidR="00BF3C41" w:rsidRPr="0036010F" w:rsidRDefault="0036010F" w:rsidP="00BF3C41">
      <w:pPr>
        <w:pStyle w:val="PanelHeading"/>
      </w:pPr>
      <w:r w:rsidRPr="0036010F">
        <w:t>RESERVES</w:t>
      </w:r>
    </w:p>
    <w:p w14:paraId="61564874" w14:textId="04CB08AE" w:rsidR="0036010F" w:rsidRPr="00A12DDB" w:rsidRDefault="0036010F" w:rsidP="00BD46B3">
      <w:pPr>
        <w:pStyle w:val="PanelPara"/>
      </w:pPr>
      <w:bookmarkStart w:id="23" w:name="_Hlk156833283"/>
      <w:r w:rsidRPr="00A12DDB">
        <w:t xml:space="preserve">In considering the budget, the MTFP and level of precept options, it is important to look closely at the size, level and type of reserves held by </w:t>
      </w:r>
      <w:r>
        <w:t>NCFRA</w:t>
      </w:r>
      <w:r w:rsidRPr="00A12DDB">
        <w:t xml:space="preserve"> to ensure that they are adequate to cover the purposes for which they are held and to provide some safeguards against the future risks identified within the budget.</w:t>
      </w:r>
      <w:bookmarkEnd w:id="23"/>
      <w:r w:rsidRPr="00A12DDB">
        <w:t xml:space="preserve">  There is also a need to ensure they are not excessive.</w:t>
      </w:r>
    </w:p>
    <w:p w14:paraId="15DF9DED" w14:textId="67B444CA" w:rsidR="00BF3C41" w:rsidRPr="00FC4AB8" w:rsidRDefault="009C070A" w:rsidP="00BD46B3">
      <w:pPr>
        <w:pStyle w:val="PanelPara"/>
      </w:pPr>
      <w:r w:rsidRPr="00BD46B3">
        <w:t>NCFRA transferred on the 1</w:t>
      </w:r>
      <w:r w:rsidR="00D6320F" w:rsidRPr="00581F2C">
        <w:rPr>
          <w:vertAlign w:val="superscript"/>
        </w:rPr>
        <w:t>st</w:t>
      </w:r>
      <w:r w:rsidRPr="00BD46B3">
        <w:t xml:space="preserve"> January 2019 with no </w:t>
      </w:r>
      <w:r w:rsidR="0081263C" w:rsidRPr="00BD46B3">
        <w:t>reserve</w:t>
      </w:r>
      <w:r w:rsidRPr="00BD46B3">
        <w:t xml:space="preserve">s and set in place a three year financial stability plan to build </w:t>
      </w:r>
      <w:r w:rsidR="0081263C" w:rsidRPr="00BD46B3">
        <w:t>reserve</w:t>
      </w:r>
      <w:r w:rsidRPr="00BD46B3">
        <w:t>s and made good progress in doing so</w:t>
      </w:r>
      <w:r w:rsidR="00B03FEA" w:rsidRPr="00BD46B3">
        <w:t xml:space="preserve">. </w:t>
      </w:r>
      <w:r w:rsidR="00BF3C41" w:rsidRPr="00BD46B3">
        <w:t xml:space="preserve"> </w:t>
      </w:r>
      <w:r w:rsidR="00B03FEA" w:rsidRPr="00BD46B3">
        <w:t>B</w:t>
      </w:r>
      <w:r w:rsidR="000877B3" w:rsidRPr="00BD46B3">
        <w:t xml:space="preserve">y </w:t>
      </w:r>
      <w:r w:rsidR="008C38F1" w:rsidRPr="00BD46B3">
        <w:t>2022/23</w:t>
      </w:r>
      <w:r w:rsidR="000877B3" w:rsidRPr="00BD46B3">
        <w:t xml:space="preserve"> </w:t>
      </w:r>
      <w:r w:rsidR="00B03FEA" w:rsidRPr="00BD46B3">
        <w:t xml:space="preserve">they </w:t>
      </w:r>
      <w:r w:rsidR="000877B3" w:rsidRPr="00BD46B3">
        <w:t xml:space="preserve">had exceeded the minimum level of </w:t>
      </w:r>
      <w:r w:rsidR="0081263C" w:rsidRPr="00BD46B3">
        <w:t>general reserve</w:t>
      </w:r>
      <w:r w:rsidR="000877B3" w:rsidRPr="00BD46B3">
        <w:t>s as set out in the financial plans forecast at the time of the governance transfer.</w:t>
      </w:r>
    </w:p>
    <w:p w14:paraId="4C7C837F" w14:textId="1AC315AA" w:rsidR="00FC4AB8" w:rsidRPr="00FC4AB8" w:rsidRDefault="00FC4AB8" w:rsidP="00BD46B3">
      <w:pPr>
        <w:pStyle w:val="PanelPara"/>
      </w:pPr>
      <w:r w:rsidRPr="00A12DDB">
        <w:t xml:space="preserve">The updated Reserves Strategy is attached at Appendix D and will be published on the PFCC’s </w:t>
      </w:r>
      <w:r w:rsidRPr="00FC4AB8">
        <w:t>website for transparency.</w:t>
      </w:r>
    </w:p>
    <w:p w14:paraId="3370F282" w14:textId="77777777" w:rsidR="00FC4AB8" w:rsidRPr="00FC4AB8" w:rsidRDefault="00BF3C41" w:rsidP="00BD46B3">
      <w:pPr>
        <w:pStyle w:val="PanelPara"/>
      </w:pPr>
      <w:r w:rsidRPr="00FC4AB8">
        <w:t>Two types of reserve are held</w:t>
      </w:r>
      <w:r w:rsidR="00D6320F" w:rsidRPr="00FC4AB8">
        <w:t>, as follows</w:t>
      </w:r>
      <w:r w:rsidRPr="00FC4AB8">
        <w:t>:</w:t>
      </w:r>
    </w:p>
    <w:p w14:paraId="7EDBEB8B" w14:textId="7C9784D6" w:rsidR="00FC4AB8" w:rsidRPr="00FC4AB8" w:rsidRDefault="00FC4AB8" w:rsidP="00BD46B3">
      <w:pPr>
        <w:pStyle w:val="PanelPara"/>
      </w:pPr>
      <w:r w:rsidRPr="00FC4AB8">
        <w:t>General Reserve – There is a general reserve which is estimated at 31</w:t>
      </w:r>
      <w:r w:rsidRPr="00FE20FA">
        <w:rPr>
          <w:vertAlign w:val="superscript"/>
        </w:rPr>
        <w:t>st</w:t>
      </w:r>
      <w:r w:rsidRPr="00FC4AB8">
        <w:t xml:space="preserve"> March 2025 at </w:t>
      </w:r>
      <w:r w:rsidRPr="00C14AF0">
        <w:rPr>
          <w:b/>
          <w:bCs/>
        </w:rPr>
        <w:t>£2.0m</w:t>
      </w:r>
      <w:r w:rsidRPr="00FC4AB8">
        <w:t xml:space="preserve">.  This represents around 6% of total funding for 2025/26 and aligns to the guideline level.  The reserves strategy ensures that the general reserve will remain within guideline minimum levels over the MTFP.  It is prudent to have such a reserve at this level to enable the organisation to withstand unexpected events which may have financial implications.  </w:t>
      </w:r>
    </w:p>
    <w:p w14:paraId="5909E41C" w14:textId="53D4C571" w:rsidR="00BD09A5" w:rsidRPr="00FC4AB8" w:rsidRDefault="00FC4AB8" w:rsidP="00BD46B3">
      <w:pPr>
        <w:pStyle w:val="PanelPara"/>
      </w:pPr>
      <w:r w:rsidRPr="00FC4AB8">
        <w:t xml:space="preserve">Earmarked Reserves – </w:t>
      </w:r>
      <w:r w:rsidR="005970A7" w:rsidRPr="00FC4AB8">
        <w:t>As at 3</w:t>
      </w:r>
      <w:r w:rsidR="00E73A1C" w:rsidRPr="00FC4AB8">
        <w:t>1</w:t>
      </w:r>
      <w:r w:rsidR="00E73A1C" w:rsidRPr="00FE20FA">
        <w:rPr>
          <w:vertAlign w:val="superscript"/>
        </w:rPr>
        <w:t>st</w:t>
      </w:r>
      <w:r w:rsidR="005970A7" w:rsidRPr="00FC4AB8">
        <w:t xml:space="preserve"> March 202</w:t>
      </w:r>
      <w:r w:rsidR="00213BB1" w:rsidRPr="00FC4AB8">
        <w:t>5</w:t>
      </w:r>
      <w:r w:rsidR="005970A7" w:rsidRPr="00FC4AB8">
        <w:t xml:space="preserve">, the </w:t>
      </w:r>
      <w:r w:rsidR="00213BB1" w:rsidRPr="00FC4AB8">
        <w:t xml:space="preserve">forecast </w:t>
      </w:r>
      <w:r w:rsidR="005970A7" w:rsidRPr="00FC4AB8">
        <w:t>balance</w:t>
      </w:r>
      <w:r w:rsidRPr="00FC4AB8">
        <w:t>s</w:t>
      </w:r>
      <w:r w:rsidR="005970A7" w:rsidRPr="00FC4AB8">
        <w:t xml:space="preserve"> on the</w:t>
      </w:r>
      <w:r w:rsidR="00A607E3" w:rsidRPr="00FC4AB8">
        <w:t xml:space="preserve"> earmarked capital </w:t>
      </w:r>
      <w:r w:rsidR="0081263C" w:rsidRPr="00FC4AB8">
        <w:t>reserve</w:t>
      </w:r>
      <w:r w:rsidR="001F7CE7" w:rsidRPr="00FC4AB8">
        <w:t xml:space="preserve">s </w:t>
      </w:r>
      <w:r w:rsidRPr="00FC4AB8">
        <w:t xml:space="preserve">are </w:t>
      </w:r>
      <w:r w:rsidR="001F7CE7" w:rsidRPr="00C14AF0">
        <w:rPr>
          <w:b/>
          <w:bCs/>
        </w:rPr>
        <w:t>£</w:t>
      </w:r>
      <w:r w:rsidR="00213BB1" w:rsidRPr="00C14AF0">
        <w:rPr>
          <w:b/>
          <w:bCs/>
        </w:rPr>
        <w:t>1</w:t>
      </w:r>
      <w:r w:rsidR="007B5EED" w:rsidRPr="00C14AF0">
        <w:rPr>
          <w:b/>
          <w:bCs/>
        </w:rPr>
        <w:t>.9</w:t>
      </w:r>
      <w:r w:rsidR="00213BB1" w:rsidRPr="00C14AF0">
        <w:rPr>
          <w:b/>
          <w:bCs/>
        </w:rPr>
        <w:t>7</w:t>
      </w:r>
      <w:r w:rsidR="001F7CE7" w:rsidRPr="00C14AF0">
        <w:rPr>
          <w:b/>
          <w:bCs/>
        </w:rPr>
        <w:t>m</w:t>
      </w:r>
      <w:r w:rsidR="001F7CE7" w:rsidRPr="00FC4AB8">
        <w:t xml:space="preserve"> and revenue </w:t>
      </w:r>
      <w:r w:rsidRPr="00FC4AB8">
        <w:t>are</w:t>
      </w:r>
      <w:r w:rsidR="001F7CE7" w:rsidRPr="00FC4AB8">
        <w:t xml:space="preserve"> </w:t>
      </w:r>
      <w:r w:rsidR="001F7CE7" w:rsidRPr="00C14AF0">
        <w:rPr>
          <w:b/>
          <w:bCs/>
        </w:rPr>
        <w:t>£</w:t>
      </w:r>
      <w:r w:rsidR="007B5EED" w:rsidRPr="00C14AF0">
        <w:rPr>
          <w:b/>
          <w:bCs/>
        </w:rPr>
        <w:t>2</w:t>
      </w:r>
      <w:r w:rsidR="001F7CE7" w:rsidRPr="00C14AF0">
        <w:rPr>
          <w:b/>
          <w:bCs/>
        </w:rPr>
        <w:t>.</w:t>
      </w:r>
      <w:r w:rsidR="00213BB1" w:rsidRPr="00C14AF0">
        <w:rPr>
          <w:b/>
          <w:bCs/>
        </w:rPr>
        <w:t>79</w:t>
      </w:r>
      <w:r w:rsidR="001F7CE7" w:rsidRPr="00C14AF0">
        <w:rPr>
          <w:b/>
          <w:bCs/>
        </w:rPr>
        <w:t>m</w:t>
      </w:r>
      <w:r w:rsidR="001F7CE7" w:rsidRPr="00FC4AB8">
        <w:t>.</w:t>
      </w:r>
    </w:p>
    <w:p w14:paraId="2BACA0BB" w14:textId="3641F538" w:rsidR="00C33A64" w:rsidRPr="00213BB1" w:rsidRDefault="00053369" w:rsidP="00BD46B3">
      <w:pPr>
        <w:pStyle w:val="PanelPara"/>
      </w:pPr>
      <w:r w:rsidRPr="00213BB1">
        <w:t xml:space="preserve">NCFRA has made good progress in establishing </w:t>
      </w:r>
      <w:r w:rsidR="0081263C" w:rsidRPr="00213BB1">
        <w:t>reserve</w:t>
      </w:r>
      <w:r w:rsidRPr="00213BB1">
        <w:t>s and</w:t>
      </w:r>
      <w:r w:rsidR="00BF3C41" w:rsidRPr="00213BB1">
        <w:t xml:space="preserve"> </w:t>
      </w:r>
      <w:r w:rsidRPr="00213BB1">
        <w:t xml:space="preserve">it is the view of the </w:t>
      </w:r>
      <w:r w:rsidR="00213BB1" w:rsidRPr="00213BB1">
        <w:t>s</w:t>
      </w:r>
      <w:r w:rsidRPr="00213BB1">
        <w:t xml:space="preserve">151 officer that </w:t>
      </w:r>
      <w:r w:rsidR="0081263C" w:rsidRPr="00213BB1">
        <w:t xml:space="preserve">general </w:t>
      </w:r>
      <w:r w:rsidR="00FC4AB8">
        <w:t xml:space="preserve">and earmarked </w:t>
      </w:r>
      <w:r w:rsidR="0081263C" w:rsidRPr="00213BB1">
        <w:t>reserve</w:t>
      </w:r>
      <w:r w:rsidRPr="00213BB1">
        <w:t>s are now at a</w:t>
      </w:r>
      <w:r w:rsidR="002125C2" w:rsidRPr="00213BB1">
        <w:t xml:space="preserve">n adequate </w:t>
      </w:r>
      <w:r w:rsidRPr="00213BB1">
        <w:t>level</w:t>
      </w:r>
      <w:r w:rsidR="00FC4AB8">
        <w:t xml:space="preserve">.  Whilst plans are in place to utilise some earmarked funds, </w:t>
      </w:r>
      <w:r w:rsidR="00C33A64" w:rsidRPr="00213BB1">
        <w:t xml:space="preserve">it </w:t>
      </w:r>
      <w:r w:rsidR="00FC4AB8">
        <w:t>will be</w:t>
      </w:r>
      <w:r w:rsidR="00C33A64" w:rsidRPr="00213BB1">
        <w:t xml:space="preserve"> prudent to </w:t>
      </w:r>
      <w:r w:rsidR="00FC4AB8">
        <w:t>replenish</w:t>
      </w:r>
      <w:r w:rsidR="00C9443A" w:rsidRPr="00213BB1">
        <w:t xml:space="preserve"> </w:t>
      </w:r>
      <w:r w:rsidR="00FC4AB8">
        <w:t>them</w:t>
      </w:r>
      <w:r w:rsidR="00C9443A" w:rsidRPr="00213BB1">
        <w:t xml:space="preserve"> where </w:t>
      </w:r>
      <w:r w:rsidR="0021132A">
        <w:t>possible</w:t>
      </w:r>
      <w:r w:rsidR="00BF3C41" w:rsidRPr="00213BB1">
        <w:t xml:space="preserve"> for additional resilience</w:t>
      </w:r>
      <w:r w:rsidR="00001328" w:rsidRPr="00213BB1">
        <w:t xml:space="preserve">. </w:t>
      </w:r>
      <w:r w:rsidR="00BF3C41" w:rsidRPr="00213BB1">
        <w:t xml:space="preserve"> </w:t>
      </w:r>
      <w:r w:rsidR="00001328" w:rsidRPr="00213BB1">
        <w:t>This will assist in smoothing potenti</w:t>
      </w:r>
      <w:r w:rsidR="00C9443A" w:rsidRPr="00213BB1">
        <w:t>al funding impacts and to support the funding of equipment and transformation activities.</w:t>
      </w:r>
      <w:r w:rsidR="00001328" w:rsidRPr="00213BB1">
        <w:t xml:space="preserve"> </w:t>
      </w:r>
    </w:p>
    <w:p w14:paraId="5817DC6A" w14:textId="41BC5A8B" w:rsidR="00C14AF0" w:rsidRDefault="00C14AF0">
      <w:pPr>
        <w:spacing w:line="240" w:lineRule="auto"/>
        <w:rPr>
          <w:rFonts w:asciiTheme="minorHAnsi" w:hAnsiTheme="minorHAnsi" w:cstheme="minorHAnsi"/>
          <w:b/>
          <w:sz w:val="24"/>
          <w:szCs w:val="24"/>
        </w:rPr>
      </w:pPr>
    </w:p>
    <w:p w14:paraId="48D02AEE" w14:textId="4922D37A" w:rsidR="00C33A64" w:rsidRPr="00213BB1" w:rsidRDefault="0021132A" w:rsidP="00BF3C41">
      <w:pPr>
        <w:pStyle w:val="PanelHeading"/>
      </w:pPr>
      <w:r w:rsidRPr="00213BB1">
        <w:t>ROBUSTNESS OF THE BUDGET – STATEMENT OF THE S151 CHIEF FINANCE OFFICER</w:t>
      </w:r>
    </w:p>
    <w:p w14:paraId="24A976C6" w14:textId="5F34B763" w:rsidR="00BF3C41" w:rsidRPr="00B728F3" w:rsidRDefault="006B5EDE" w:rsidP="00BD46B3">
      <w:pPr>
        <w:pStyle w:val="PanelPara"/>
      </w:pPr>
      <w:r w:rsidRPr="00B728F3">
        <w:t xml:space="preserve">Section 25 of the Local Government Act 2003 places a duty on the </w:t>
      </w:r>
      <w:r w:rsidR="00B728F3" w:rsidRPr="00B728F3">
        <w:t>s</w:t>
      </w:r>
      <w:r w:rsidR="00C9443A" w:rsidRPr="00B728F3">
        <w:t xml:space="preserve">151 </w:t>
      </w:r>
      <w:r w:rsidR="0021132A">
        <w:t xml:space="preserve">Officer </w:t>
      </w:r>
      <w:r w:rsidRPr="00B728F3">
        <w:t>to make a report to the authority on:</w:t>
      </w:r>
    </w:p>
    <w:p w14:paraId="7549FC3B" w14:textId="77777777" w:rsidR="00BF3C41" w:rsidRPr="00B728F3" w:rsidRDefault="006B5EDE" w:rsidP="00BD46B3">
      <w:pPr>
        <w:pStyle w:val="PanelPara2"/>
      </w:pPr>
      <w:r w:rsidRPr="00B728F3">
        <w:t>The robustness of the estimates included within the budget</w:t>
      </w:r>
      <w:r w:rsidR="00BF3C41" w:rsidRPr="00B728F3">
        <w:t>.</w:t>
      </w:r>
    </w:p>
    <w:p w14:paraId="5A39D67B" w14:textId="325E504E" w:rsidR="006B5EDE" w:rsidRPr="00B728F3" w:rsidRDefault="006B5EDE" w:rsidP="00BD46B3">
      <w:pPr>
        <w:pStyle w:val="PanelPara2"/>
      </w:pPr>
      <w:r w:rsidRPr="00B728F3">
        <w:t xml:space="preserve">The adequacy of the </w:t>
      </w:r>
      <w:r w:rsidR="0081263C" w:rsidRPr="00B728F3">
        <w:t>reserve</w:t>
      </w:r>
      <w:r w:rsidRPr="00B728F3">
        <w:t>s and balances</w:t>
      </w:r>
      <w:r w:rsidR="00BF3C41" w:rsidRPr="00B728F3">
        <w:t>.</w:t>
      </w:r>
    </w:p>
    <w:p w14:paraId="08735DA1" w14:textId="1642EB10" w:rsidR="006B5EDE" w:rsidRPr="00B728F3" w:rsidRDefault="006B5EDE" w:rsidP="00BD46B3">
      <w:pPr>
        <w:pStyle w:val="PanelPara"/>
      </w:pPr>
      <w:r w:rsidRPr="00B728F3">
        <w:t>The PFCC must have regard to this when considering the budget and the report must be shared with the Police, Fire and Crime Panel.</w:t>
      </w:r>
    </w:p>
    <w:p w14:paraId="29D05C89" w14:textId="0860F2DB" w:rsidR="00BF3C41" w:rsidRPr="00B728F3" w:rsidRDefault="006B5EDE" w:rsidP="00BD46B3">
      <w:pPr>
        <w:pStyle w:val="PanelPara"/>
      </w:pPr>
      <w:r w:rsidRPr="00B728F3">
        <w:t xml:space="preserve">In </w:t>
      </w:r>
      <w:r w:rsidR="00BF3C41" w:rsidRPr="00B728F3">
        <w:t>t</w:t>
      </w:r>
      <w:r w:rsidRPr="00B728F3">
        <w:t>he</w:t>
      </w:r>
      <w:r w:rsidR="00BF3C41" w:rsidRPr="00B728F3">
        <w:t>i</w:t>
      </w:r>
      <w:r w:rsidRPr="00B728F3">
        <w:t>r considerations</w:t>
      </w:r>
      <w:r w:rsidR="008B4D54" w:rsidRPr="00B728F3">
        <w:t>,</w:t>
      </w:r>
      <w:r w:rsidRPr="00B728F3">
        <w:t xml:space="preserve"> the </w:t>
      </w:r>
      <w:r w:rsidR="00B728F3" w:rsidRPr="00B728F3">
        <w:t>s</w:t>
      </w:r>
      <w:r w:rsidR="00C9443A" w:rsidRPr="00B728F3">
        <w:t xml:space="preserve">151 </w:t>
      </w:r>
      <w:r w:rsidRPr="00B728F3">
        <w:t>Officer is mindful of other associated statutory safeguards designed to support the authority</w:t>
      </w:r>
      <w:r w:rsidR="00E06B24" w:rsidRPr="00B728F3">
        <w:t>:</w:t>
      </w:r>
    </w:p>
    <w:p w14:paraId="091DF7D4" w14:textId="77777777" w:rsidR="00BF3C41" w:rsidRPr="00B728F3" w:rsidRDefault="006B5EDE" w:rsidP="00BD46B3">
      <w:pPr>
        <w:pStyle w:val="PanelPara2"/>
      </w:pPr>
      <w:r w:rsidRPr="00B728F3">
        <w:lastRenderedPageBreak/>
        <w:t xml:space="preserve">Section 151 of the Local Government Act 1972 which requires the authority to make arrangements for the proper administration of its financial affairs and that the </w:t>
      </w:r>
      <w:r w:rsidR="00760581" w:rsidRPr="00B728F3">
        <w:t>Chief Financial O</w:t>
      </w:r>
      <w:r w:rsidRPr="00B728F3">
        <w:t>fficer has personal responsibility for such administration.</w:t>
      </w:r>
    </w:p>
    <w:p w14:paraId="0511C9D5" w14:textId="77777777" w:rsidR="00BF3C41" w:rsidRPr="00B728F3" w:rsidRDefault="006B5EDE" w:rsidP="00BD46B3">
      <w:pPr>
        <w:pStyle w:val="PanelPara2"/>
      </w:pPr>
      <w:r w:rsidRPr="00B728F3">
        <w:t>Sections 32, 43 &amp; 93 of the Local Government Finance Act 1992 which requires the authority to set a balanced budget</w:t>
      </w:r>
      <w:r w:rsidR="00BF3C41" w:rsidRPr="00B728F3">
        <w:t>.</w:t>
      </w:r>
    </w:p>
    <w:p w14:paraId="099FECD0" w14:textId="77777777" w:rsidR="00BF3C41" w:rsidRPr="00B728F3" w:rsidRDefault="006B5EDE" w:rsidP="00BD46B3">
      <w:pPr>
        <w:pStyle w:val="PanelPara2"/>
      </w:pPr>
      <w:r w:rsidRPr="00B728F3">
        <w:t>The Prudential Code introduced as part of the Local Government Act 2003 which sets out the framework within which the authority must manage its investments, including adequate planning and budget estimates</w:t>
      </w:r>
      <w:r w:rsidR="00BF3C41" w:rsidRPr="00B728F3">
        <w:t>.</w:t>
      </w:r>
    </w:p>
    <w:p w14:paraId="3BD0891D" w14:textId="7CA60F25" w:rsidR="006B5EDE" w:rsidRPr="00B728F3" w:rsidRDefault="006B5EDE" w:rsidP="00BD46B3">
      <w:pPr>
        <w:pStyle w:val="PanelPara2"/>
      </w:pPr>
      <w:r w:rsidRPr="00B728F3">
        <w:t>The external auditor’s duty to assess the adequacy of the authority’s proper arrangements to secure economy, efficiency and effectiveness (‘value for money’)</w:t>
      </w:r>
    </w:p>
    <w:p w14:paraId="13B5765A" w14:textId="4634212E" w:rsidR="006B5EDE" w:rsidRPr="00B728F3" w:rsidRDefault="006B5EDE" w:rsidP="00BD46B3">
      <w:pPr>
        <w:pStyle w:val="PanelPara"/>
      </w:pPr>
      <w:r w:rsidRPr="00B728F3">
        <w:t xml:space="preserve">To reinforce these obligations, </w:t>
      </w:r>
      <w:r w:rsidR="0021132A">
        <w:t>S</w:t>
      </w:r>
      <w:r w:rsidRPr="00B728F3">
        <w:t xml:space="preserve">ection 114 of the Local Government Finance Act 1988 requires the </w:t>
      </w:r>
      <w:r w:rsidR="00B728F3" w:rsidRPr="00B728F3">
        <w:t>s</w:t>
      </w:r>
      <w:r w:rsidR="00C9443A" w:rsidRPr="00B728F3">
        <w:t xml:space="preserve">151 </w:t>
      </w:r>
      <w:r w:rsidRPr="00B728F3">
        <w:t xml:space="preserve">Officer to report in consultation with the Monitoring </w:t>
      </w:r>
      <w:r w:rsidR="005011AD" w:rsidRPr="00B728F3">
        <w:t>Officer if</w:t>
      </w:r>
      <w:r w:rsidRPr="00B728F3">
        <w:t xml:space="preserve"> there is or is likely to be unlawful expenditure or an unbalanced budget</w:t>
      </w:r>
      <w:r w:rsidR="008B4D54" w:rsidRPr="00B728F3">
        <w:t>.</w:t>
      </w:r>
    </w:p>
    <w:p w14:paraId="5171299D" w14:textId="276185E0" w:rsidR="006B5EDE" w:rsidRPr="00B728F3" w:rsidRDefault="006B5EDE" w:rsidP="00BD46B3">
      <w:pPr>
        <w:pStyle w:val="PanelPara"/>
      </w:pPr>
      <w:r w:rsidRPr="00B728F3">
        <w:t xml:space="preserve">This report has </w:t>
      </w:r>
      <w:r w:rsidR="008B4D54" w:rsidRPr="00B728F3">
        <w:t>set out the</w:t>
      </w:r>
      <w:r w:rsidRPr="00B728F3">
        <w:t xml:space="preserve"> detail</w:t>
      </w:r>
      <w:r w:rsidR="008B4D54" w:rsidRPr="00B728F3">
        <w:t>ed</w:t>
      </w:r>
      <w:r w:rsidRPr="00B728F3">
        <w:t xml:space="preserve"> budget setting process that has taken place and </w:t>
      </w:r>
      <w:r w:rsidR="008B4D54" w:rsidRPr="00B728F3">
        <w:t xml:space="preserve">the work undertaken to </w:t>
      </w:r>
      <w:r w:rsidRPr="00B728F3">
        <w:t>ensure the budget is as realistic, deliverable and achievable as possible.</w:t>
      </w:r>
    </w:p>
    <w:p w14:paraId="7341C2D8" w14:textId="26C04A6B" w:rsidR="001B20EF" w:rsidRPr="00B728F3" w:rsidRDefault="006B5EDE" w:rsidP="00BD46B3">
      <w:pPr>
        <w:pStyle w:val="PanelPara"/>
      </w:pPr>
      <w:r w:rsidRPr="00B728F3">
        <w:t xml:space="preserve">The </w:t>
      </w:r>
      <w:r w:rsidR="00C33A64" w:rsidRPr="00B728F3">
        <w:t xml:space="preserve">Joint Finance </w:t>
      </w:r>
      <w:r w:rsidR="00B728F3" w:rsidRPr="00B728F3">
        <w:t xml:space="preserve">Team </w:t>
      </w:r>
      <w:r w:rsidR="00C33A64" w:rsidRPr="00B728F3">
        <w:t>ha</w:t>
      </w:r>
      <w:r w:rsidR="00B728F3" w:rsidRPr="00B728F3">
        <w:t>ve</w:t>
      </w:r>
      <w:r w:rsidR="00C33A64" w:rsidRPr="00B728F3">
        <w:t xml:space="preserve"> worked closely with the Fire </w:t>
      </w:r>
      <w:r w:rsidR="00B728F3" w:rsidRPr="00B728F3">
        <w:t>Senior Leadership Team,</w:t>
      </w:r>
      <w:r w:rsidR="00C33A64" w:rsidRPr="00B728F3">
        <w:t xml:space="preserve"> </w:t>
      </w:r>
      <w:r w:rsidRPr="00B728F3">
        <w:t xml:space="preserve">budget holders and the </w:t>
      </w:r>
      <w:r w:rsidR="00B728F3" w:rsidRPr="00B728F3">
        <w:t>s151 Officer</w:t>
      </w:r>
      <w:r w:rsidRPr="00B728F3">
        <w:t xml:space="preserve"> </w:t>
      </w:r>
      <w:r w:rsidR="001B20EF" w:rsidRPr="00B728F3">
        <w:t xml:space="preserve">to deliver the </w:t>
      </w:r>
      <w:r w:rsidR="00B728F3" w:rsidRPr="00B728F3">
        <w:t xml:space="preserve">proposed </w:t>
      </w:r>
      <w:r w:rsidR="001B20EF" w:rsidRPr="00B728F3">
        <w:t>budget</w:t>
      </w:r>
      <w:r w:rsidR="00C33A64" w:rsidRPr="00B728F3">
        <w:t xml:space="preserve"> and savings plan, ensuring </w:t>
      </w:r>
      <w:r w:rsidR="001B20EF" w:rsidRPr="00B728F3">
        <w:t>that effective scrutiny and challenge has taken place</w:t>
      </w:r>
      <w:r w:rsidR="00C33A64" w:rsidRPr="00B728F3">
        <w:t xml:space="preserve"> throughout</w:t>
      </w:r>
      <w:r w:rsidR="001B20EF" w:rsidRPr="00B728F3">
        <w:t xml:space="preserve">. </w:t>
      </w:r>
      <w:r w:rsidR="00BF3C41" w:rsidRPr="00B728F3">
        <w:t xml:space="preserve"> </w:t>
      </w:r>
      <w:r w:rsidR="00C33A64" w:rsidRPr="00B728F3">
        <w:t xml:space="preserve">The </w:t>
      </w:r>
      <w:r w:rsidR="00B728F3" w:rsidRPr="00B728F3">
        <w:t>s</w:t>
      </w:r>
      <w:r w:rsidR="00C33A64" w:rsidRPr="00B728F3">
        <w:t>151</w:t>
      </w:r>
      <w:r w:rsidR="00BF3C41" w:rsidRPr="00B728F3">
        <w:t xml:space="preserve"> O</w:t>
      </w:r>
      <w:r w:rsidR="00C33A64" w:rsidRPr="00B728F3">
        <w:t xml:space="preserve">fficer has </w:t>
      </w:r>
      <w:r w:rsidR="00C9443A" w:rsidRPr="00B728F3">
        <w:t xml:space="preserve">undertaken scrutiny </w:t>
      </w:r>
      <w:r w:rsidR="008B4D54" w:rsidRPr="00B728F3">
        <w:t>and strategic review of the proposals</w:t>
      </w:r>
      <w:r w:rsidR="00C9443A" w:rsidRPr="00B728F3">
        <w:t xml:space="preserve"> </w:t>
      </w:r>
      <w:r w:rsidR="00B728F3" w:rsidRPr="00B728F3">
        <w:t xml:space="preserve">with the PFCC </w:t>
      </w:r>
      <w:r w:rsidR="00C9443A" w:rsidRPr="00B728F3">
        <w:t xml:space="preserve">on two </w:t>
      </w:r>
      <w:r w:rsidR="00B728F3" w:rsidRPr="00B728F3">
        <w:t xml:space="preserve">formal </w:t>
      </w:r>
      <w:r w:rsidR="00C9443A" w:rsidRPr="00B728F3">
        <w:t xml:space="preserve">occasions and </w:t>
      </w:r>
      <w:r w:rsidR="008B4D54" w:rsidRPr="00B728F3">
        <w:t xml:space="preserve">has been </w:t>
      </w:r>
      <w:r w:rsidR="00C9443A" w:rsidRPr="00B728F3">
        <w:t xml:space="preserve">updated regularly </w:t>
      </w:r>
      <w:r w:rsidR="007029AF" w:rsidRPr="00B728F3">
        <w:t xml:space="preserve">throughout the budget cycle </w:t>
      </w:r>
      <w:r w:rsidR="00C9443A" w:rsidRPr="00B728F3">
        <w:t>as appropriate.</w:t>
      </w:r>
    </w:p>
    <w:p w14:paraId="4A328A0C" w14:textId="0319B1F6" w:rsidR="000C2930" w:rsidRPr="00B728F3" w:rsidRDefault="006B5EDE" w:rsidP="00BD46B3">
      <w:pPr>
        <w:pStyle w:val="PanelPara"/>
      </w:pPr>
      <w:r w:rsidRPr="00B728F3">
        <w:t>The estimates and assumptions are based on the best information available at the time of formulating the budget in line with the fundamental accounting concepts and are reasonable and prudent.</w:t>
      </w:r>
    </w:p>
    <w:p w14:paraId="7E22461F" w14:textId="563BDDE5" w:rsidR="00300676" w:rsidRPr="00B728F3" w:rsidRDefault="000C2930" w:rsidP="00BD46B3">
      <w:pPr>
        <w:pStyle w:val="PanelPara"/>
      </w:pPr>
      <w:r w:rsidRPr="00B728F3">
        <w:t xml:space="preserve">The Section 25 Statement of the </w:t>
      </w:r>
      <w:r w:rsidR="00B728F3" w:rsidRPr="00B728F3">
        <w:t>s</w:t>
      </w:r>
      <w:r w:rsidRPr="00B728F3">
        <w:t xml:space="preserve">151 Chief Finance Officer for Northamptonshire Fire and Rescue Authority is included at Appendix </w:t>
      </w:r>
      <w:r w:rsidR="00BD0B11" w:rsidRPr="00B728F3">
        <w:t>C</w:t>
      </w:r>
      <w:r w:rsidRPr="00B728F3">
        <w:t>.</w:t>
      </w:r>
    </w:p>
    <w:p w14:paraId="279EE7A8" w14:textId="77777777" w:rsidR="00D953AE" w:rsidRPr="00450555" w:rsidRDefault="00D953AE" w:rsidP="00D953AE">
      <w:pPr>
        <w:pStyle w:val="Header"/>
        <w:ind w:right="-990"/>
        <w:rPr>
          <w:rFonts w:asciiTheme="minorHAnsi" w:hAnsiTheme="minorHAnsi" w:cstheme="minorHAnsi"/>
          <w:b/>
          <w:sz w:val="24"/>
          <w:szCs w:val="24"/>
          <w:highlight w:val="yellow"/>
          <w:u w:val="single"/>
        </w:rPr>
      </w:pPr>
    </w:p>
    <w:p w14:paraId="1629D21B" w14:textId="1776FCCC" w:rsidR="00D953AE" w:rsidRPr="0021132A" w:rsidRDefault="0021132A" w:rsidP="00D953AE">
      <w:pPr>
        <w:pStyle w:val="Header"/>
        <w:ind w:right="-990"/>
        <w:rPr>
          <w:rFonts w:asciiTheme="minorHAnsi" w:hAnsiTheme="minorHAnsi" w:cstheme="minorHAnsi"/>
          <w:b/>
          <w:sz w:val="24"/>
          <w:szCs w:val="24"/>
        </w:rPr>
      </w:pPr>
      <w:r w:rsidRPr="0021132A">
        <w:rPr>
          <w:rFonts w:asciiTheme="minorHAnsi" w:hAnsiTheme="minorHAnsi" w:cstheme="minorHAnsi"/>
          <w:b/>
          <w:sz w:val="24"/>
          <w:szCs w:val="24"/>
        </w:rPr>
        <w:t>LIST OF APPENDICES</w:t>
      </w:r>
    </w:p>
    <w:p w14:paraId="5D6E0084" w14:textId="77777777" w:rsidR="00D953AE" w:rsidRPr="0021132A" w:rsidRDefault="00D953AE" w:rsidP="00D953AE">
      <w:pPr>
        <w:pStyle w:val="Header"/>
        <w:ind w:right="-990"/>
        <w:rPr>
          <w:rFonts w:asciiTheme="minorHAnsi" w:hAnsiTheme="minorHAnsi" w:cstheme="minorHAnsi"/>
          <w:sz w:val="24"/>
          <w:szCs w:val="24"/>
        </w:rPr>
      </w:pPr>
    </w:p>
    <w:p w14:paraId="6016B652" w14:textId="77777777" w:rsidR="00D953AE" w:rsidRPr="0021132A" w:rsidRDefault="00D953AE" w:rsidP="00D953AE">
      <w:pPr>
        <w:pStyle w:val="Header"/>
        <w:ind w:right="-990"/>
        <w:rPr>
          <w:rFonts w:asciiTheme="minorHAnsi" w:hAnsiTheme="minorHAnsi" w:cstheme="minorHAnsi"/>
          <w:sz w:val="24"/>
          <w:szCs w:val="24"/>
        </w:rPr>
      </w:pPr>
      <w:r w:rsidRPr="0021132A">
        <w:rPr>
          <w:rFonts w:asciiTheme="minorHAnsi" w:hAnsiTheme="minorHAnsi" w:cstheme="minorHAnsi"/>
          <w:sz w:val="24"/>
          <w:szCs w:val="24"/>
        </w:rPr>
        <w:t>Appendix A - Consultation on the Precept</w:t>
      </w:r>
    </w:p>
    <w:p w14:paraId="625D56FB" w14:textId="77777777" w:rsidR="00D953AE" w:rsidRPr="0021132A" w:rsidRDefault="00D953AE" w:rsidP="00D953AE">
      <w:pPr>
        <w:pStyle w:val="Header"/>
        <w:ind w:right="-990"/>
        <w:rPr>
          <w:rFonts w:asciiTheme="minorHAnsi" w:hAnsiTheme="minorHAnsi" w:cstheme="minorHAnsi"/>
          <w:sz w:val="24"/>
          <w:szCs w:val="24"/>
        </w:rPr>
      </w:pPr>
      <w:r w:rsidRPr="0021132A">
        <w:rPr>
          <w:rFonts w:asciiTheme="minorHAnsi" w:hAnsiTheme="minorHAnsi" w:cstheme="minorHAnsi"/>
          <w:sz w:val="24"/>
          <w:szCs w:val="24"/>
        </w:rPr>
        <w:t>Appendix B - Medium Term Financial Plan</w:t>
      </w:r>
    </w:p>
    <w:p w14:paraId="31DECA4E" w14:textId="77777777" w:rsidR="00D953AE" w:rsidRPr="0021132A" w:rsidRDefault="00D953AE" w:rsidP="00D953AE">
      <w:pPr>
        <w:pStyle w:val="Header"/>
        <w:ind w:right="-990"/>
        <w:rPr>
          <w:rFonts w:asciiTheme="minorHAnsi" w:hAnsiTheme="minorHAnsi" w:cstheme="minorHAnsi"/>
          <w:sz w:val="24"/>
          <w:szCs w:val="24"/>
        </w:rPr>
      </w:pPr>
      <w:r w:rsidRPr="0021132A">
        <w:rPr>
          <w:rFonts w:asciiTheme="minorHAnsi" w:hAnsiTheme="minorHAnsi" w:cstheme="minorHAnsi"/>
          <w:sz w:val="24"/>
          <w:szCs w:val="24"/>
        </w:rPr>
        <w:t>Appendix C - Section 25 Report of the Section 151 Chief Finance Officer</w:t>
      </w:r>
    </w:p>
    <w:p w14:paraId="4B03D41F" w14:textId="77777777" w:rsidR="00D953AE" w:rsidRPr="0021132A" w:rsidRDefault="00D953AE" w:rsidP="00D953AE">
      <w:pPr>
        <w:pStyle w:val="Header"/>
        <w:ind w:right="-990"/>
        <w:rPr>
          <w:rFonts w:asciiTheme="minorHAnsi" w:hAnsiTheme="minorHAnsi" w:cstheme="minorHAnsi"/>
          <w:sz w:val="24"/>
          <w:szCs w:val="24"/>
        </w:rPr>
      </w:pPr>
      <w:r w:rsidRPr="0021132A">
        <w:rPr>
          <w:rFonts w:asciiTheme="minorHAnsi" w:hAnsiTheme="minorHAnsi" w:cstheme="minorHAnsi"/>
          <w:sz w:val="24"/>
          <w:szCs w:val="24"/>
        </w:rPr>
        <w:t>Appendix D - Reserves Strategy</w:t>
      </w:r>
    </w:p>
    <w:p w14:paraId="27C698A7" w14:textId="77777777" w:rsidR="00375414" w:rsidRPr="0021132A" w:rsidRDefault="00375414" w:rsidP="00AA06A9">
      <w:pPr>
        <w:pStyle w:val="Header"/>
        <w:ind w:right="-990"/>
        <w:rPr>
          <w:rFonts w:asciiTheme="minorHAnsi" w:hAnsiTheme="minorHAnsi" w:cs="Arial"/>
          <w:b/>
          <w:sz w:val="24"/>
          <w:szCs w:val="24"/>
          <w:u w:val="single"/>
        </w:rPr>
      </w:pPr>
    </w:p>
    <w:p w14:paraId="3664FB18" w14:textId="5A824B97" w:rsidR="00D953AE" w:rsidRPr="0021132A" w:rsidRDefault="0021132A" w:rsidP="00D953AE">
      <w:pPr>
        <w:pStyle w:val="Header"/>
        <w:ind w:right="-990"/>
        <w:rPr>
          <w:rFonts w:asciiTheme="minorHAnsi" w:hAnsiTheme="minorHAnsi" w:cstheme="minorHAnsi"/>
          <w:b/>
          <w:sz w:val="24"/>
          <w:szCs w:val="24"/>
        </w:rPr>
      </w:pPr>
      <w:r w:rsidRPr="0021132A">
        <w:rPr>
          <w:rFonts w:asciiTheme="minorHAnsi" w:hAnsiTheme="minorHAnsi" w:cstheme="minorHAnsi"/>
          <w:b/>
          <w:sz w:val="24"/>
          <w:szCs w:val="24"/>
        </w:rPr>
        <w:t>PERSON TO CONTACT</w:t>
      </w:r>
    </w:p>
    <w:p w14:paraId="1A90BF33" w14:textId="77777777" w:rsidR="0021132A" w:rsidRDefault="0021132A" w:rsidP="00D953AE">
      <w:pPr>
        <w:pStyle w:val="Header"/>
        <w:ind w:right="-990"/>
        <w:rPr>
          <w:rFonts w:asciiTheme="minorHAnsi" w:hAnsiTheme="minorHAnsi" w:cstheme="minorHAnsi"/>
          <w:sz w:val="24"/>
          <w:szCs w:val="24"/>
        </w:rPr>
      </w:pPr>
    </w:p>
    <w:p w14:paraId="5B019797" w14:textId="2A7D0E0D" w:rsidR="00D953AE" w:rsidRPr="00B728F3" w:rsidRDefault="00D953AE" w:rsidP="00D953AE">
      <w:pPr>
        <w:pStyle w:val="Header"/>
        <w:ind w:right="-990"/>
        <w:rPr>
          <w:rFonts w:asciiTheme="minorHAnsi" w:hAnsiTheme="minorHAnsi" w:cstheme="minorHAnsi"/>
          <w:sz w:val="24"/>
          <w:szCs w:val="24"/>
        </w:rPr>
      </w:pPr>
      <w:r w:rsidRPr="00B728F3">
        <w:rPr>
          <w:rFonts w:asciiTheme="minorHAnsi" w:hAnsiTheme="minorHAnsi" w:cstheme="minorHAnsi"/>
          <w:sz w:val="24"/>
          <w:szCs w:val="24"/>
        </w:rPr>
        <w:t xml:space="preserve">Mr V Ashcroft, Chief Finance Officer, </w:t>
      </w:r>
    </w:p>
    <w:p w14:paraId="7020CB37" w14:textId="77777777" w:rsidR="00D953AE" w:rsidRPr="00B728F3" w:rsidRDefault="00D953AE" w:rsidP="00D953AE">
      <w:pPr>
        <w:pStyle w:val="Header"/>
        <w:ind w:right="-990"/>
        <w:rPr>
          <w:rFonts w:asciiTheme="minorHAnsi" w:hAnsiTheme="minorHAnsi" w:cstheme="minorHAnsi"/>
          <w:b/>
          <w:bCs/>
          <w:sz w:val="24"/>
          <w:szCs w:val="24"/>
        </w:rPr>
      </w:pPr>
      <w:r w:rsidRPr="00B728F3">
        <w:rPr>
          <w:rFonts w:asciiTheme="minorHAnsi" w:hAnsiTheme="minorHAnsi" w:cstheme="minorHAnsi"/>
          <w:b/>
          <w:bCs/>
          <w:sz w:val="24"/>
          <w:szCs w:val="24"/>
        </w:rPr>
        <w:t>Office of the Police, Fire and Crime Commissioner</w:t>
      </w:r>
    </w:p>
    <w:p w14:paraId="22F056AC" w14:textId="58D4A091" w:rsidR="00840A03" w:rsidRPr="00B728F3" w:rsidRDefault="001B20EF" w:rsidP="00D953AE">
      <w:pPr>
        <w:pStyle w:val="Header"/>
        <w:ind w:right="-990"/>
        <w:rPr>
          <w:rFonts w:asciiTheme="minorHAnsi" w:hAnsiTheme="minorHAnsi" w:cstheme="minorHAnsi"/>
          <w:b/>
          <w:bCs/>
          <w:sz w:val="24"/>
          <w:szCs w:val="24"/>
        </w:rPr>
      </w:pPr>
      <w:r w:rsidRPr="00B728F3">
        <w:rPr>
          <w:rFonts w:asciiTheme="minorHAnsi" w:hAnsiTheme="minorHAnsi" w:cstheme="minorHAnsi"/>
          <w:b/>
          <w:bCs/>
          <w:sz w:val="24"/>
          <w:szCs w:val="24"/>
        </w:rPr>
        <w:t xml:space="preserve">Northamptonshire Commissioner Fire and Rescue Authority </w:t>
      </w:r>
    </w:p>
    <w:p w14:paraId="6789DEB6" w14:textId="3520F671" w:rsidR="00D30F18" w:rsidRPr="00B728F3" w:rsidRDefault="00D30F18" w:rsidP="00933FD8">
      <w:pPr>
        <w:pStyle w:val="Header"/>
        <w:ind w:right="-990"/>
        <w:rPr>
          <w:rFonts w:asciiTheme="minorHAnsi" w:hAnsiTheme="minorHAnsi" w:cstheme="minorHAnsi"/>
          <w:sz w:val="24"/>
          <w:szCs w:val="24"/>
        </w:rPr>
      </w:pPr>
      <w:r w:rsidRPr="00B728F3">
        <w:rPr>
          <w:rFonts w:asciiTheme="minorHAnsi" w:hAnsiTheme="minorHAnsi" w:cstheme="minorHAnsi"/>
          <w:sz w:val="24"/>
          <w:szCs w:val="24"/>
        </w:rPr>
        <w:br w:type="page"/>
      </w:r>
    </w:p>
    <w:p w14:paraId="7249A22E" w14:textId="4330B378" w:rsidR="00D30F18" w:rsidRPr="00581F2C" w:rsidRDefault="00581F2C" w:rsidP="00DB1D88">
      <w:pPr>
        <w:pStyle w:val="Header"/>
        <w:ind w:right="-990"/>
        <w:jc w:val="both"/>
        <w:rPr>
          <w:rFonts w:asciiTheme="minorHAnsi" w:hAnsiTheme="minorHAnsi" w:cstheme="minorHAnsi"/>
          <w:b/>
          <w:bCs/>
          <w:sz w:val="24"/>
          <w:szCs w:val="24"/>
        </w:rPr>
      </w:pPr>
      <w:bookmarkStart w:id="24" w:name="_Hlk157013733"/>
      <w:r w:rsidRPr="00581F2C">
        <w:rPr>
          <w:rFonts w:asciiTheme="minorHAnsi" w:hAnsiTheme="minorHAnsi" w:cstheme="minorHAnsi"/>
          <w:b/>
          <w:bCs/>
          <w:sz w:val="24"/>
          <w:szCs w:val="24"/>
        </w:rPr>
        <w:lastRenderedPageBreak/>
        <w:t>APPENDIX A</w:t>
      </w:r>
    </w:p>
    <w:p w14:paraId="0DDFAC8F" w14:textId="40970624" w:rsidR="00D30F18" w:rsidRPr="009F406A" w:rsidRDefault="006B03FC" w:rsidP="00DB1D88">
      <w:pPr>
        <w:pStyle w:val="Header"/>
        <w:ind w:right="-990"/>
        <w:jc w:val="both"/>
        <w:rPr>
          <w:rFonts w:asciiTheme="minorHAnsi" w:hAnsiTheme="minorHAnsi" w:cstheme="minorHAnsi"/>
          <w:b/>
          <w:bCs/>
          <w:sz w:val="24"/>
          <w:szCs w:val="24"/>
        </w:rPr>
      </w:pPr>
      <w:r w:rsidRPr="009F406A">
        <w:rPr>
          <w:rFonts w:asciiTheme="minorHAnsi" w:hAnsiTheme="minorHAnsi" w:cstheme="minorHAnsi"/>
          <w:b/>
          <w:bCs/>
          <w:sz w:val="24"/>
          <w:szCs w:val="24"/>
        </w:rPr>
        <w:t>Survey</w:t>
      </w:r>
      <w:r w:rsidR="00D30F18" w:rsidRPr="009F406A">
        <w:rPr>
          <w:rFonts w:asciiTheme="minorHAnsi" w:hAnsiTheme="minorHAnsi" w:cstheme="minorHAnsi"/>
          <w:b/>
          <w:bCs/>
          <w:sz w:val="24"/>
          <w:szCs w:val="24"/>
        </w:rPr>
        <w:t xml:space="preserve"> on the Precept</w:t>
      </w:r>
    </w:p>
    <w:p w14:paraId="58A7C297" w14:textId="77777777" w:rsidR="006B03FC" w:rsidRPr="009F406A" w:rsidRDefault="006B03FC" w:rsidP="006B03FC">
      <w:pPr>
        <w:pStyle w:val="Header"/>
        <w:ind w:right="-990"/>
        <w:rPr>
          <w:rFonts w:cs="Calibri"/>
          <w:b/>
          <w:bCs/>
          <w:sz w:val="24"/>
          <w:szCs w:val="24"/>
        </w:rPr>
      </w:pPr>
    </w:p>
    <w:p w14:paraId="2B98B90B" w14:textId="36E0F8E4" w:rsidR="006B03FC" w:rsidRPr="009F406A" w:rsidRDefault="006B03FC" w:rsidP="006B03FC">
      <w:pPr>
        <w:pStyle w:val="Header"/>
        <w:ind w:right="-990"/>
        <w:rPr>
          <w:rFonts w:cs="Calibri"/>
          <w:b/>
          <w:bCs/>
          <w:sz w:val="24"/>
          <w:szCs w:val="24"/>
        </w:rPr>
      </w:pPr>
      <w:r w:rsidRPr="009F406A">
        <w:rPr>
          <w:rFonts w:cs="Calibri"/>
          <w:b/>
          <w:bCs/>
          <w:sz w:val="24"/>
          <w:szCs w:val="24"/>
        </w:rPr>
        <w:t>Context</w:t>
      </w:r>
    </w:p>
    <w:p w14:paraId="1CFFA062" w14:textId="77777777" w:rsidR="006B03FC" w:rsidRPr="009F406A" w:rsidRDefault="006B03FC" w:rsidP="006B03FC">
      <w:pPr>
        <w:spacing w:line="240" w:lineRule="auto"/>
        <w:jc w:val="both"/>
        <w:rPr>
          <w:rFonts w:cs="Calibri"/>
          <w:sz w:val="24"/>
          <w:szCs w:val="24"/>
        </w:rPr>
      </w:pPr>
    </w:p>
    <w:p w14:paraId="6AD6695E" w14:textId="77777777" w:rsidR="009F406A" w:rsidRDefault="009F406A" w:rsidP="009F406A">
      <w:pPr>
        <w:spacing w:line="240" w:lineRule="auto"/>
        <w:jc w:val="both"/>
        <w:rPr>
          <w:rFonts w:cs="Calibri"/>
          <w:sz w:val="24"/>
          <w:szCs w:val="24"/>
        </w:rPr>
      </w:pPr>
      <w:bookmarkStart w:id="25" w:name="_Hlk188269568"/>
      <w:bookmarkEnd w:id="24"/>
      <w:r w:rsidRPr="009F406A">
        <w:rPr>
          <w:rFonts w:cs="Calibri"/>
          <w:sz w:val="24"/>
          <w:szCs w:val="24"/>
        </w:rPr>
        <w:t>This year’s precept survey ran in conjunction with questions on the new Public Safety Plan for the county.  This was due to the unavoidable timings of both, following the election of the new Police, Fire and Crime Commissioner in May 2024, and also in the context of the findings of the “Big Conversation” consultation, where people told us they preferred to see questions about the council tax funding put in the context of the actions they will fund.</w:t>
      </w:r>
    </w:p>
    <w:p w14:paraId="7FD7D920" w14:textId="77777777" w:rsidR="009F406A" w:rsidRPr="009F406A" w:rsidRDefault="009F406A" w:rsidP="009F406A">
      <w:pPr>
        <w:spacing w:line="240" w:lineRule="auto"/>
        <w:jc w:val="both"/>
        <w:rPr>
          <w:rFonts w:cs="Calibri"/>
          <w:sz w:val="24"/>
          <w:szCs w:val="24"/>
        </w:rPr>
      </w:pPr>
    </w:p>
    <w:p w14:paraId="3E953C8D" w14:textId="77777777" w:rsidR="009F406A" w:rsidRDefault="009F406A" w:rsidP="009F406A">
      <w:pPr>
        <w:spacing w:line="240" w:lineRule="auto"/>
        <w:jc w:val="both"/>
        <w:rPr>
          <w:rFonts w:cs="Calibri"/>
          <w:sz w:val="24"/>
          <w:szCs w:val="24"/>
        </w:rPr>
      </w:pPr>
      <w:r w:rsidRPr="009F406A">
        <w:rPr>
          <w:rFonts w:cs="Calibri"/>
          <w:sz w:val="24"/>
          <w:szCs w:val="24"/>
        </w:rPr>
        <w:t>The joint consultation supported residents’ thinking in demonstrating how differing levels of precepts would impact on police and firefighter staff numbers, the level of service they could provide, and the delivery of strategic priorities within the Plan.</w:t>
      </w:r>
    </w:p>
    <w:p w14:paraId="28A96FDB" w14:textId="77777777" w:rsidR="009F406A" w:rsidRPr="009F406A" w:rsidRDefault="009F406A" w:rsidP="009F406A">
      <w:pPr>
        <w:spacing w:line="240" w:lineRule="auto"/>
        <w:jc w:val="both"/>
        <w:rPr>
          <w:rFonts w:cs="Calibri"/>
          <w:sz w:val="24"/>
          <w:szCs w:val="24"/>
        </w:rPr>
      </w:pPr>
    </w:p>
    <w:p w14:paraId="59FFC7C0" w14:textId="5041B8FE" w:rsidR="007868AD" w:rsidRDefault="009F406A" w:rsidP="009F406A">
      <w:pPr>
        <w:spacing w:line="240" w:lineRule="auto"/>
        <w:jc w:val="both"/>
        <w:rPr>
          <w:rFonts w:cs="Calibri"/>
          <w:sz w:val="24"/>
          <w:szCs w:val="24"/>
        </w:rPr>
      </w:pPr>
      <w:r w:rsidRPr="009F406A">
        <w:rPr>
          <w:rFonts w:cs="Calibri"/>
          <w:sz w:val="24"/>
          <w:szCs w:val="24"/>
        </w:rPr>
        <w:t xml:space="preserve">The survey went live on </w:t>
      </w:r>
      <w:r w:rsidR="00FE20FA">
        <w:rPr>
          <w:rFonts w:cs="Calibri"/>
          <w:sz w:val="24"/>
          <w:szCs w:val="24"/>
        </w:rPr>
        <w:t>28</w:t>
      </w:r>
      <w:r w:rsidR="00FE20FA" w:rsidRPr="00FE20FA">
        <w:rPr>
          <w:rFonts w:cs="Calibri"/>
          <w:sz w:val="24"/>
          <w:szCs w:val="24"/>
          <w:vertAlign w:val="superscript"/>
        </w:rPr>
        <w:t>th</w:t>
      </w:r>
      <w:r w:rsidR="00FE20FA">
        <w:rPr>
          <w:rFonts w:cs="Calibri"/>
          <w:sz w:val="24"/>
          <w:szCs w:val="24"/>
        </w:rPr>
        <w:t xml:space="preserve"> </w:t>
      </w:r>
      <w:r w:rsidRPr="009F406A">
        <w:rPr>
          <w:rFonts w:cs="Calibri"/>
          <w:sz w:val="24"/>
          <w:szCs w:val="24"/>
        </w:rPr>
        <w:t xml:space="preserve">November – running until </w:t>
      </w:r>
      <w:r w:rsidR="00DB78E5">
        <w:rPr>
          <w:rFonts w:cs="Calibri"/>
          <w:sz w:val="24"/>
          <w:szCs w:val="24"/>
        </w:rPr>
        <w:t>5</w:t>
      </w:r>
      <w:r w:rsidR="00FE20FA" w:rsidRPr="00FE20FA">
        <w:rPr>
          <w:rFonts w:cs="Calibri"/>
          <w:sz w:val="24"/>
          <w:szCs w:val="24"/>
          <w:vertAlign w:val="superscript"/>
        </w:rPr>
        <w:t>th</w:t>
      </w:r>
      <w:r w:rsidR="00FE20FA">
        <w:rPr>
          <w:rFonts w:cs="Calibri"/>
          <w:sz w:val="24"/>
          <w:szCs w:val="24"/>
        </w:rPr>
        <w:t xml:space="preserve"> </w:t>
      </w:r>
      <w:r w:rsidRPr="009F406A">
        <w:rPr>
          <w:rFonts w:cs="Calibri"/>
          <w:sz w:val="24"/>
          <w:szCs w:val="24"/>
        </w:rPr>
        <w:t>January – and received 1,751 responses. This was a slight decrease on last year (1,997) but still the second highest number of responses the consultation has ever received.</w:t>
      </w:r>
    </w:p>
    <w:p w14:paraId="6BAF21A4" w14:textId="77777777" w:rsidR="009F406A" w:rsidRPr="00450555" w:rsidRDefault="009F406A" w:rsidP="009F406A">
      <w:pPr>
        <w:spacing w:line="240" w:lineRule="auto"/>
        <w:jc w:val="both"/>
        <w:rPr>
          <w:rFonts w:cs="Calibri"/>
          <w:sz w:val="24"/>
          <w:szCs w:val="24"/>
          <w:highlight w:val="yellow"/>
        </w:rPr>
      </w:pPr>
    </w:p>
    <w:p w14:paraId="1483DE16" w14:textId="48371D90" w:rsidR="009F406A" w:rsidRDefault="007868AD" w:rsidP="00812DDD">
      <w:pPr>
        <w:pStyle w:val="Header"/>
        <w:ind w:right="-990"/>
        <w:rPr>
          <w:rFonts w:cs="Calibri"/>
          <w:b/>
          <w:bCs/>
          <w:sz w:val="24"/>
          <w:szCs w:val="24"/>
        </w:rPr>
      </w:pPr>
      <w:r w:rsidRPr="009F406A">
        <w:rPr>
          <w:rFonts w:cs="Calibri"/>
          <w:b/>
          <w:bCs/>
          <w:sz w:val="24"/>
          <w:szCs w:val="24"/>
        </w:rPr>
        <w:t>Communications Activity</w:t>
      </w:r>
    </w:p>
    <w:p w14:paraId="18A326D7" w14:textId="77777777" w:rsidR="00812DDD" w:rsidRPr="00812DDD" w:rsidRDefault="00812DDD" w:rsidP="00812DDD">
      <w:pPr>
        <w:pStyle w:val="Header"/>
        <w:ind w:right="-990"/>
        <w:rPr>
          <w:rFonts w:cs="Calibri"/>
          <w:b/>
          <w:bCs/>
          <w:sz w:val="24"/>
          <w:szCs w:val="24"/>
        </w:rPr>
      </w:pPr>
    </w:p>
    <w:p w14:paraId="7723A79D" w14:textId="6CDF3DB5" w:rsidR="009F406A" w:rsidRDefault="009F406A" w:rsidP="009F406A">
      <w:pPr>
        <w:jc w:val="both"/>
        <w:rPr>
          <w:rFonts w:cs="Calibri"/>
          <w:sz w:val="24"/>
          <w:szCs w:val="24"/>
        </w:rPr>
      </w:pPr>
      <w:r>
        <w:rPr>
          <w:rFonts w:cs="Calibri"/>
          <w:sz w:val="24"/>
          <w:szCs w:val="24"/>
        </w:rPr>
        <w:t>Prior to</w:t>
      </w:r>
      <w:r w:rsidRPr="009F406A">
        <w:rPr>
          <w:rFonts w:cs="Calibri"/>
          <w:sz w:val="24"/>
          <w:szCs w:val="24"/>
        </w:rPr>
        <w:t xml:space="preserve"> embarking on the consultation, the survey questions and planned communications activity were benchmarked against consultations </w:t>
      </w:r>
      <w:r>
        <w:rPr>
          <w:rFonts w:cs="Calibri"/>
          <w:sz w:val="24"/>
          <w:szCs w:val="24"/>
        </w:rPr>
        <w:t>by</w:t>
      </w:r>
      <w:r w:rsidRPr="009F406A">
        <w:rPr>
          <w:rFonts w:cs="Calibri"/>
          <w:sz w:val="24"/>
          <w:szCs w:val="24"/>
        </w:rPr>
        <w:t xml:space="preserve"> other offices nationally.  </w:t>
      </w:r>
      <w:r>
        <w:rPr>
          <w:rFonts w:cs="Calibri"/>
          <w:sz w:val="24"/>
          <w:szCs w:val="24"/>
        </w:rPr>
        <w:t>Others</w:t>
      </w:r>
      <w:r w:rsidRPr="009F406A">
        <w:rPr>
          <w:rFonts w:cs="Calibri"/>
          <w:sz w:val="24"/>
          <w:szCs w:val="24"/>
        </w:rPr>
        <w:t xml:space="preserve"> reported facing challenging circumstances when it came to public engagement and dwindling levels of interaction online.</w:t>
      </w:r>
    </w:p>
    <w:p w14:paraId="37FCFB60" w14:textId="77777777" w:rsidR="009F406A" w:rsidRPr="009F406A" w:rsidRDefault="009F406A" w:rsidP="009F406A">
      <w:pPr>
        <w:jc w:val="both"/>
        <w:rPr>
          <w:rFonts w:cs="Calibri"/>
          <w:sz w:val="24"/>
          <w:szCs w:val="24"/>
        </w:rPr>
      </w:pPr>
    </w:p>
    <w:p w14:paraId="2DE232FD" w14:textId="77777777" w:rsidR="009F406A" w:rsidRPr="009F406A" w:rsidRDefault="009F406A" w:rsidP="009F406A">
      <w:pPr>
        <w:jc w:val="both"/>
        <w:rPr>
          <w:rFonts w:cs="Calibri"/>
          <w:sz w:val="24"/>
          <w:szCs w:val="24"/>
        </w:rPr>
      </w:pPr>
      <w:r w:rsidRPr="009F406A">
        <w:rPr>
          <w:rFonts w:cs="Calibri"/>
          <w:sz w:val="24"/>
          <w:szCs w:val="24"/>
        </w:rPr>
        <w:t>Activity from the Communications Team included:</w:t>
      </w:r>
    </w:p>
    <w:p w14:paraId="59CADE9D" w14:textId="327A21FF"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News release sent to more than 100 journalists across various different newsrooms both locally and nationally</w:t>
      </w:r>
      <w:r>
        <w:rPr>
          <w:rFonts w:cs="Calibri"/>
          <w:sz w:val="24"/>
          <w:szCs w:val="24"/>
        </w:rPr>
        <w:t>.</w:t>
      </w:r>
    </w:p>
    <w:p w14:paraId="56CB0A8B" w14:textId="1276FF8B"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News release shared on external OPFCC, Police and Fire websites</w:t>
      </w:r>
      <w:r>
        <w:rPr>
          <w:rFonts w:cs="Calibri"/>
          <w:sz w:val="24"/>
          <w:szCs w:val="24"/>
        </w:rPr>
        <w:t>.</w:t>
      </w:r>
    </w:p>
    <w:p w14:paraId="46606AB6" w14:textId="7A362B0B"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Internal message sent on both Police and Fire intranets, and emailed to all OPFCC staff, asking them to encourage people to fill in the survey at community events</w:t>
      </w:r>
      <w:r>
        <w:rPr>
          <w:rFonts w:cs="Calibri"/>
          <w:sz w:val="24"/>
          <w:szCs w:val="24"/>
        </w:rPr>
        <w:t>.</w:t>
      </w:r>
    </w:p>
    <w:p w14:paraId="7BEA9763" w14:textId="0F5C9813"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 xml:space="preserve">Message sent to more than 40,000 people on </w:t>
      </w:r>
      <w:r>
        <w:rPr>
          <w:rFonts w:cs="Calibri"/>
          <w:sz w:val="24"/>
          <w:szCs w:val="24"/>
        </w:rPr>
        <w:t>2</w:t>
      </w:r>
      <w:r w:rsidRPr="009F406A">
        <w:rPr>
          <w:rFonts w:cs="Calibri"/>
          <w:sz w:val="24"/>
          <w:szCs w:val="24"/>
          <w:vertAlign w:val="superscript"/>
        </w:rPr>
        <w:t>nd</w:t>
      </w:r>
      <w:r>
        <w:rPr>
          <w:rFonts w:cs="Calibri"/>
          <w:sz w:val="24"/>
          <w:szCs w:val="24"/>
        </w:rPr>
        <w:t xml:space="preserve"> </w:t>
      </w:r>
      <w:r w:rsidRPr="009F406A">
        <w:rPr>
          <w:rFonts w:cs="Calibri"/>
          <w:sz w:val="24"/>
          <w:szCs w:val="24"/>
        </w:rPr>
        <w:t>December on Northamptonshire Talking</w:t>
      </w:r>
      <w:r>
        <w:rPr>
          <w:rFonts w:cs="Calibri"/>
          <w:sz w:val="24"/>
          <w:szCs w:val="24"/>
        </w:rPr>
        <w:t xml:space="preserve"> (</w:t>
      </w:r>
      <w:r w:rsidRPr="009F406A">
        <w:rPr>
          <w:rFonts w:cs="Calibri"/>
          <w:sz w:val="24"/>
          <w:szCs w:val="24"/>
        </w:rPr>
        <w:t>Police</w:t>
      </w:r>
      <w:r>
        <w:rPr>
          <w:rFonts w:cs="Calibri"/>
          <w:sz w:val="24"/>
          <w:szCs w:val="24"/>
        </w:rPr>
        <w:t>)</w:t>
      </w:r>
      <w:r w:rsidRPr="009F406A">
        <w:rPr>
          <w:rFonts w:cs="Calibri"/>
          <w:sz w:val="24"/>
          <w:szCs w:val="24"/>
        </w:rPr>
        <w:t xml:space="preserve"> account</w:t>
      </w:r>
      <w:r>
        <w:rPr>
          <w:rFonts w:cs="Calibri"/>
          <w:sz w:val="24"/>
          <w:szCs w:val="24"/>
        </w:rPr>
        <w:t xml:space="preserve">, which was </w:t>
      </w:r>
      <w:r w:rsidRPr="009F406A">
        <w:rPr>
          <w:rFonts w:cs="Calibri"/>
          <w:sz w:val="24"/>
          <w:szCs w:val="24"/>
        </w:rPr>
        <w:t>read by 18,855 people, with 578 interactions (rating, sharing, reading)</w:t>
      </w:r>
      <w:r>
        <w:rPr>
          <w:rFonts w:cs="Calibri"/>
          <w:sz w:val="24"/>
          <w:szCs w:val="24"/>
        </w:rPr>
        <w:t>.</w:t>
      </w:r>
    </w:p>
    <w:p w14:paraId="71BEB7E8" w14:textId="6E42B9E3"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Link to survey and request to cascade sent to all 154 unitary councillors in West Northamptonshire and North Northamptonshire, as well as respective Chief Executives</w:t>
      </w:r>
      <w:r>
        <w:rPr>
          <w:rFonts w:cs="Calibri"/>
          <w:sz w:val="24"/>
          <w:szCs w:val="24"/>
        </w:rPr>
        <w:t>.</w:t>
      </w:r>
    </w:p>
    <w:p w14:paraId="3CA244BB" w14:textId="10E22105"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News release shared with all Northamptonshire MPs with request to share it with their local constituents</w:t>
      </w:r>
      <w:r>
        <w:rPr>
          <w:rFonts w:cs="Calibri"/>
          <w:sz w:val="24"/>
          <w:szCs w:val="24"/>
        </w:rPr>
        <w:t>.</w:t>
      </w:r>
    </w:p>
    <w:p w14:paraId="383380BE" w14:textId="4123BCD9"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 xml:space="preserve">Release and survey shared with 272 contacts at parish councils across the county, asking them to replicate the survey along with a specially designed banner on their websites. </w:t>
      </w:r>
      <w:r>
        <w:rPr>
          <w:rFonts w:cs="Calibri"/>
          <w:sz w:val="24"/>
          <w:szCs w:val="24"/>
        </w:rPr>
        <w:t xml:space="preserve"> </w:t>
      </w:r>
      <w:r w:rsidRPr="009F406A">
        <w:rPr>
          <w:rFonts w:cs="Calibri"/>
          <w:sz w:val="24"/>
          <w:szCs w:val="24"/>
        </w:rPr>
        <w:t>A number of councils, such as Paulerspury, shared the content in their local newsletter</w:t>
      </w:r>
      <w:r>
        <w:rPr>
          <w:rFonts w:cs="Calibri"/>
          <w:sz w:val="24"/>
          <w:szCs w:val="24"/>
        </w:rPr>
        <w:t>.</w:t>
      </w:r>
    </w:p>
    <w:p w14:paraId="2ADEC574" w14:textId="02FD0850"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Shared release and survey with contacts at more than 40 schools across the county, requesting they encourage fellow staff and parents to complete the survey</w:t>
      </w:r>
      <w:r>
        <w:rPr>
          <w:rFonts w:cs="Calibri"/>
          <w:sz w:val="24"/>
          <w:szCs w:val="24"/>
        </w:rPr>
        <w:t>.</w:t>
      </w:r>
    </w:p>
    <w:p w14:paraId="3F49B11B" w14:textId="77777777"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lastRenderedPageBreak/>
        <w:t>News release and link to survey sent to 65 local organisations (including Women’s Institute, Brightwayz and more) and Community Safety forums.</w:t>
      </w:r>
    </w:p>
    <w:p w14:paraId="091C3AF8" w14:textId="40349ED5"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Shared with businesses through Northampton Town BID, Retail Crime Partnership and West Northamptonshire Council</w:t>
      </w:r>
      <w:r>
        <w:rPr>
          <w:rFonts w:cs="Calibri"/>
          <w:sz w:val="24"/>
          <w:szCs w:val="24"/>
        </w:rPr>
        <w:t>.</w:t>
      </w:r>
    </w:p>
    <w:p w14:paraId="1B0EEDA0" w14:textId="3DBE2CF2"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Emailed the consultation to Independent Custody Visitors and members of the Independent Advisory Group</w:t>
      </w:r>
      <w:r>
        <w:rPr>
          <w:rFonts w:cs="Calibri"/>
          <w:sz w:val="24"/>
          <w:szCs w:val="24"/>
        </w:rPr>
        <w:t>.</w:t>
      </w:r>
    </w:p>
    <w:p w14:paraId="26BEC913" w14:textId="43CF090B"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Shared news release and survey with contacts at various hotels across the county</w:t>
      </w:r>
      <w:r>
        <w:rPr>
          <w:rFonts w:cs="Calibri"/>
          <w:sz w:val="24"/>
          <w:szCs w:val="24"/>
        </w:rPr>
        <w:t>.</w:t>
      </w:r>
    </w:p>
    <w:p w14:paraId="0034AF5B" w14:textId="789ACF9F"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Shared consultation with rural groups including NFU Mutual, Canal &amp; Rivers Trust and Northants Acre, and asked them to share with their rural networks</w:t>
      </w:r>
      <w:r>
        <w:rPr>
          <w:rFonts w:cs="Calibri"/>
          <w:sz w:val="24"/>
          <w:szCs w:val="24"/>
        </w:rPr>
        <w:t>.</w:t>
      </w:r>
    </w:p>
    <w:p w14:paraId="0037D42F" w14:textId="46F9E620" w:rsidR="009F406A" w:rsidRDefault="009F406A" w:rsidP="009F406A">
      <w:pPr>
        <w:pStyle w:val="ListParagraph"/>
        <w:numPr>
          <w:ilvl w:val="0"/>
          <w:numId w:val="9"/>
        </w:numPr>
        <w:jc w:val="both"/>
        <w:rPr>
          <w:rFonts w:cs="Calibri"/>
          <w:sz w:val="24"/>
          <w:szCs w:val="24"/>
        </w:rPr>
      </w:pPr>
      <w:r w:rsidRPr="009F406A">
        <w:rPr>
          <w:rFonts w:cs="Calibri"/>
          <w:sz w:val="24"/>
          <w:szCs w:val="24"/>
        </w:rPr>
        <w:t xml:space="preserve">Second message sent on Northamptonshire Talking from OPFCC account on </w:t>
      </w:r>
      <w:r>
        <w:rPr>
          <w:rFonts w:cs="Calibri"/>
          <w:sz w:val="24"/>
          <w:szCs w:val="24"/>
        </w:rPr>
        <w:t>3</w:t>
      </w:r>
      <w:r w:rsidRPr="009F406A">
        <w:rPr>
          <w:rFonts w:cs="Calibri"/>
          <w:sz w:val="24"/>
          <w:szCs w:val="24"/>
          <w:vertAlign w:val="superscript"/>
        </w:rPr>
        <w:t>rd</w:t>
      </w:r>
      <w:r>
        <w:rPr>
          <w:rFonts w:cs="Calibri"/>
          <w:sz w:val="24"/>
          <w:szCs w:val="24"/>
        </w:rPr>
        <w:t xml:space="preserve"> </w:t>
      </w:r>
      <w:r w:rsidRPr="009F406A">
        <w:rPr>
          <w:rFonts w:cs="Calibri"/>
          <w:sz w:val="24"/>
          <w:szCs w:val="24"/>
        </w:rPr>
        <w:t>January to more than 29,000 – read by 14,292 people, with 480 interactions.</w:t>
      </w:r>
    </w:p>
    <w:p w14:paraId="6045E234" w14:textId="77777777" w:rsidR="009F406A" w:rsidRPr="009F406A" w:rsidRDefault="009F406A" w:rsidP="009F406A">
      <w:pPr>
        <w:pStyle w:val="ListParagraph"/>
        <w:jc w:val="both"/>
        <w:rPr>
          <w:rFonts w:cs="Calibri"/>
          <w:sz w:val="24"/>
          <w:szCs w:val="24"/>
        </w:rPr>
      </w:pPr>
    </w:p>
    <w:p w14:paraId="78D3C34C" w14:textId="77777777" w:rsidR="009F406A" w:rsidRPr="009F406A" w:rsidRDefault="009F406A" w:rsidP="009F406A">
      <w:pPr>
        <w:jc w:val="both"/>
        <w:rPr>
          <w:rFonts w:cs="Calibri"/>
          <w:sz w:val="24"/>
          <w:szCs w:val="24"/>
        </w:rPr>
      </w:pPr>
      <w:r w:rsidRPr="009F406A">
        <w:rPr>
          <w:rFonts w:cs="Calibri"/>
          <w:sz w:val="24"/>
          <w:szCs w:val="24"/>
        </w:rPr>
        <w:t>There was also a greater emphasis this year on face-to-face communication from senior leaders, to gain quality with activities including:</w:t>
      </w:r>
    </w:p>
    <w:p w14:paraId="6EF839F9" w14:textId="01F55527"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Focus group session with students at the University of Northampton, attended by the Commissioner and Deputy Commissioner</w:t>
      </w:r>
      <w:r>
        <w:rPr>
          <w:rFonts w:cs="Calibri"/>
          <w:sz w:val="24"/>
          <w:szCs w:val="24"/>
        </w:rPr>
        <w:t>.</w:t>
      </w:r>
    </w:p>
    <w:p w14:paraId="43D4F806" w14:textId="3BD05C29"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A bespoke virtual meeting with Parish Local Representatives (PLRs) and Parish Councils, attended by the Commissioner and Deputy Commissioner</w:t>
      </w:r>
      <w:r>
        <w:rPr>
          <w:rFonts w:cs="Calibri"/>
          <w:sz w:val="24"/>
          <w:szCs w:val="24"/>
        </w:rPr>
        <w:t>.</w:t>
      </w:r>
    </w:p>
    <w:p w14:paraId="5C3BCDAD" w14:textId="436C6411"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A meeting with church and faith leaders hosted by the Deputy Commissioner</w:t>
      </w:r>
      <w:r>
        <w:rPr>
          <w:rFonts w:cs="Calibri"/>
          <w:sz w:val="24"/>
          <w:szCs w:val="24"/>
        </w:rPr>
        <w:t>.</w:t>
      </w:r>
    </w:p>
    <w:p w14:paraId="7D4E5B55" w14:textId="3047C27C"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Beat Bus sessions with PCSOs engaging with members of the public in Kislingbury and other villages in rural South Northamptonshire</w:t>
      </w:r>
      <w:r>
        <w:rPr>
          <w:rFonts w:cs="Calibri"/>
          <w:sz w:val="24"/>
          <w:szCs w:val="24"/>
        </w:rPr>
        <w:t>.</w:t>
      </w:r>
    </w:p>
    <w:p w14:paraId="4212C4E3" w14:textId="14141A8E" w:rsidR="009F406A" w:rsidRPr="009F406A" w:rsidRDefault="009F406A" w:rsidP="009F406A">
      <w:pPr>
        <w:pStyle w:val="ListParagraph"/>
        <w:numPr>
          <w:ilvl w:val="0"/>
          <w:numId w:val="9"/>
        </w:numPr>
        <w:jc w:val="both"/>
        <w:rPr>
          <w:rFonts w:cs="Calibri"/>
          <w:sz w:val="24"/>
          <w:szCs w:val="24"/>
        </w:rPr>
      </w:pPr>
      <w:r w:rsidRPr="009F406A">
        <w:rPr>
          <w:rFonts w:cs="Calibri"/>
          <w:sz w:val="24"/>
          <w:szCs w:val="24"/>
        </w:rPr>
        <w:t xml:space="preserve">The Commissioner appearing on BBC Radio Northampton to discuss the consultation and take questions from members of the public on </w:t>
      </w:r>
      <w:r>
        <w:rPr>
          <w:rFonts w:cs="Calibri"/>
          <w:sz w:val="24"/>
          <w:szCs w:val="24"/>
        </w:rPr>
        <w:t>17</w:t>
      </w:r>
      <w:r w:rsidRPr="009F406A">
        <w:rPr>
          <w:rFonts w:cs="Calibri"/>
          <w:sz w:val="24"/>
          <w:szCs w:val="24"/>
          <w:vertAlign w:val="superscript"/>
        </w:rPr>
        <w:t>th</w:t>
      </w:r>
      <w:r>
        <w:rPr>
          <w:rFonts w:cs="Calibri"/>
          <w:sz w:val="24"/>
          <w:szCs w:val="24"/>
        </w:rPr>
        <w:t xml:space="preserve"> </w:t>
      </w:r>
      <w:r w:rsidRPr="009F406A">
        <w:rPr>
          <w:rFonts w:cs="Calibri"/>
          <w:sz w:val="24"/>
          <w:szCs w:val="24"/>
        </w:rPr>
        <w:t>December</w:t>
      </w:r>
      <w:r>
        <w:rPr>
          <w:rFonts w:cs="Calibri"/>
          <w:sz w:val="24"/>
          <w:szCs w:val="24"/>
        </w:rPr>
        <w:t>.</w:t>
      </w:r>
    </w:p>
    <w:p w14:paraId="65181FCA" w14:textId="77777777" w:rsidR="009F406A" w:rsidRDefault="009F406A" w:rsidP="009F406A">
      <w:pPr>
        <w:pStyle w:val="ListParagraph"/>
        <w:numPr>
          <w:ilvl w:val="0"/>
          <w:numId w:val="9"/>
        </w:numPr>
        <w:jc w:val="both"/>
        <w:rPr>
          <w:rFonts w:cs="Calibri"/>
          <w:sz w:val="24"/>
          <w:szCs w:val="24"/>
        </w:rPr>
      </w:pPr>
      <w:r w:rsidRPr="009F406A">
        <w:rPr>
          <w:rFonts w:cs="Calibri"/>
          <w:sz w:val="24"/>
          <w:szCs w:val="24"/>
        </w:rPr>
        <w:t>Physical assets such as posters, leaflets and business cards were produced and distributed by partners, including fire crews handing them out and discussing the consultation with members of the public at events in Corby, Oundle and Thrapston over the Christmas period, as well as PCSOs encouraging visitors to the Beat Bus to complete the survey.</w:t>
      </w:r>
    </w:p>
    <w:p w14:paraId="060229B1" w14:textId="77777777" w:rsidR="009F406A" w:rsidRPr="009F406A" w:rsidRDefault="009F406A" w:rsidP="00812DDD">
      <w:pPr>
        <w:pStyle w:val="ListParagraph"/>
        <w:jc w:val="both"/>
        <w:rPr>
          <w:rFonts w:cs="Calibri"/>
          <w:sz w:val="24"/>
          <w:szCs w:val="24"/>
        </w:rPr>
      </w:pPr>
    </w:p>
    <w:p w14:paraId="698874BA" w14:textId="22196946" w:rsidR="009F406A" w:rsidRPr="009F406A" w:rsidRDefault="009F406A" w:rsidP="009F406A">
      <w:pPr>
        <w:jc w:val="both"/>
        <w:rPr>
          <w:rFonts w:cs="Calibri"/>
          <w:sz w:val="24"/>
          <w:szCs w:val="24"/>
        </w:rPr>
      </w:pPr>
      <w:bookmarkStart w:id="26" w:name="_Hlk188269635"/>
      <w:r w:rsidRPr="009F406A">
        <w:rPr>
          <w:rFonts w:cs="Calibri"/>
          <w:sz w:val="24"/>
          <w:szCs w:val="24"/>
        </w:rPr>
        <w:t>Full communications activities</w:t>
      </w:r>
      <w:r w:rsidR="00DE422B">
        <w:rPr>
          <w:rFonts w:cs="Calibri"/>
          <w:sz w:val="24"/>
          <w:szCs w:val="24"/>
        </w:rPr>
        <w:t xml:space="preserve"> as follows:</w:t>
      </w:r>
    </w:p>
    <w:tbl>
      <w:tblPr>
        <w:tblStyle w:val="TableGrid"/>
        <w:tblW w:w="9634" w:type="dxa"/>
        <w:tblLayout w:type="fixed"/>
        <w:tblLook w:val="04A0" w:firstRow="1" w:lastRow="0" w:firstColumn="1" w:lastColumn="0" w:noHBand="0" w:noVBand="1"/>
      </w:tblPr>
      <w:tblGrid>
        <w:gridCol w:w="5665"/>
        <w:gridCol w:w="3969"/>
      </w:tblGrid>
      <w:tr w:rsidR="007868AD" w:rsidRPr="00D20604" w14:paraId="7C021AED" w14:textId="77777777" w:rsidTr="00A402D2">
        <w:tc>
          <w:tcPr>
            <w:tcW w:w="5665" w:type="dxa"/>
          </w:tcPr>
          <w:bookmarkEnd w:id="26"/>
          <w:p w14:paraId="7805A15E" w14:textId="77777777" w:rsidR="007868AD" w:rsidRPr="000107E2" w:rsidRDefault="007868AD" w:rsidP="00A402D2">
            <w:pPr>
              <w:spacing w:after="160" w:line="259" w:lineRule="auto"/>
              <w:jc w:val="both"/>
              <w:rPr>
                <w:rFonts w:asciiTheme="minorHAnsi" w:hAnsiTheme="minorHAnsi" w:cstheme="minorHAnsi"/>
                <w:b/>
                <w:bCs/>
                <w:sz w:val="24"/>
                <w:szCs w:val="24"/>
              </w:rPr>
            </w:pPr>
            <w:r w:rsidRPr="000107E2">
              <w:rPr>
                <w:rFonts w:asciiTheme="minorHAnsi" w:hAnsiTheme="minorHAnsi" w:cstheme="minorHAnsi"/>
                <w:b/>
                <w:bCs/>
                <w:sz w:val="24"/>
                <w:szCs w:val="24"/>
              </w:rPr>
              <w:t>Audience</w:t>
            </w:r>
          </w:p>
        </w:tc>
        <w:tc>
          <w:tcPr>
            <w:tcW w:w="3969" w:type="dxa"/>
          </w:tcPr>
          <w:p w14:paraId="0B0C9022" w14:textId="77777777" w:rsidR="007868AD" w:rsidRPr="000107E2" w:rsidRDefault="007868AD" w:rsidP="00A402D2">
            <w:pPr>
              <w:spacing w:after="160" w:line="259" w:lineRule="auto"/>
              <w:jc w:val="both"/>
              <w:rPr>
                <w:rFonts w:asciiTheme="minorHAnsi" w:hAnsiTheme="minorHAnsi" w:cstheme="minorHAnsi"/>
                <w:b/>
                <w:bCs/>
                <w:sz w:val="24"/>
                <w:szCs w:val="24"/>
              </w:rPr>
            </w:pPr>
            <w:r w:rsidRPr="000107E2">
              <w:rPr>
                <w:rFonts w:asciiTheme="minorHAnsi" w:hAnsiTheme="minorHAnsi" w:cstheme="minorHAnsi"/>
                <w:b/>
                <w:bCs/>
                <w:sz w:val="24"/>
                <w:szCs w:val="24"/>
              </w:rPr>
              <w:t>Reach</w:t>
            </w:r>
          </w:p>
        </w:tc>
      </w:tr>
      <w:tr w:rsidR="007868AD" w:rsidRPr="00450555" w14:paraId="66F42588" w14:textId="77777777" w:rsidTr="00A402D2">
        <w:tc>
          <w:tcPr>
            <w:tcW w:w="5665" w:type="dxa"/>
          </w:tcPr>
          <w:p w14:paraId="77CFE73C" w14:textId="77777777" w:rsidR="007868AD" w:rsidRPr="000107E2" w:rsidRDefault="007868AD" w:rsidP="00812DDD">
            <w:pPr>
              <w:spacing w:after="160" w:line="259" w:lineRule="auto"/>
              <w:jc w:val="both"/>
              <w:rPr>
                <w:rFonts w:asciiTheme="minorHAnsi" w:hAnsiTheme="minorHAnsi" w:cstheme="minorHAnsi"/>
                <w:bCs/>
                <w:sz w:val="24"/>
                <w:szCs w:val="24"/>
              </w:rPr>
            </w:pPr>
            <w:r w:rsidRPr="000107E2">
              <w:rPr>
                <w:rFonts w:asciiTheme="minorHAnsi" w:hAnsiTheme="minorHAnsi" w:cstheme="minorHAnsi"/>
                <w:b/>
                <w:bCs/>
                <w:sz w:val="24"/>
                <w:szCs w:val="24"/>
              </w:rPr>
              <w:t>Stakeholders</w:t>
            </w:r>
          </w:p>
          <w:p w14:paraId="4CE66B5B"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Northamptonshire Talking</w:t>
            </w:r>
          </w:p>
          <w:p w14:paraId="3EB15800"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Parish Councils and Town Councils</w:t>
            </w:r>
          </w:p>
          <w:p w14:paraId="3489DEF4"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 xml:space="preserve">Councillors for unitary authorities (West Northamptonshire and North Northamptonshire Councils) </w:t>
            </w:r>
          </w:p>
          <w:p w14:paraId="283B0026"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Chief Executives of unitary councils</w:t>
            </w:r>
          </w:p>
          <w:p w14:paraId="7A816C8C"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Police, Fire and Crime Panel members</w:t>
            </w:r>
          </w:p>
          <w:p w14:paraId="522E2048"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MPs</w:t>
            </w:r>
          </w:p>
          <w:p w14:paraId="4E9959E0"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Local organisations (such as WI)</w:t>
            </w:r>
          </w:p>
          <w:p w14:paraId="6C19B98B"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Schools</w:t>
            </w:r>
          </w:p>
          <w:p w14:paraId="31EFFB2A"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Businesses (including Retail Crime Partnership)</w:t>
            </w:r>
          </w:p>
          <w:p w14:paraId="5E8342DD"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lastRenderedPageBreak/>
              <w:t>Independent Custody Visitors</w:t>
            </w:r>
          </w:p>
          <w:p w14:paraId="6CA8F27F"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Independent Advisory Group members</w:t>
            </w:r>
          </w:p>
          <w:p w14:paraId="286BE6A7"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Road Safety Panel</w:t>
            </w:r>
          </w:p>
          <w:p w14:paraId="4E7C5987"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Rural interest groups (including NFU, Canal &amp; Rivers Trust)</w:t>
            </w:r>
          </w:p>
          <w:p w14:paraId="1383671D"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Hotels</w:t>
            </w:r>
          </w:p>
          <w:p w14:paraId="3317798F"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Local and hyper local publications</w:t>
            </w:r>
          </w:p>
          <w:p w14:paraId="269F3B5E"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Neighbourhood Watch Management Committee</w:t>
            </w:r>
          </w:p>
          <w:p w14:paraId="45B54583"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Community Safety Managers at local authorities</w:t>
            </w:r>
          </w:p>
          <w:p w14:paraId="56388D8D"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Joint Action Groups</w:t>
            </w:r>
          </w:p>
          <w:p w14:paraId="529B47B1"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Northamptonshire Association of Local Councils</w:t>
            </w:r>
          </w:p>
          <w:p w14:paraId="2A1A399A" w14:textId="77777777" w:rsidR="009F406A"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Police Liaison Representatives</w:t>
            </w:r>
          </w:p>
          <w:p w14:paraId="0774744B" w14:textId="13191D6B" w:rsidR="007868AD" w:rsidRPr="000107E2" w:rsidRDefault="009F406A" w:rsidP="00812DDD">
            <w:pPr>
              <w:pStyle w:val="ListParagraph"/>
              <w:numPr>
                <w:ilvl w:val="0"/>
                <w:numId w:val="4"/>
              </w:numPr>
              <w:spacing w:after="160" w:line="259" w:lineRule="auto"/>
              <w:jc w:val="both"/>
              <w:rPr>
                <w:rFonts w:asciiTheme="minorHAnsi" w:hAnsiTheme="minorHAnsi" w:cstheme="minorHAnsi"/>
                <w:bCs/>
                <w:sz w:val="24"/>
                <w:szCs w:val="24"/>
              </w:rPr>
            </w:pPr>
            <w:r w:rsidRPr="000107E2">
              <w:rPr>
                <w:rFonts w:asciiTheme="minorHAnsi" w:hAnsiTheme="minorHAnsi" w:cstheme="minorHAnsi"/>
                <w:bCs/>
                <w:sz w:val="24"/>
                <w:szCs w:val="24"/>
              </w:rPr>
              <w:t xml:space="preserve">Local </w:t>
            </w:r>
            <w:r w:rsidR="00D20604" w:rsidRPr="000107E2">
              <w:rPr>
                <w:rFonts w:asciiTheme="minorHAnsi" w:hAnsiTheme="minorHAnsi" w:cstheme="minorHAnsi"/>
                <w:bCs/>
                <w:sz w:val="24"/>
                <w:szCs w:val="24"/>
              </w:rPr>
              <w:t>C</w:t>
            </w:r>
            <w:r w:rsidRPr="000107E2">
              <w:rPr>
                <w:rFonts w:asciiTheme="minorHAnsi" w:hAnsiTheme="minorHAnsi" w:cstheme="minorHAnsi"/>
                <w:bCs/>
                <w:sz w:val="24"/>
                <w:szCs w:val="24"/>
              </w:rPr>
              <w:t xml:space="preserve">riminal </w:t>
            </w:r>
            <w:r w:rsidR="00D20604" w:rsidRPr="000107E2">
              <w:rPr>
                <w:rFonts w:asciiTheme="minorHAnsi" w:hAnsiTheme="minorHAnsi" w:cstheme="minorHAnsi"/>
                <w:bCs/>
                <w:sz w:val="24"/>
                <w:szCs w:val="24"/>
              </w:rPr>
              <w:t>J</w:t>
            </w:r>
            <w:r w:rsidRPr="000107E2">
              <w:rPr>
                <w:rFonts w:asciiTheme="minorHAnsi" w:hAnsiTheme="minorHAnsi" w:cstheme="minorHAnsi"/>
                <w:bCs/>
                <w:sz w:val="24"/>
                <w:szCs w:val="24"/>
              </w:rPr>
              <w:t xml:space="preserve">ustice </w:t>
            </w:r>
            <w:r w:rsidR="00D20604" w:rsidRPr="000107E2">
              <w:rPr>
                <w:rFonts w:asciiTheme="minorHAnsi" w:hAnsiTheme="minorHAnsi" w:cstheme="minorHAnsi"/>
                <w:bCs/>
                <w:sz w:val="24"/>
                <w:szCs w:val="24"/>
              </w:rPr>
              <w:t>B</w:t>
            </w:r>
            <w:r w:rsidRPr="000107E2">
              <w:rPr>
                <w:rFonts w:asciiTheme="minorHAnsi" w:hAnsiTheme="minorHAnsi" w:cstheme="minorHAnsi"/>
                <w:bCs/>
                <w:sz w:val="24"/>
                <w:szCs w:val="24"/>
              </w:rPr>
              <w:t>oards</w:t>
            </w:r>
          </w:p>
        </w:tc>
        <w:tc>
          <w:tcPr>
            <w:tcW w:w="3969" w:type="dxa"/>
          </w:tcPr>
          <w:p w14:paraId="3E82CE1F" w14:textId="77777777" w:rsidR="00DE422B" w:rsidRPr="000107E2" w:rsidRDefault="00DE422B" w:rsidP="009F406A">
            <w:pPr>
              <w:spacing w:after="160" w:line="259" w:lineRule="auto"/>
              <w:rPr>
                <w:rFonts w:asciiTheme="minorHAnsi" w:hAnsiTheme="minorHAnsi" w:cstheme="minorHAnsi"/>
                <w:sz w:val="24"/>
                <w:szCs w:val="24"/>
              </w:rPr>
            </w:pPr>
          </w:p>
          <w:p w14:paraId="39583425" w14:textId="46762C00" w:rsidR="009F406A" w:rsidRPr="000107E2" w:rsidRDefault="009F406A" w:rsidP="009F406A">
            <w:pPr>
              <w:spacing w:after="160" w:line="259" w:lineRule="auto"/>
              <w:rPr>
                <w:rFonts w:asciiTheme="minorHAnsi" w:hAnsiTheme="minorHAnsi" w:cstheme="minorHAnsi"/>
                <w:sz w:val="24"/>
                <w:szCs w:val="24"/>
              </w:rPr>
            </w:pPr>
            <w:r w:rsidRPr="000107E2">
              <w:rPr>
                <w:rFonts w:asciiTheme="minorHAnsi" w:hAnsiTheme="minorHAnsi" w:cstheme="minorHAnsi"/>
                <w:sz w:val="24"/>
                <w:szCs w:val="24"/>
              </w:rPr>
              <w:t>More than 33,000 emails were read from alerts sent on Northamptonshire Talking.</w:t>
            </w:r>
          </w:p>
          <w:p w14:paraId="07D539D9" w14:textId="77777777" w:rsidR="009F406A" w:rsidRPr="000107E2" w:rsidRDefault="009F406A" w:rsidP="009F406A">
            <w:pPr>
              <w:spacing w:after="160" w:line="259" w:lineRule="auto"/>
              <w:rPr>
                <w:rFonts w:asciiTheme="minorHAnsi" w:hAnsiTheme="minorHAnsi" w:cstheme="minorHAnsi"/>
                <w:sz w:val="24"/>
                <w:szCs w:val="24"/>
              </w:rPr>
            </w:pPr>
          </w:p>
          <w:p w14:paraId="66EB2B97" w14:textId="1A18FB79" w:rsidR="007868AD" w:rsidRPr="000107E2" w:rsidRDefault="009F406A" w:rsidP="009F406A">
            <w:pPr>
              <w:spacing w:after="160" w:line="259" w:lineRule="auto"/>
              <w:rPr>
                <w:rFonts w:asciiTheme="minorHAnsi" w:hAnsiTheme="minorHAnsi" w:cstheme="minorHAnsi"/>
                <w:sz w:val="24"/>
                <w:szCs w:val="24"/>
              </w:rPr>
            </w:pPr>
            <w:r w:rsidRPr="000107E2">
              <w:rPr>
                <w:rFonts w:asciiTheme="minorHAnsi" w:hAnsiTheme="minorHAnsi" w:cstheme="minorHAnsi"/>
                <w:sz w:val="24"/>
                <w:szCs w:val="24"/>
              </w:rPr>
              <w:t>Emails were sent to all 154 unitary councillors, and 272 contacts at parish councils across the county, asking them to cascade and share the consultation.</w:t>
            </w:r>
          </w:p>
        </w:tc>
      </w:tr>
      <w:tr w:rsidR="007868AD" w:rsidRPr="00450555" w14:paraId="3A7490AB" w14:textId="77777777" w:rsidTr="00A402D2">
        <w:tc>
          <w:tcPr>
            <w:tcW w:w="5665" w:type="dxa"/>
          </w:tcPr>
          <w:p w14:paraId="3F50BEE7" w14:textId="77777777" w:rsidR="007868AD" w:rsidRPr="000107E2" w:rsidRDefault="007868AD" w:rsidP="00A402D2">
            <w:pPr>
              <w:spacing w:after="160" w:line="259" w:lineRule="auto"/>
              <w:jc w:val="both"/>
              <w:rPr>
                <w:rFonts w:asciiTheme="minorHAnsi" w:hAnsiTheme="minorHAnsi" w:cstheme="minorHAnsi"/>
                <w:b/>
                <w:bCs/>
                <w:sz w:val="24"/>
                <w:szCs w:val="24"/>
              </w:rPr>
            </w:pPr>
            <w:r w:rsidRPr="000107E2">
              <w:rPr>
                <w:rFonts w:asciiTheme="minorHAnsi" w:hAnsiTheme="minorHAnsi" w:cstheme="minorHAnsi"/>
                <w:b/>
                <w:bCs/>
                <w:sz w:val="24"/>
                <w:szCs w:val="24"/>
              </w:rPr>
              <w:t>Internal</w:t>
            </w:r>
          </w:p>
          <w:p w14:paraId="626B23E3" w14:textId="77777777" w:rsidR="00D20604" w:rsidRPr="000107E2" w:rsidRDefault="00D20604" w:rsidP="00D20604">
            <w:pPr>
              <w:pStyle w:val="ListParagraph"/>
              <w:numPr>
                <w:ilvl w:val="0"/>
                <w:numId w:val="4"/>
              </w:numPr>
              <w:spacing w:after="160" w:line="259" w:lineRule="auto"/>
              <w:rPr>
                <w:rFonts w:asciiTheme="minorHAnsi" w:hAnsiTheme="minorHAnsi" w:cstheme="minorHAnsi"/>
                <w:sz w:val="24"/>
                <w:szCs w:val="24"/>
              </w:rPr>
            </w:pPr>
            <w:r w:rsidRPr="000107E2">
              <w:rPr>
                <w:rFonts w:asciiTheme="minorHAnsi" w:hAnsiTheme="minorHAnsi" w:cstheme="minorHAnsi"/>
                <w:sz w:val="24"/>
                <w:szCs w:val="24"/>
              </w:rPr>
              <w:t>News item on Forcenet – The Northamptonshire Police intranet viewed by all officers and staff</w:t>
            </w:r>
          </w:p>
          <w:p w14:paraId="434CAC4F" w14:textId="77777777" w:rsidR="00D20604" w:rsidRPr="000107E2" w:rsidRDefault="00D20604" w:rsidP="00D20604">
            <w:pPr>
              <w:pStyle w:val="ListParagraph"/>
              <w:numPr>
                <w:ilvl w:val="0"/>
                <w:numId w:val="4"/>
              </w:numPr>
              <w:spacing w:after="160" w:line="259" w:lineRule="auto"/>
              <w:rPr>
                <w:rFonts w:asciiTheme="minorHAnsi" w:hAnsiTheme="minorHAnsi" w:cstheme="minorHAnsi"/>
                <w:sz w:val="24"/>
                <w:szCs w:val="24"/>
              </w:rPr>
            </w:pPr>
            <w:r w:rsidRPr="000107E2">
              <w:rPr>
                <w:rFonts w:asciiTheme="minorHAnsi" w:hAnsiTheme="minorHAnsi" w:cstheme="minorHAnsi"/>
                <w:sz w:val="24"/>
                <w:szCs w:val="24"/>
              </w:rPr>
              <w:t>All staff email to OPFCC</w:t>
            </w:r>
          </w:p>
          <w:p w14:paraId="6F7B1B4D" w14:textId="77777777" w:rsidR="00D20604" w:rsidRPr="000107E2" w:rsidRDefault="00D20604" w:rsidP="00D20604">
            <w:pPr>
              <w:pStyle w:val="ListParagraph"/>
              <w:numPr>
                <w:ilvl w:val="0"/>
                <w:numId w:val="4"/>
              </w:numPr>
              <w:spacing w:after="160" w:line="259" w:lineRule="auto"/>
              <w:rPr>
                <w:rFonts w:asciiTheme="minorHAnsi" w:hAnsiTheme="minorHAnsi" w:cstheme="minorHAnsi"/>
                <w:sz w:val="24"/>
                <w:szCs w:val="24"/>
              </w:rPr>
            </w:pPr>
            <w:r w:rsidRPr="000107E2">
              <w:rPr>
                <w:rFonts w:asciiTheme="minorHAnsi" w:hAnsiTheme="minorHAnsi" w:cstheme="minorHAnsi"/>
                <w:sz w:val="24"/>
                <w:szCs w:val="24"/>
              </w:rPr>
              <w:t>News item on Northamptonshire Fire and Rescue Service intranet for Firefighters and staff – repeated twice during the survey period</w:t>
            </w:r>
          </w:p>
          <w:p w14:paraId="60D3598C" w14:textId="77777777" w:rsidR="00D20604" w:rsidRPr="000107E2" w:rsidRDefault="00D20604" w:rsidP="00D20604">
            <w:pPr>
              <w:pStyle w:val="ListParagraph"/>
              <w:numPr>
                <w:ilvl w:val="0"/>
                <w:numId w:val="4"/>
              </w:numPr>
              <w:spacing w:after="160" w:line="259" w:lineRule="auto"/>
              <w:rPr>
                <w:rFonts w:asciiTheme="minorHAnsi" w:hAnsiTheme="minorHAnsi" w:cstheme="minorHAnsi"/>
                <w:sz w:val="24"/>
                <w:szCs w:val="24"/>
              </w:rPr>
            </w:pPr>
            <w:r w:rsidRPr="000107E2">
              <w:rPr>
                <w:rFonts w:asciiTheme="minorHAnsi" w:hAnsiTheme="minorHAnsi" w:cstheme="minorHAnsi"/>
                <w:sz w:val="24"/>
                <w:szCs w:val="24"/>
              </w:rPr>
              <w:t>Daily Orders – link to item on Forcenet directing police staff to survey</w:t>
            </w:r>
          </w:p>
          <w:p w14:paraId="271F4460" w14:textId="77777777" w:rsidR="00D20604" w:rsidRPr="000107E2" w:rsidRDefault="00D20604" w:rsidP="00D20604">
            <w:pPr>
              <w:pStyle w:val="ListParagraph"/>
              <w:numPr>
                <w:ilvl w:val="0"/>
                <w:numId w:val="4"/>
              </w:numPr>
              <w:spacing w:after="160" w:line="259" w:lineRule="auto"/>
              <w:rPr>
                <w:rFonts w:asciiTheme="minorHAnsi" w:hAnsiTheme="minorHAnsi" w:cstheme="minorHAnsi"/>
                <w:sz w:val="24"/>
                <w:szCs w:val="24"/>
              </w:rPr>
            </w:pPr>
            <w:r w:rsidRPr="000107E2">
              <w:rPr>
                <w:rFonts w:asciiTheme="minorHAnsi" w:hAnsiTheme="minorHAnsi" w:cstheme="minorHAnsi"/>
                <w:sz w:val="24"/>
                <w:szCs w:val="24"/>
              </w:rPr>
              <w:t>Chief Officer vlog and blogs for both Northamptonshire Police and Northamptonshire Fire and Rescue Service</w:t>
            </w:r>
          </w:p>
          <w:p w14:paraId="758EDBA8" w14:textId="77777777" w:rsidR="00D20604" w:rsidRPr="000107E2" w:rsidRDefault="00D20604" w:rsidP="00D20604">
            <w:pPr>
              <w:pStyle w:val="ListParagraph"/>
              <w:numPr>
                <w:ilvl w:val="0"/>
                <w:numId w:val="4"/>
              </w:numPr>
              <w:spacing w:after="160" w:line="259" w:lineRule="auto"/>
              <w:rPr>
                <w:rFonts w:asciiTheme="minorHAnsi" w:hAnsiTheme="minorHAnsi" w:cstheme="minorHAnsi"/>
                <w:sz w:val="24"/>
                <w:szCs w:val="24"/>
              </w:rPr>
            </w:pPr>
            <w:r w:rsidRPr="000107E2">
              <w:rPr>
                <w:rFonts w:asciiTheme="minorHAnsi" w:hAnsiTheme="minorHAnsi" w:cstheme="minorHAnsi"/>
                <w:sz w:val="24"/>
                <w:szCs w:val="24"/>
              </w:rPr>
              <w:t>Splash screen survey message on every computer across OPFCC, Fire and Police</w:t>
            </w:r>
          </w:p>
          <w:p w14:paraId="065EC3B5" w14:textId="048DB27F" w:rsidR="007868AD" w:rsidRPr="000107E2" w:rsidRDefault="00D20604" w:rsidP="00D20604">
            <w:pPr>
              <w:pStyle w:val="ListParagraph"/>
              <w:numPr>
                <w:ilvl w:val="0"/>
                <w:numId w:val="4"/>
              </w:numPr>
              <w:spacing w:after="160" w:line="259" w:lineRule="auto"/>
              <w:rPr>
                <w:rFonts w:asciiTheme="minorHAnsi" w:hAnsiTheme="minorHAnsi" w:cstheme="minorHAnsi"/>
                <w:b/>
                <w:sz w:val="24"/>
                <w:szCs w:val="24"/>
              </w:rPr>
            </w:pPr>
            <w:r w:rsidRPr="000107E2">
              <w:rPr>
                <w:rFonts w:asciiTheme="minorHAnsi" w:hAnsiTheme="minorHAnsi" w:cstheme="minorHAnsi"/>
                <w:sz w:val="24"/>
                <w:szCs w:val="24"/>
              </w:rPr>
              <w:t>Repeated messaging during bi-weekly Pacesetter meetings for senior firefighters with requests to cascade</w:t>
            </w:r>
          </w:p>
        </w:tc>
        <w:tc>
          <w:tcPr>
            <w:tcW w:w="3969" w:type="dxa"/>
          </w:tcPr>
          <w:p w14:paraId="7C86B9D0" w14:textId="77777777" w:rsidR="007868AD" w:rsidRPr="000107E2" w:rsidRDefault="007868AD" w:rsidP="00A402D2">
            <w:pPr>
              <w:rPr>
                <w:rFonts w:asciiTheme="minorHAnsi" w:hAnsiTheme="minorHAnsi" w:cstheme="minorHAnsi"/>
                <w:sz w:val="24"/>
                <w:szCs w:val="24"/>
              </w:rPr>
            </w:pPr>
          </w:p>
          <w:p w14:paraId="67E043E2" w14:textId="4C158188" w:rsidR="00D20604" w:rsidRPr="000107E2" w:rsidRDefault="00D20604" w:rsidP="00D20604">
            <w:pPr>
              <w:rPr>
                <w:rFonts w:asciiTheme="minorHAnsi" w:hAnsiTheme="minorHAnsi" w:cstheme="minorHAnsi"/>
                <w:sz w:val="24"/>
                <w:szCs w:val="24"/>
              </w:rPr>
            </w:pPr>
            <w:r w:rsidRPr="000107E2">
              <w:rPr>
                <w:rFonts w:asciiTheme="minorHAnsi" w:hAnsiTheme="minorHAnsi" w:cstheme="minorHAnsi"/>
                <w:sz w:val="24"/>
                <w:szCs w:val="24"/>
              </w:rPr>
              <w:t>News release was published on respective intranets on 28</w:t>
            </w:r>
            <w:r w:rsidRPr="000107E2">
              <w:rPr>
                <w:rFonts w:asciiTheme="minorHAnsi" w:hAnsiTheme="minorHAnsi" w:cstheme="minorHAnsi"/>
                <w:sz w:val="24"/>
                <w:szCs w:val="24"/>
                <w:vertAlign w:val="superscript"/>
              </w:rPr>
              <w:t>th</w:t>
            </w:r>
            <w:r w:rsidRPr="000107E2">
              <w:rPr>
                <w:rFonts w:asciiTheme="minorHAnsi" w:hAnsiTheme="minorHAnsi" w:cstheme="minorHAnsi"/>
                <w:sz w:val="24"/>
                <w:szCs w:val="24"/>
              </w:rPr>
              <w:t xml:space="preserve"> November and reminder news release was published on 31</w:t>
            </w:r>
            <w:r w:rsidRPr="000107E2">
              <w:rPr>
                <w:rFonts w:asciiTheme="minorHAnsi" w:hAnsiTheme="minorHAnsi" w:cstheme="minorHAnsi"/>
                <w:sz w:val="24"/>
                <w:szCs w:val="24"/>
                <w:vertAlign w:val="superscript"/>
              </w:rPr>
              <w:t>st</w:t>
            </w:r>
            <w:r w:rsidRPr="000107E2">
              <w:rPr>
                <w:rFonts w:asciiTheme="minorHAnsi" w:hAnsiTheme="minorHAnsi" w:cstheme="minorHAnsi"/>
                <w:sz w:val="24"/>
                <w:szCs w:val="24"/>
              </w:rPr>
              <w:t xml:space="preserve"> December.</w:t>
            </w:r>
          </w:p>
          <w:p w14:paraId="21991948" w14:textId="77777777" w:rsidR="00D20604" w:rsidRPr="000107E2" w:rsidRDefault="00D20604" w:rsidP="00D20604">
            <w:pPr>
              <w:rPr>
                <w:rFonts w:asciiTheme="minorHAnsi" w:hAnsiTheme="minorHAnsi" w:cstheme="minorHAnsi"/>
                <w:sz w:val="24"/>
                <w:szCs w:val="24"/>
              </w:rPr>
            </w:pPr>
          </w:p>
          <w:p w14:paraId="096BB361" w14:textId="77777777" w:rsidR="00D20604" w:rsidRPr="000107E2" w:rsidRDefault="00D20604" w:rsidP="00D20604">
            <w:pPr>
              <w:rPr>
                <w:rFonts w:asciiTheme="minorHAnsi" w:hAnsiTheme="minorHAnsi" w:cstheme="minorHAnsi"/>
                <w:sz w:val="24"/>
                <w:szCs w:val="24"/>
              </w:rPr>
            </w:pPr>
            <w:r w:rsidRPr="000107E2">
              <w:rPr>
                <w:rFonts w:asciiTheme="minorHAnsi" w:hAnsiTheme="minorHAnsi" w:cstheme="minorHAnsi"/>
                <w:sz w:val="24"/>
                <w:szCs w:val="24"/>
              </w:rPr>
              <w:t>Intranet articles and all staff email sent to more than 3,000 police officers, police staff, firefighters, fire staff, enabling services staff and OPFCC staff.</w:t>
            </w:r>
          </w:p>
          <w:p w14:paraId="03CD4A03" w14:textId="77777777" w:rsidR="00D20604" w:rsidRPr="000107E2" w:rsidRDefault="00D20604" w:rsidP="00D20604">
            <w:pPr>
              <w:rPr>
                <w:rFonts w:asciiTheme="minorHAnsi" w:hAnsiTheme="minorHAnsi" w:cstheme="minorHAnsi"/>
                <w:sz w:val="24"/>
                <w:szCs w:val="24"/>
              </w:rPr>
            </w:pPr>
          </w:p>
          <w:p w14:paraId="759D0A49" w14:textId="77777777" w:rsidR="00D20604" w:rsidRPr="000107E2" w:rsidRDefault="00D20604" w:rsidP="00D20604">
            <w:pPr>
              <w:rPr>
                <w:rFonts w:asciiTheme="minorHAnsi" w:hAnsiTheme="minorHAnsi" w:cstheme="minorHAnsi"/>
                <w:sz w:val="24"/>
                <w:szCs w:val="24"/>
              </w:rPr>
            </w:pPr>
            <w:r w:rsidRPr="000107E2">
              <w:rPr>
                <w:rFonts w:asciiTheme="minorHAnsi" w:hAnsiTheme="minorHAnsi" w:cstheme="minorHAnsi"/>
                <w:sz w:val="24"/>
                <w:szCs w:val="24"/>
              </w:rPr>
              <w:t>Physical assets such as posters, business cards and leaflets were available for police staff and firefighters to distribute at public events they were attending.</w:t>
            </w:r>
          </w:p>
          <w:p w14:paraId="24A09160" w14:textId="77777777" w:rsidR="00D20604" w:rsidRPr="000107E2" w:rsidRDefault="00D20604" w:rsidP="00D20604">
            <w:pPr>
              <w:rPr>
                <w:rFonts w:asciiTheme="minorHAnsi" w:hAnsiTheme="minorHAnsi" w:cstheme="minorHAnsi"/>
                <w:sz w:val="24"/>
                <w:szCs w:val="24"/>
              </w:rPr>
            </w:pPr>
          </w:p>
          <w:p w14:paraId="4978CD9B" w14:textId="58FCE132" w:rsidR="00D20604" w:rsidRPr="000107E2" w:rsidRDefault="00D20604" w:rsidP="00D20604">
            <w:pPr>
              <w:rPr>
                <w:rFonts w:asciiTheme="minorHAnsi" w:hAnsiTheme="minorHAnsi" w:cstheme="minorHAnsi"/>
                <w:sz w:val="24"/>
                <w:szCs w:val="24"/>
              </w:rPr>
            </w:pPr>
            <w:r w:rsidRPr="000107E2">
              <w:rPr>
                <w:rFonts w:asciiTheme="minorHAnsi" w:hAnsiTheme="minorHAnsi" w:cstheme="minorHAnsi"/>
                <w:sz w:val="24"/>
                <w:szCs w:val="24"/>
              </w:rPr>
              <w:t>529 views (police vlog)</w:t>
            </w:r>
          </w:p>
        </w:tc>
      </w:tr>
      <w:tr w:rsidR="007868AD" w:rsidRPr="00450555" w14:paraId="68E59493" w14:textId="77777777" w:rsidTr="00A402D2">
        <w:tc>
          <w:tcPr>
            <w:tcW w:w="5665" w:type="dxa"/>
          </w:tcPr>
          <w:p w14:paraId="24DED666" w14:textId="77777777" w:rsidR="007868AD" w:rsidRPr="000107E2" w:rsidRDefault="007868AD" w:rsidP="00812DDD">
            <w:pPr>
              <w:spacing w:after="160" w:line="259" w:lineRule="auto"/>
              <w:jc w:val="both"/>
              <w:rPr>
                <w:rFonts w:asciiTheme="minorHAnsi" w:hAnsiTheme="minorHAnsi" w:cstheme="minorHAnsi"/>
                <w:b/>
                <w:bCs/>
                <w:sz w:val="24"/>
                <w:szCs w:val="24"/>
              </w:rPr>
            </w:pPr>
            <w:r w:rsidRPr="000107E2">
              <w:rPr>
                <w:rFonts w:asciiTheme="minorHAnsi" w:hAnsiTheme="minorHAnsi" w:cstheme="minorHAnsi"/>
                <w:b/>
                <w:bCs/>
                <w:sz w:val="24"/>
                <w:szCs w:val="24"/>
              </w:rPr>
              <w:t>Key Internal Stakeholders</w:t>
            </w:r>
          </w:p>
          <w:p w14:paraId="5245151D" w14:textId="77777777" w:rsidR="00D20604" w:rsidRPr="000107E2" w:rsidRDefault="00D20604" w:rsidP="00812DDD">
            <w:pPr>
              <w:numPr>
                <w:ilvl w:val="0"/>
                <w:numId w:val="2"/>
              </w:numPr>
              <w:spacing w:line="240" w:lineRule="auto"/>
              <w:rPr>
                <w:rFonts w:asciiTheme="minorHAnsi" w:hAnsiTheme="minorHAnsi" w:cstheme="minorHAnsi"/>
                <w:sz w:val="24"/>
                <w:szCs w:val="24"/>
              </w:rPr>
            </w:pPr>
            <w:r w:rsidRPr="000107E2">
              <w:rPr>
                <w:rFonts w:asciiTheme="minorHAnsi" w:hAnsiTheme="minorHAnsi" w:cstheme="minorHAnsi"/>
                <w:sz w:val="24"/>
                <w:szCs w:val="24"/>
              </w:rPr>
              <w:t>Northamptonshire Police Chief Officers</w:t>
            </w:r>
          </w:p>
          <w:p w14:paraId="3F47CB82" w14:textId="77777777" w:rsidR="00D20604" w:rsidRPr="000107E2" w:rsidRDefault="00D20604" w:rsidP="00812DDD">
            <w:pPr>
              <w:numPr>
                <w:ilvl w:val="0"/>
                <w:numId w:val="2"/>
              </w:numPr>
              <w:spacing w:line="240" w:lineRule="auto"/>
              <w:rPr>
                <w:rFonts w:asciiTheme="minorHAnsi" w:hAnsiTheme="minorHAnsi" w:cstheme="minorHAnsi"/>
                <w:sz w:val="24"/>
                <w:szCs w:val="24"/>
              </w:rPr>
            </w:pPr>
            <w:r w:rsidRPr="000107E2">
              <w:rPr>
                <w:rFonts w:asciiTheme="minorHAnsi" w:hAnsiTheme="minorHAnsi" w:cstheme="minorHAnsi"/>
                <w:sz w:val="24"/>
                <w:szCs w:val="24"/>
              </w:rPr>
              <w:t xml:space="preserve">Northamptonshire Fire and Rescue Service (NFRS) Senior Leadership Team </w:t>
            </w:r>
          </w:p>
          <w:p w14:paraId="40570920" w14:textId="77777777" w:rsidR="00D20604" w:rsidRPr="000107E2" w:rsidRDefault="00D20604" w:rsidP="00812DDD">
            <w:pPr>
              <w:numPr>
                <w:ilvl w:val="0"/>
                <w:numId w:val="2"/>
              </w:numPr>
              <w:spacing w:line="240" w:lineRule="auto"/>
              <w:rPr>
                <w:rFonts w:asciiTheme="minorHAnsi" w:hAnsiTheme="minorHAnsi" w:cstheme="minorHAnsi"/>
                <w:sz w:val="24"/>
                <w:szCs w:val="24"/>
              </w:rPr>
            </w:pPr>
            <w:r w:rsidRPr="000107E2">
              <w:rPr>
                <w:rFonts w:asciiTheme="minorHAnsi" w:hAnsiTheme="minorHAnsi" w:cstheme="minorHAnsi"/>
                <w:sz w:val="24"/>
                <w:szCs w:val="24"/>
              </w:rPr>
              <w:t>Directors in the Office of the Police, Fire and Crime Commissioner (OPFCC)</w:t>
            </w:r>
          </w:p>
          <w:p w14:paraId="6605F4BA" w14:textId="77777777" w:rsidR="00D20604" w:rsidRPr="000107E2" w:rsidRDefault="00D20604" w:rsidP="00812DDD">
            <w:pPr>
              <w:numPr>
                <w:ilvl w:val="0"/>
                <w:numId w:val="2"/>
              </w:numPr>
              <w:spacing w:line="240" w:lineRule="auto"/>
              <w:rPr>
                <w:rFonts w:asciiTheme="minorHAnsi" w:hAnsiTheme="minorHAnsi" w:cstheme="minorHAnsi"/>
                <w:sz w:val="24"/>
                <w:szCs w:val="24"/>
              </w:rPr>
            </w:pPr>
            <w:r w:rsidRPr="000107E2">
              <w:rPr>
                <w:rFonts w:asciiTheme="minorHAnsi" w:hAnsiTheme="minorHAnsi" w:cstheme="minorHAnsi"/>
                <w:sz w:val="24"/>
                <w:szCs w:val="24"/>
              </w:rPr>
              <w:t>OPFCC Customer Service team</w:t>
            </w:r>
          </w:p>
          <w:p w14:paraId="0D8A7730" w14:textId="77777777" w:rsidR="00D20604" w:rsidRPr="000107E2" w:rsidRDefault="00D20604" w:rsidP="00812DDD">
            <w:pPr>
              <w:numPr>
                <w:ilvl w:val="0"/>
                <w:numId w:val="2"/>
              </w:numPr>
              <w:spacing w:line="240" w:lineRule="auto"/>
              <w:rPr>
                <w:rFonts w:asciiTheme="minorHAnsi" w:hAnsiTheme="minorHAnsi" w:cstheme="minorHAnsi"/>
                <w:sz w:val="24"/>
                <w:szCs w:val="24"/>
              </w:rPr>
            </w:pPr>
            <w:r w:rsidRPr="000107E2">
              <w:rPr>
                <w:rFonts w:asciiTheme="minorHAnsi" w:hAnsiTheme="minorHAnsi" w:cstheme="minorHAnsi"/>
                <w:sz w:val="24"/>
                <w:szCs w:val="24"/>
              </w:rPr>
              <w:t>Police Federation</w:t>
            </w:r>
          </w:p>
          <w:p w14:paraId="140B2A55" w14:textId="77777777" w:rsidR="00D20604" w:rsidRPr="000107E2" w:rsidRDefault="00D20604" w:rsidP="00812DDD">
            <w:pPr>
              <w:numPr>
                <w:ilvl w:val="0"/>
                <w:numId w:val="2"/>
              </w:numPr>
              <w:spacing w:line="240" w:lineRule="auto"/>
              <w:rPr>
                <w:rFonts w:asciiTheme="minorHAnsi" w:hAnsiTheme="minorHAnsi" w:cstheme="minorHAnsi"/>
                <w:sz w:val="24"/>
                <w:szCs w:val="24"/>
              </w:rPr>
            </w:pPr>
            <w:r w:rsidRPr="000107E2">
              <w:rPr>
                <w:rFonts w:asciiTheme="minorHAnsi" w:hAnsiTheme="minorHAnsi" w:cstheme="minorHAnsi"/>
                <w:sz w:val="24"/>
                <w:szCs w:val="24"/>
              </w:rPr>
              <w:t>Unison</w:t>
            </w:r>
          </w:p>
          <w:p w14:paraId="0B63B3B5" w14:textId="77777777" w:rsidR="00D20604" w:rsidRPr="000107E2" w:rsidRDefault="00D20604" w:rsidP="00812DDD">
            <w:pPr>
              <w:numPr>
                <w:ilvl w:val="0"/>
                <w:numId w:val="2"/>
              </w:numPr>
              <w:spacing w:line="240" w:lineRule="auto"/>
              <w:rPr>
                <w:rFonts w:asciiTheme="minorHAnsi" w:hAnsiTheme="minorHAnsi" w:cstheme="minorHAnsi"/>
                <w:sz w:val="24"/>
                <w:szCs w:val="24"/>
              </w:rPr>
            </w:pPr>
            <w:r w:rsidRPr="000107E2">
              <w:rPr>
                <w:rFonts w:asciiTheme="minorHAnsi" w:hAnsiTheme="minorHAnsi" w:cstheme="minorHAnsi"/>
                <w:sz w:val="24"/>
                <w:szCs w:val="24"/>
              </w:rPr>
              <w:t>Police Superintendents’ Association</w:t>
            </w:r>
          </w:p>
          <w:p w14:paraId="236998B7" w14:textId="6B651C24" w:rsidR="007868AD" w:rsidRPr="000107E2" w:rsidRDefault="00D20604" w:rsidP="00812DDD">
            <w:pPr>
              <w:numPr>
                <w:ilvl w:val="0"/>
                <w:numId w:val="2"/>
              </w:numPr>
              <w:spacing w:line="240" w:lineRule="auto"/>
              <w:rPr>
                <w:rFonts w:asciiTheme="minorHAnsi" w:hAnsiTheme="minorHAnsi" w:cstheme="minorHAnsi"/>
                <w:sz w:val="24"/>
                <w:szCs w:val="24"/>
              </w:rPr>
            </w:pPr>
            <w:r w:rsidRPr="000107E2">
              <w:rPr>
                <w:rFonts w:asciiTheme="minorHAnsi" w:hAnsiTheme="minorHAnsi" w:cstheme="minorHAnsi"/>
                <w:sz w:val="24"/>
                <w:szCs w:val="24"/>
              </w:rPr>
              <w:t>Voice</w:t>
            </w:r>
          </w:p>
        </w:tc>
        <w:tc>
          <w:tcPr>
            <w:tcW w:w="3969" w:type="dxa"/>
          </w:tcPr>
          <w:p w14:paraId="251459C2" w14:textId="77777777" w:rsidR="007868AD" w:rsidRPr="000107E2" w:rsidRDefault="007868AD" w:rsidP="00A402D2">
            <w:pPr>
              <w:spacing w:after="160" w:line="259" w:lineRule="auto"/>
              <w:jc w:val="both"/>
              <w:rPr>
                <w:rFonts w:asciiTheme="minorHAnsi" w:hAnsiTheme="minorHAnsi" w:cstheme="minorHAnsi"/>
                <w:sz w:val="24"/>
                <w:szCs w:val="24"/>
              </w:rPr>
            </w:pPr>
          </w:p>
          <w:p w14:paraId="37226A9D" w14:textId="7017262E" w:rsidR="007868AD" w:rsidRPr="000107E2" w:rsidRDefault="00D20604" w:rsidP="00A402D2">
            <w:pPr>
              <w:spacing w:after="160" w:line="259" w:lineRule="auto"/>
              <w:jc w:val="both"/>
              <w:rPr>
                <w:rFonts w:asciiTheme="minorHAnsi" w:hAnsiTheme="minorHAnsi" w:cstheme="minorHAnsi"/>
                <w:sz w:val="24"/>
                <w:szCs w:val="24"/>
              </w:rPr>
            </w:pPr>
            <w:r w:rsidRPr="000107E2">
              <w:rPr>
                <w:rFonts w:asciiTheme="minorHAnsi" w:hAnsiTheme="minorHAnsi" w:cstheme="minorHAnsi"/>
                <w:sz w:val="24"/>
                <w:szCs w:val="24"/>
              </w:rPr>
              <w:t>Email request to cascade to their members/contacts/networks.</w:t>
            </w:r>
          </w:p>
          <w:p w14:paraId="3E60E041" w14:textId="77777777" w:rsidR="007868AD" w:rsidRPr="000107E2" w:rsidRDefault="007868AD" w:rsidP="00A402D2">
            <w:pPr>
              <w:spacing w:after="160" w:line="259" w:lineRule="auto"/>
              <w:jc w:val="both"/>
              <w:rPr>
                <w:rFonts w:asciiTheme="minorHAnsi" w:hAnsiTheme="minorHAnsi" w:cstheme="minorHAnsi"/>
                <w:sz w:val="24"/>
                <w:szCs w:val="24"/>
              </w:rPr>
            </w:pPr>
          </w:p>
          <w:p w14:paraId="2587E193" w14:textId="77777777" w:rsidR="007868AD" w:rsidRPr="000107E2" w:rsidRDefault="007868AD" w:rsidP="00A402D2">
            <w:pPr>
              <w:spacing w:after="160" w:line="259" w:lineRule="auto"/>
              <w:jc w:val="both"/>
              <w:rPr>
                <w:rFonts w:asciiTheme="minorHAnsi" w:hAnsiTheme="minorHAnsi" w:cstheme="minorHAnsi"/>
                <w:sz w:val="24"/>
                <w:szCs w:val="24"/>
              </w:rPr>
            </w:pPr>
          </w:p>
        </w:tc>
      </w:tr>
      <w:tr w:rsidR="007868AD" w:rsidRPr="00450555" w14:paraId="24E68DC8" w14:textId="77777777" w:rsidTr="00A402D2">
        <w:tc>
          <w:tcPr>
            <w:tcW w:w="5665" w:type="dxa"/>
          </w:tcPr>
          <w:p w14:paraId="6CB835A8" w14:textId="248B0E5B" w:rsidR="007868AD" w:rsidRPr="000107E2" w:rsidRDefault="007868AD" w:rsidP="00A402D2">
            <w:pPr>
              <w:spacing w:after="160" w:line="259" w:lineRule="auto"/>
              <w:rPr>
                <w:rFonts w:asciiTheme="minorHAnsi" w:hAnsiTheme="minorHAnsi" w:cstheme="minorHAnsi"/>
                <w:b/>
                <w:bCs/>
                <w:sz w:val="24"/>
                <w:szCs w:val="24"/>
              </w:rPr>
            </w:pPr>
            <w:r w:rsidRPr="000107E2">
              <w:rPr>
                <w:rFonts w:asciiTheme="minorHAnsi" w:hAnsiTheme="minorHAnsi" w:cstheme="minorHAnsi"/>
                <w:b/>
                <w:bCs/>
                <w:sz w:val="24"/>
                <w:szCs w:val="24"/>
              </w:rPr>
              <w:lastRenderedPageBreak/>
              <w:t>Media</w:t>
            </w:r>
          </w:p>
          <w:p w14:paraId="0A8EC2BC" w14:textId="16B1CD74" w:rsidR="00D20604" w:rsidRPr="000107E2" w:rsidRDefault="00D20604" w:rsidP="00D20604">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A news release was issued to all local and regional media across Northamptonshire.</w:t>
            </w:r>
          </w:p>
          <w:p w14:paraId="21D1513C" w14:textId="3E238C85" w:rsidR="00D20604" w:rsidRPr="000107E2" w:rsidRDefault="00D20604" w:rsidP="00D20604">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News release was sent to hyper local publications.</w:t>
            </w:r>
          </w:p>
          <w:p w14:paraId="76262157" w14:textId="4E3897FD" w:rsidR="00D20604" w:rsidRPr="000107E2" w:rsidRDefault="00D20604" w:rsidP="00D20604">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The survey was trailed in the December edition of the PFCC newsletter.</w:t>
            </w:r>
          </w:p>
          <w:p w14:paraId="01DC5224" w14:textId="18BBFB0B" w:rsidR="007868AD" w:rsidRPr="000107E2" w:rsidRDefault="00D20604" w:rsidP="00812DDD">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 xml:space="preserve">The Commissioner appeared on BBC Radio Northampton on </w:t>
            </w:r>
            <w:r w:rsidR="00812DDD" w:rsidRPr="000107E2">
              <w:rPr>
                <w:rFonts w:asciiTheme="minorHAnsi" w:hAnsiTheme="minorHAnsi" w:cstheme="minorHAnsi"/>
                <w:bCs/>
                <w:sz w:val="24"/>
                <w:szCs w:val="24"/>
              </w:rPr>
              <w:t>17</w:t>
            </w:r>
            <w:r w:rsidR="00812DDD" w:rsidRPr="000107E2">
              <w:rPr>
                <w:rFonts w:asciiTheme="minorHAnsi" w:hAnsiTheme="minorHAnsi" w:cstheme="minorHAnsi"/>
                <w:bCs/>
                <w:sz w:val="24"/>
                <w:szCs w:val="24"/>
                <w:vertAlign w:val="superscript"/>
              </w:rPr>
              <w:t>th</w:t>
            </w:r>
            <w:r w:rsidR="00812DDD" w:rsidRPr="000107E2">
              <w:rPr>
                <w:rFonts w:asciiTheme="minorHAnsi" w:hAnsiTheme="minorHAnsi" w:cstheme="minorHAnsi"/>
                <w:bCs/>
                <w:sz w:val="24"/>
                <w:szCs w:val="24"/>
              </w:rPr>
              <w:t xml:space="preserve"> </w:t>
            </w:r>
            <w:r w:rsidRPr="000107E2">
              <w:rPr>
                <w:rFonts w:asciiTheme="minorHAnsi" w:hAnsiTheme="minorHAnsi" w:cstheme="minorHAnsi"/>
                <w:bCs/>
                <w:sz w:val="24"/>
                <w:szCs w:val="24"/>
              </w:rPr>
              <w:t>December to discuss the survey and take questions from members of the public.</w:t>
            </w:r>
          </w:p>
        </w:tc>
        <w:tc>
          <w:tcPr>
            <w:tcW w:w="3969" w:type="dxa"/>
          </w:tcPr>
          <w:p w14:paraId="628292F1" w14:textId="77777777" w:rsidR="00DE422B" w:rsidRPr="000107E2" w:rsidRDefault="00DE422B" w:rsidP="00D20604">
            <w:pPr>
              <w:rPr>
                <w:rFonts w:asciiTheme="minorHAnsi" w:hAnsiTheme="minorHAnsi" w:cstheme="minorHAnsi"/>
                <w:sz w:val="24"/>
                <w:szCs w:val="24"/>
              </w:rPr>
            </w:pPr>
          </w:p>
          <w:p w14:paraId="05341621" w14:textId="3B2A5819" w:rsidR="00D20604" w:rsidRPr="000107E2" w:rsidRDefault="00D20604" w:rsidP="00D20604">
            <w:pPr>
              <w:rPr>
                <w:rFonts w:asciiTheme="minorHAnsi" w:hAnsiTheme="minorHAnsi" w:cstheme="minorHAnsi"/>
                <w:sz w:val="24"/>
                <w:szCs w:val="24"/>
              </w:rPr>
            </w:pPr>
            <w:r w:rsidRPr="000107E2">
              <w:rPr>
                <w:rFonts w:asciiTheme="minorHAnsi" w:hAnsiTheme="minorHAnsi" w:cstheme="minorHAnsi"/>
                <w:sz w:val="24"/>
                <w:szCs w:val="24"/>
              </w:rPr>
              <w:t>The news release was sent to more than 20 newsrooms and other local news sites, and approximately 100 individual reporters.</w:t>
            </w:r>
          </w:p>
          <w:p w14:paraId="3A41A916" w14:textId="77777777" w:rsidR="00D20604" w:rsidRPr="000107E2" w:rsidRDefault="00D20604" w:rsidP="00D20604">
            <w:pPr>
              <w:rPr>
                <w:rFonts w:asciiTheme="minorHAnsi" w:hAnsiTheme="minorHAnsi" w:cstheme="minorHAnsi"/>
                <w:sz w:val="24"/>
                <w:szCs w:val="24"/>
              </w:rPr>
            </w:pPr>
          </w:p>
          <w:p w14:paraId="42A090FA" w14:textId="0D6C3724" w:rsidR="007868AD" w:rsidRPr="000107E2" w:rsidRDefault="00D20604" w:rsidP="00D20604">
            <w:pPr>
              <w:rPr>
                <w:rFonts w:asciiTheme="minorHAnsi" w:hAnsiTheme="minorHAnsi" w:cstheme="minorHAnsi"/>
                <w:sz w:val="24"/>
                <w:szCs w:val="24"/>
              </w:rPr>
            </w:pPr>
            <w:r w:rsidRPr="000107E2">
              <w:rPr>
                <w:rFonts w:asciiTheme="minorHAnsi" w:hAnsiTheme="minorHAnsi" w:cstheme="minorHAnsi"/>
                <w:sz w:val="24"/>
                <w:szCs w:val="24"/>
              </w:rPr>
              <w:t>There was media coverage in Northampton Chronicle &amp; Echo (29</w:t>
            </w:r>
            <w:r w:rsidRPr="000107E2">
              <w:rPr>
                <w:rFonts w:asciiTheme="minorHAnsi" w:hAnsiTheme="minorHAnsi" w:cstheme="minorHAnsi"/>
                <w:sz w:val="24"/>
                <w:szCs w:val="24"/>
                <w:vertAlign w:val="superscript"/>
              </w:rPr>
              <w:t>th</w:t>
            </w:r>
            <w:r w:rsidRPr="000107E2">
              <w:rPr>
                <w:rFonts w:asciiTheme="minorHAnsi" w:hAnsiTheme="minorHAnsi" w:cstheme="minorHAnsi"/>
                <w:sz w:val="24"/>
                <w:szCs w:val="24"/>
              </w:rPr>
              <w:t xml:space="preserve"> November) and BBC News online (17</w:t>
            </w:r>
            <w:r w:rsidRPr="000107E2">
              <w:rPr>
                <w:rFonts w:asciiTheme="minorHAnsi" w:hAnsiTheme="minorHAnsi" w:cstheme="minorHAnsi"/>
                <w:sz w:val="24"/>
                <w:szCs w:val="24"/>
                <w:vertAlign w:val="superscript"/>
              </w:rPr>
              <w:t>th</w:t>
            </w:r>
            <w:r w:rsidRPr="000107E2">
              <w:rPr>
                <w:rFonts w:asciiTheme="minorHAnsi" w:hAnsiTheme="minorHAnsi" w:cstheme="minorHAnsi"/>
                <w:sz w:val="24"/>
                <w:szCs w:val="24"/>
              </w:rPr>
              <w:t xml:space="preserve"> December).</w:t>
            </w:r>
          </w:p>
        </w:tc>
      </w:tr>
      <w:tr w:rsidR="007868AD" w:rsidRPr="00450555" w14:paraId="1702FFA9" w14:textId="77777777" w:rsidTr="00A402D2">
        <w:tc>
          <w:tcPr>
            <w:tcW w:w="5665" w:type="dxa"/>
          </w:tcPr>
          <w:p w14:paraId="3BD9E5A8" w14:textId="77777777" w:rsidR="007868AD" w:rsidRPr="000107E2" w:rsidRDefault="007868AD" w:rsidP="00A402D2">
            <w:pPr>
              <w:spacing w:after="160" w:line="259" w:lineRule="auto"/>
              <w:jc w:val="both"/>
              <w:rPr>
                <w:rFonts w:asciiTheme="minorHAnsi" w:hAnsiTheme="minorHAnsi" w:cstheme="minorHAnsi"/>
                <w:b/>
                <w:bCs/>
                <w:sz w:val="24"/>
                <w:szCs w:val="24"/>
              </w:rPr>
            </w:pPr>
            <w:r w:rsidRPr="000107E2">
              <w:rPr>
                <w:rFonts w:asciiTheme="minorHAnsi" w:hAnsiTheme="minorHAnsi" w:cstheme="minorHAnsi"/>
                <w:b/>
                <w:bCs/>
                <w:sz w:val="24"/>
                <w:szCs w:val="24"/>
              </w:rPr>
              <w:t xml:space="preserve">Digital and Social </w:t>
            </w:r>
          </w:p>
          <w:p w14:paraId="0A97ABBF" w14:textId="23D66AB8" w:rsidR="00D20604" w:rsidRPr="000107E2" w:rsidRDefault="00D20604" w:rsidP="00D20604">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Meta (paid £89.11)</w:t>
            </w:r>
          </w:p>
          <w:p w14:paraId="1F71DAAE" w14:textId="77777777" w:rsidR="00D20604" w:rsidRPr="000107E2" w:rsidRDefault="00D20604" w:rsidP="00D20604">
            <w:pPr>
              <w:pStyle w:val="ListParagraph"/>
              <w:spacing w:after="160" w:line="259" w:lineRule="auto"/>
              <w:rPr>
                <w:rFonts w:asciiTheme="minorHAnsi" w:hAnsiTheme="minorHAnsi" w:cstheme="minorHAnsi"/>
                <w:bCs/>
                <w:sz w:val="24"/>
                <w:szCs w:val="24"/>
              </w:rPr>
            </w:pPr>
          </w:p>
          <w:p w14:paraId="5E92C2EB" w14:textId="77777777" w:rsidR="00812DDD" w:rsidRPr="000107E2" w:rsidRDefault="00812DDD" w:rsidP="00D20604">
            <w:pPr>
              <w:pStyle w:val="ListParagraph"/>
              <w:spacing w:after="160" w:line="259" w:lineRule="auto"/>
              <w:rPr>
                <w:rFonts w:asciiTheme="minorHAnsi" w:hAnsiTheme="minorHAnsi" w:cstheme="minorHAnsi"/>
                <w:bCs/>
                <w:sz w:val="24"/>
                <w:szCs w:val="24"/>
              </w:rPr>
            </w:pPr>
          </w:p>
          <w:p w14:paraId="50937768" w14:textId="6DDD38E5" w:rsidR="00812DDD" w:rsidRPr="000107E2" w:rsidRDefault="00D20604" w:rsidP="00812DDD">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TikTok (paid £106.50)</w:t>
            </w:r>
          </w:p>
          <w:p w14:paraId="5A1FAA45"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76C4A571"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3A524B68" w14:textId="5ADC8D25" w:rsidR="00D20604" w:rsidRPr="000107E2" w:rsidRDefault="00D20604" w:rsidP="00D20604">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Facebook</w:t>
            </w:r>
          </w:p>
          <w:p w14:paraId="5C3D29E9"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6D7F0830"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70C404EA" w14:textId="0BD3ED24" w:rsidR="00D20604" w:rsidRPr="000107E2" w:rsidRDefault="00D20604" w:rsidP="00D20604">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Next Door</w:t>
            </w:r>
          </w:p>
          <w:p w14:paraId="46D2ABC7"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293B87C7"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242EC4A8" w14:textId="4A6CB117" w:rsidR="00D20604" w:rsidRPr="000107E2" w:rsidRDefault="00D20604" w:rsidP="00D20604">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LinkedIn</w:t>
            </w:r>
          </w:p>
          <w:p w14:paraId="49B12F5A"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56B9B09B"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0783A7DD" w14:textId="6A0129E5" w:rsidR="00D20604" w:rsidRPr="000107E2" w:rsidRDefault="00D20604" w:rsidP="00D20604">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Instagram</w:t>
            </w:r>
          </w:p>
          <w:p w14:paraId="0C483D84"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51FAAACD"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00BAEE79" w14:textId="30998320" w:rsidR="00D20604" w:rsidRPr="000107E2" w:rsidRDefault="00D20604" w:rsidP="00D20604">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Northamptonshire Talking</w:t>
            </w:r>
          </w:p>
          <w:p w14:paraId="31E415FE"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3790B437"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6D392BE7" w14:textId="21B82EB2" w:rsidR="00D20604" w:rsidRPr="000107E2" w:rsidRDefault="00D20604" w:rsidP="00D20604">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X (formerly known as Twitter)</w:t>
            </w:r>
          </w:p>
          <w:p w14:paraId="4291AF5C"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52AA5104"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11093230" w14:textId="7E458431" w:rsidR="007868AD" w:rsidRPr="000107E2" w:rsidRDefault="00D20604" w:rsidP="00D20604">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 xml:space="preserve">Google Ads </w:t>
            </w:r>
            <w:r w:rsidR="00C65ED9" w:rsidRPr="000107E2">
              <w:rPr>
                <w:rFonts w:asciiTheme="minorHAnsi" w:hAnsiTheme="minorHAnsi" w:cstheme="minorHAnsi"/>
                <w:bCs/>
                <w:sz w:val="24"/>
                <w:szCs w:val="24"/>
              </w:rPr>
              <w:t>ie.</w:t>
            </w:r>
            <w:r w:rsidRPr="000107E2">
              <w:rPr>
                <w:rFonts w:asciiTheme="minorHAnsi" w:hAnsiTheme="minorHAnsi" w:cstheme="minorHAnsi"/>
                <w:bCs/>
                <w:sz w:val="24"/>
                <w:szCs w:val="24"/>
              </w:rPr>
              <w:t xml:space="preserve"> YouTube (paid 19p)</w:t>
            </w:r>
          </w:p>
        </w:tc>
        <w:tc>
          <w:tcPr>
            <w:tcW w:w="3969" w:type="dxa"/>
          </w:tcPr>
          <w:p w14:paraId="28D71223" w14:textId="77777777" w:rsidR="007868AD" w:rsidRPr="000107E2" w:rsidRDefault="007868AD" w:rsidP="00D20604">
            <w:pPr>
              <w:spacing w:after="160" w:line="259" w:lineRule="auto"/>
              <w:jc w:val="both"/>
              <w:rPr>
                <w:rFonts w:asciiTheme="minorHAnsi" w:hAnsiTheme="minorHAnsi" w:cstheme="minorHAnsi"/>
                <w:bCs/>
                <w:sz w:val="24"/>
                <w:szCs w:val="24"/>
              </w:rPr>
            </w:pPr>
          </w:p>
          <w:p w14:paraId="51432E0B" w14:textId="77777777" w:rsidR="00812DDD" w:rsidRPr="000107E2" w:rsidRDefault="00812DDD" w:rsidP="00812DDD">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10,299 impressions</w:t>
            </w:r>
          </w:p>
          <w:p w14:paraId="194A4C9E" w14:textId="77777777" w:rsidR="00812DDD" w:rsidRPr="000107E2" w:rsidRDefault="00812DDD" w:rsidP="00812DDD">
            <w:pPr>
              <w:pStyle w:val="ListParagraph"/>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424 link clicks</w:t>
            </w:r>
          </w:p>
          <w:p w14:paraId="5269FD19"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471F8EA9" w14:textId="77777777" w:rsidR="00812DDD" w:rsidRPr="000107E2" w:rsidRDefault="00812DDD" w:rsidP="00812DDD">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35,938 impressions</w:t>
            </w:r>
          </w:p>
          <w:p w14:paraId="20B0B66C" w14:textId="77777777" w:rsidR="00812DDD" w:rsidRPr="000107E2" w:rsidRDefault="00812DDD" w:rsidP="00812DDD">
            <w:pPr>
              <w:pStyle w:val="ListParagraph"/>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296 link clicks</w:t>
            </w:r>
          </w:p>
          <w:p w14:paraId="36531C96"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2D7C67AE" w14:textId="77777777" w:rsidR="00812DDD" w:rsidRPr="000107E2" w:rsidRDefault="00812DDD" w:rsidP="00812DDD">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20 posts</w:t>
            </w:r>
          </w:p>
          <w:p w14:paraId="18A2591A" w14:textId="77777777" w:rsidR="00812DDD" w:rsidRPr="000107E2" w:rsidRDefault="00812DDD" w:rsidP="00812DDD">
            <w:pPr>
              <w:pStyle w:val="ListParagraph"/>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24,200 views</w:t>
            </w:r>
          </w:p>
          <w:p w14:paraId="2740FA96"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02DA128E" w14:textId="77777777" w:rsidR="00812DDD" w:rsidRPr="000107E2" w:rsidRDefault="00812DDD" w:rsidP="00812DDD">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8 posts</w:t>
            </w:r>
          </w:p>
          <w:p w14:paraId="03067EB2" w14:textId="77777777" w:rsidR="00812DDD" w:rsidRPr="000107E2" w:rsidRDefault="00812DDD" w:rsidP="00812DDD">
            <w:pPr>
              <w:pStyle w:val="ListParagraph"/>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64,850 impressions</w:t>
            </w:r>
          </w:p>
          <w:p w14:paraId="2B37337B"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7FBEC4BA" w14:textId="77777777" w:rsidR="00812DDD" w:rsidRPr="000107E2" w:rsidRDefault="00812DDD" w:rsidP="00812DDD">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2 posts</w:t>
            </w:r>
          </w:p>
          <w:p w14:paraId="548DFDF8" w14:textId="77777777" w:rsidR="00812DDD" w:rsidRPr="000107E2" w:rsidRDefault="00812DDD" w:rsidP="00812DDD">
            <w:pPr>
              <w:pStyle w:val="ListParagraph"/>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178 impressions</w:t>
            </w:r>
          </w:p>
          <w:p w14:paraId="6654EA3C"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62AAE326" w14:textId="77777777" w:rsidR="00812DDD" w:rsidRPr="000107E2" w:rsidRDefault="00812DDD" w:rsidP="00812DDD">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7 posts</w:t>
            </w:r>
          </w:p>
          <w:p w14:paraId="50D92376" w14:textId="77777777" w:rsidR="00812DDD" w:rsidRPr="000107E2" w:rsidRDefault="00812DDD" w:rsidP="00812DDD">
            <w:pPr>
              <w:pStyle w:val="ListParagraph"/>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2,290 impressions</w:t>
            </w:r>
          </w:p>
          <w:p w14:paraId="35324CF8"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65BF9D88" w14:textId="77777777" w:rsidR="00812DDD" w:rsidRPr="000107E2" w:rsidRDefault="00812DDD" w:rsidP="00812DDD">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2 posts</w:t>
            </w:r>
          </w:p>
          <w:p w14:paraId="030B69A3" w14:textId="77777777" w:rsidR="00812DDD" w:rsidRPr="000107E2" w:rsidRDefault="00812DDD" w:rsidP="00812DDD">
            <w:pPr>
              <w:pStyle w:val="ListParagraph"/>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33,147 emails read</w:t>
            </w:r>
          </w:p>
          <w:p w14:paraId="67E05606"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24510CC9" w14:textId="77777777" w:rsidR="00812DDD" w:rsidRPr="000107E2" w:rsidRDefault="00812DDD" w:rsidP="00812DDD">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29 posts</w:t>
            </w:r>
          </w:p>
          <w:p w14:paraId="347FCE14" w14:textId="3E8D3CA0" w:rsidR="00812DDD" w:rsidRPr="000107E2" w:rsidRDefault="00812DDD" w:rsidP="00812DDD">
            <w:pPr>
              <w:pStyle w:val="ListParagraph"/>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16,871 impressions</w:t>
            </w:r>
          </w:p>
          <w:p w14:paraId="1625AC1F" w14:textId="77777777" w:rsidR="00812DDD" w:rsidRPr="000107E2" w:rsidRDefault="00812DDD" w:rsidP="00812DDD">
            <w:pPr>
              <w:pStyle w:val="ListParagraph"/>
              <w:spacing w:after="160" w:line="259" w:lineRule="auto"/>
              <w:rPr>
                <w:rFonts w:asciiTheme="minorHAnsi" w:hAnsiTheme="minorHAnsi" w:cstheme="minorHAnsi"/>
                <w:bCs/>
                <w:sz w:val="24"/>
                <w:szCs w:val="24"/>
              </w:rPr>
            </w:pPr>
          </w:p>
          <w:p w14:paraId="2D9061C1" w14:textId="26119DB9" w:rsidR="007868AD" w:rsidRPr="000107E2" w:rsidRDefault="00812DDD" w:rsidP="00812DDD">
            <w:pPr>
              <w:pStyle w:val="ListParagraph"/>
              <w:numPr>
                <w:ilvl w:val="0"/>
                <w:numId w:val="5"/>
              </w:numPr>
              <w:spacing w:after="160" w:line="259" w:lineRule="auto"/>
              <w:rPr>
                <w:rFonts w:asciiTheme="minorHAnsi" w:hAnsiTheme="minorHAnsi" w:cstheme="minorHAnsi"/>
                <w:bCs/>
                <w:sz w:val="24"/>
                <w:szCs w:val="24"/>
              </w:rPr>
            </w:pPr>
            <w:r w:rsidRPr="000107E2">
              <w:rPr>
                <w:rFonts w:asciiTheme="minorHAnsi" w:hAnsiTheme="minorHAnsi" w:cstheme="minorHAnsi"/>
                <w:bCs/>
                <w:sz w:val="24"/>
                <w:szCs w:val="24"/>
              </w:rPr>
              <w:t>230 impressions</w:t>
            </w:r>
          </w:p>
        </w:tc>
      </w:tr>
      <w:bookmarkEnd w:id="25"/>
    </w:tbl>
    <w:p w14:paraId="3BDAC72A" w14:textId="7DA78B10" w:rsidR="00D30F18" w:rsidRDefault="00D30F18" w:rsidP="00B63812">
      <w:pPr>
        <w:spacing w:line="240" w:lineRule="auto"/>
        <w:jc w:val="both"/>
        <w:rPr>
          <w:rFonts w:cs="Calibri"/>
          <w:sz w:val="24"/>
          <w:szCs w:val="24"/>
          <w:highlight w:val="yellow"/>
        </w:rPr>
      </w:pPr>
    </w:p>
    <w:p w14:paraId="49F1653C" w14:textId="77777777" w:rsidR="00812DDD" w:rsidRPr="00450555" w:rsidRDefault="00812DDD" w:rsidP="00B63812">
      <w:pPr>
        <w:spacing w:line="240" w:lineRule="auto"/>
        <w:jc w:val="both"/>
        <w:rPr>
          <w:rFonts w:asciiTheme="minorHAnsi" w:hAnsiTheme="minorHAnsi" w:cstheme="minorHAnsi"/>
          <w:b/>
          <w:sz w:val="24"/>
          <w:szCs w:val="24"/>
          <w:highlight w:val="yellow"/>
        </w:rPr>
      </w:pPr>
    </w:p>
    <w:p w14:paraId="0A32F2F8" w14:textId="77777777" w:rsidR="00812DDD" w:rsidRDefault="00812DDD" w:rsidP="00C242D6">
      <w:pPr>
        <w:pStyle w:val="Header"/>
        <w:ind w:right="-990"/>
        <w:rPr>
          <w:rFonts w:asciiTheme="minorHAnsi" w:hAnsiTheme="minorHAnsi" w:cs="Arial"/>
          <w:b/>
          <w:sz w:val="24"/>
          <w:szCs w:val="24"/>
        </w:rPr>
      </w:pPr>
    </w:p>
    <w:p w14:paraId="0E874B6C" w14:textId="77777777" w:rsidR="00812DDD" w:rsidRDefault="00812DDD" w:rsidP="00C242D6">
      <w:pPr>
        <w:pStyle w:val="Header"/>
        <w:ind w:right="-990"/>
        <w:rPr>
          <w:rFonts w:asciiTheme="minorHAnsi" w:hAnsiTheme="minorHAnsi" w:cs="Arial"/>
          <w:b/>
          <w:sz w:val="24"/>
          <w:szCs w:val="24"/>
        </w:rPr>
      </w:pPr>
    </w:p>
    <w:p w14:paraId="7FF2FBF4" w14:textId="77777777" w:rsidR="00812DDD" w:rsidRDefault="00812DDD" w:rsidP="00C242D6">
      <w:pPr>
        <w:pStyle w:val="Header"/>
        <w:ind w:right="-990"/>
        <w:rPr>
          <w:rFonts w:asciiTheme="minorHAnsi" w:hAnsiTheme="minorHAnsi" w:cs="Arial"/>
          <w:b/>
          <w:sz w:val="24"/>
          <w:szCs w:val="24"/>
        </w:rPr>
      </w:pPr>
    </w:p>
    <w:p w14:paraId="77C0FAE6" w14:textId="77777777" w:rsidR="00812DDD" w:rsidRDefault="00812DDD" w:rsidP="00C242D6">
      <w:pPr>
        <w:pStyle w:val="Header"/>
        <w:ind w:right="-990"/>
        <w:rPr>
          <w:rFonts w:asciiTheme="minorHAnsi" w:hAnsiTheme="minorHAnsi" w:cs="Arial"/>
          <w:b/>
          <w:sz w:val="24"/>
          <w:szCs w:val="24"/>
        </w:rPr>
      </w:pPr>
    </w:p>
    <w:p w14:paraId="0E67361F" w14:textId="3560C220" w:rsidR="004B3B2B" w:rsidRPr="00B728F3" w:rsidRDefault="00B96B0B" w:rsidP="00C242D6">
      <w:pPr>
        <w:pStyle w:val="Header"/>
        <w:ind w:right="-990"/>
        <w:rPr>
          <w:rFonts w:asciiTheme="minorHAnsi" w:hAnsiTheme="minorHAnsi" w:cs="Arial"/>
          <w:b/>
          <w:sz w:val="24"/>
          <w:szCs w:val="24"/>
        </w:rPr>
      </w:pPr>
      <w:r w:rsidRPr="00B728F3">
        <w:rPr>
          <w:rFonts w:asciiTheme="minorHAnsi" w:hAnsiTheme="minorHAnsi" w:cs="Arial"/>
          <w:b/>
          <w:sz w:val="24"/>
          <w:szCs w:val="24"/>
        </w:rPr>
        <w:lastRenderedPageBreak/>
        <w:t>APPENDIX B</w:t>
      </w:r>
    </w:p>
    <w:p w14:paraId="2893EEDF" w14:textId="06A15835" w:rsidR="00CA6DD9" w:rsidRPr="00B728F3" w:rsidRDefault="00430ADC" w:rsidP="00D72DFE">
      <w:pPr>
        <w:pStyle w:val="Header"/>
        <w:ind w:right="-990"/>
        <w:rPr>
          <w:rFonts w:asciiTheme="minorHAnsi" w:hAnsiTheme="minorHAnsi" w:cs="Arial"/>
          <w:b/>
          <w:sz w:val="24"/>
          <w:szCs w:val="24"/>
        </w:rPr>
      </w:pPr>
      <w:r w:rsidRPr="00B728F3">
        <w:rPr>
          <w:rFonts w:asciiTheme="minorHAnsi" w:hAnsiTheme="minorHAnsi" w:cs="Arial"/>
          <w:b/>
          <w:sz w:val="24"/>
          <w:szCs w:val="24"/>
        </w:rPr>
        <w:t xml:space="preserve">Medium Term Financial Plan </w:t>
      </w:r>
      <w:r w:rsidR="00D72DFE" w:rsidRPr="00B728F3">
        <w:rPr>
          <w:rFonts w:asciiTheme="minorHAnsi" w:hAnsiTheme="minorHAnsi" w:cs="Arial"/>
          <w:b/>
          <w:sz w:val="24"/>
          <w:szCs w:val="24"/>
        </w:rPr>
        <w:t>202</w:t>
      </w:r>
      <w:r w:rsidR="00B728F3" w:rsidRPr="00B728F3">
        <w:rPr>
          <w:rFonts w:asciiTheme="minorHAnsi" w:hAnsiTheme="minorHAnsi" w:cs="Arial"/>
          <w:b/>
          <w:sz w:val="24"/>
          <w:szCs w:val="24"/>
        </w:rPr>
        <w:t>5</w:t>
      </w:r>
      <w:r w:rsidR="00D72DFE" w:rsidRPr="00B728F3">
        <w:rPr>
          <w:rFonts w:asciiTheme="minorHAnsi" w:hAnsiTheme="minorHAnsi" w:cs="Arial"/>
          <w:b/>
          <w:sz w:val="24"/>
          <w:szCs w:val="24"/>
        </w:rPr>
        <w:t>/2</w:t>
      </w:r>
      <w:r w:rsidR="00B728F3" w:rsidRPr="00B728F3">
        <w:rPr>
          <w:rFonts w:asciiTheme="minorHAnsi" w:hAnsiTheme="minorHAnsi" w:cs="Arial"/>
          <w:b/>
          <w:sz w:val="24"/>
          <w:szCs w:val="24"/>
        </w:rPr>
        <w:t>6</w:t>
      </w:r>
      <w:r w:rsidR="00D72DFE" w:rsidRPr="00B728F3">
        <w:rPr>
          <w:rFonts w:asciiTheme="minorHAnsi" w:hAnsiTheme="minorHAnsi" w:cs="Arial"/>
          <w:b/>
          <w:sz w:val="24"/>
          <w:szCs w:val="24"/>
        </w:rPr>
        <w:t xml:space="preserve"> - 202</w:t>
      </w:r>
      <w:r w:rsidR="00B728F3" w:rsidRPr="00B728F3">
        <w:rPr>
          <w:rFonts w:asciiTheme="minorHAnsi" w:hAnsiTheme="minorHAnsi" w:cs="Arial"/>
          <w:b/>
          <w:sz w:val="24"/>
          <w:szCs w:val="24"/>
        </w:rPr>
        <w:t>9</w:t>
      </w:r>
      <w:r w:rsidR="00D72DFE" w:rsidRPr="00B728F3">
        <w:rPr>
          <w:rFonts w:asciiTheme="minorHAnsi" w:hAnsiTheme="minorHAnsi" w:cs="Arial"/>
          <w:b/>
          <w:sz w:val="24"/>
          <w:szCs w:val="24"/>
        </w:rPr>
        <w:t>/</w:t>
      </w:r>
      <w:r w:rsidR="00B728F3" w:rsidRPr="00B728F3">
        <w:rPr>
          <w:rFonts w:asciiTheme="minorHAnsi" w:hAnsiTheme="minorHAnsi" w:cs="Arial"/>
          <w:b/>
          <w:sz w:val="24"/>
          <w:szCs w:val="24"/>
        </w:rPr>
        <w:t>30</w:t>
      </w:r>
    </w:p>
    <w:p w14:paraId="4E3FAFE9" w14:textId="77777777" w:rsidR="009E48A8" w:rsidRPr="00450555" w:rsidRDefault="009E48A8" w:rsidP="00F85DB4">
      <w:pPr>
        <w:pStyle w:val="Header"/>
        <w:ind w:right="-990"/>
        <w:jc w:val="center"/>
        <w:rPr>
          <w:rFonts w:ascii="Arial" w:hAnsi="Arial" w:cs="Arial"/>
          <w:b/>
          <w:highlight w:val="yellow"/>
        </w:rPr>
      </w:pPr>
    </w:p>
    <w:tbl>
      <w:tblPr>
        <w:tblW w:w="9764" w:type="dxa"/>
        <w:tblLook w:val="04A0" w:firstRow="1" w:lastRow="0" w:firstColumn="1" w:lastColumn="0" w:noHBand="0" w:noVBand="1"/>
      </w:tblPr>
      <w:tblGrid>
        <w:gridCol w:w="1056"/>
        <w:gridCol w:w="3508"/>
        <w:gridCol w:w="1040"/>
        <w:gridCol w:w="1040"/>
        <w:gridCol w:w="1040"/>
        <w:gridCol w:w="1040"/>
        <w:gridCol w:w="1040"/>
      </w:tblGrid>
      <w:tr w:rsidR="00D54977" w:rsidRPr="00D54977" w14:paraId="1F336791" w14:textId="77777777" w:rsidTr="00D54977">
        <w:trPr>
          <w:trHeight w:val="300"/>
        </w:trPr>
        <w:tc>
          <w:tcPr>
            <w:tcW w:w="1056" w:type="dxa"/>
            <w:tcBorders>
              <w:top w:val="nil"/>
              <w:left w:val="nil"/>
              <w:bottom w:val="nil"/>
              <w:right w:val="nil"/>
            </w:tcBorders>
            <w:shd w:val="clear" w:color="000000" w:fill="FFFFFF"/>
            <w:noWrap/>
            <w:vAlign w:val="center"/>
            <w:hideMark/>
          </w:tcPr>
          <w:p w14:paraId="31729872"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center"/>
            <w:hideMark/>
          </w:tcPr>
          <w:p w14:paraId="144F2203"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5200" w:type="dxa"/>
            <w:gridSpan w:val="5"/>
            <w:tcBorders>
              <w:top w:val="single" w:sz="4" w:space="0" w:color="auto"/>
              <w:left w:val="single" w:sz="4" w:space="0" w:color="auto"/>
              <w:bottom w:val="single" w:sz="4" w:space="0" w:color="auto"/>
              <w:right w:val="single" w:sz="4" w:space="0" w:color="000000"/>
            </w:tcBorders>
            <w:shd w:val="clear" w:color="000000" w:fill="FFDDDD"/>
            <w:noWrap/>
            <w:vAlign w:val="center"/>
            <w:hideMark/>
          </w:tcPr>
          <w:p w14:paraId="3AD88357" w14:textId="77777777" w:rsidR="00D54977" w:rsidRPr="00D54977" w:rsidRDefault="00D54977" w:rsidP="00D54977">
            <w:pPr>
              <w:spacing w:line="240" w:lineRule="auto"/>
              <w:jc w:val="center"/>
              <w:rPr>
                <w:rFonts w:eastAsia="Times New Roman" w:cs="Calibri"/>
                <w:b/>
                <w:bCs/>
                <w:i/>
                <w:iCs/>
                <w:color w:val="000000"/>
                <w:sz w:val="20"/>
                <w:szCs w:val="20"/>
                <w:lang w:eastAsia="en-GB"/>
              </w:rPr>
            </w:pPr>
            <w:r w:rsidRPr="00D54977">
              <w:rPr>
                <w:rFonts w:eastAsia="Times New Roman" w:cs="Calibri"/>
                <w:b/>
                <w:bCs/>
                <w:i/>
                <w:iCs/>
                <w:color w:val="000000"/>
                <w:sz w:val="20"/>
                <w:szCs w:val="20"/>
                <w:lang w:eastAsia="en-GB"/>
              </w:rPr>
              <w:t>MTFP - £5 Precept</w:t>
            </w:r>
          </w:p>
        </w:tc>
      </w:tr>
      <w:tr w:rsidR="00D54977" w:rsidRPr="00D54977" w14:paraId="62A84D05" w14:textId="77777777" w:rsidTr="00D54977">
        <w:trPr>
          <w:trHeight w:val="300"/>
        </w:trPr>
        <w:tc>
          <w:tcPr>
            <w:tcW w:w="1056" w:type="dxa"/>
            <w:tcBorders>
              <w:top w:val="single" w:sz="4" w:space="0" w:color="auto"/>
              <w:left w:val="single" w:sz="4" w:space="0" w:color="auto"/>
              <w:bottom w:val="nil"/>
              <w:right w:val="single" w:sz="4" w:space="0" w:color="auto"/>
            </w:tcBorders>
            <w:shd w:val="clear" w:color="000000" w:fill="FFFFFF"/>
            <w:noWrap/>
            <w:vAlign w:val="center"/>
            <w:hideMark/>
          </w:tcPr>
          <w:p w14:paraId="1218D9AE"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2024/25</w:t>
            </w:r>
          </w:p>
        </w:tc>
        <w:tc>
          <w:tcPr>
            <w:tcW w:w="3508" w:type="dxa"/>
            <w:tcBorders>
              <w:top w:val="single" w:sz="4" w:space="0" w:color="auto"/>
              <w:left w:val="nil"/>
              <w:bottom w:val="nil"/>
              <w:right w:val="single" w:sz="4" w:space="0" w:color="auto"/>
            </w:tcBorders>
            <w:shd w:val="clear" w:color="000000" w:fill="FFFFFF"/>
            <w:noWrap/>
            <w:vAlign w:val="center"/>
            <w:hideMark/>
          </w:tcPr>
          <w:p w14:paraId="5E639DEF"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 </w:t>
            </w:r>
          </w:p>
        </w:tc>
        <w:tc>
          <w:tcPr>
            <w:tcW w:w="1040" w:type="dxa"/>
            <w:tcBorders>
              <w:top w:val="single" w:sz="4" w:space="0" w:color="auto"/>
              <w:left w:val="nil"/>
              <w:bottom w:val="nil"/>
              <w:right w:val="single" w:sz="4" w:space="0" w:color="auto"/>
            </w:tcBorders>
            <w:shd w:val="clear" w:color="000000" w:fill="FFFFFF"/>
            <w:noWrap/>
            <w:vAlign w:val="center"/>
            <w:hideMark/>
          </w:tcPr>
          <w:p w14:paraId="2EAEBCBB"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2025/26</w:t>
            </w:r>
          </w:p>
        </w:tc>
        <w:tc>
          <w:tcPr>
            <w:tcW w:w="1040" w:type="dxa"/>
            <w:tcBorders>
              <w:top w:val="single" w:sz="4" w:space="0" w:color="auto"/>
              <w:left w:val="nil"/>
              <w:bottom w:val="nil"/>
              <w:right w:val="single" w:sz="4" w:space="0" w:color="auto"/>
            </w:tcBorders>
            <w:shd w:val="clear" w:color="000000" w:fill="FFFFFF"/>
            <w:noWrap/>
            <w:vAlign w:val="center"/>
            <w:hideMark/>
          </w:tcPr>
          <w:p w14:paraId="008B22C9"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2026/27</w:t>
            </w:r>
          </w:p>
        </w:tc>
        <w:tc>
          <w:tcPr>
            <w:tcW w:w="1040" w:type="dxa"/>
            <w:tcBorders>
              <w:top w:val="single" w:sz="4" w:space="0" w:color="auto"/>
              <w:left w:val="nil"/>
              <w:bottom w:val="nil"/>
              <w:right w:val="single" w:sz="4" w:space="0" w:color="auto"/>
            </w:tcBorders>
            <w:shd w:val="clear" w:color="000000" w:fill="FFFFFF"/>
            <w:noWrap/>
            <w:vAlign w:val="center"/>
            <w:hideMark/>
          </w:tcPr>
          <w:p w14:paraId="74C22C1E"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2027/28</w:t>
            </w:r>
          </w:p>
        </w:tc>
        <w:tc>
          <w:tcPr>
            <w:tcW w:w="1040" w:type="dxa"/>
            <w:tcBorders>
              <w:top w:val="single" w:sz="4" w:space="0" w:color="auto"/>
              <w:left w:val="nil"/>
              <w:bottom w:val="nil"/>
              <w:right w:val="single" w:sz="4" w:space="0" w:color="auto"/>
            </w:tcBorders>
            <w:shd w:val="clear" w:color="000000" w:fill="FFFFFF"/>
            <w:noWrap/>
            <w:vAlign w:val="center"/>
            <w:hideMark/>
          </w:tcPr>
          <w:p w14:paraId="58237675"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2028/29</w:t>
            </w:r>
          </w:p>
        </w:tc>
        <w:tc>
          <w:tcPr>
            <w:tcW w:w="1040" w:type="dxa"/>
            <w:tcBorders>
              <w:top w:val="single" w:sz="4" w:space="0" w:color="auto"/>
              <w:left w:val="nil"/>
              <w:bottom w:val="nil"/>
              <w:right w:val="single" w:sz="4" w:space="0" w:color="auto"/>
            </w:tcBorders>
            <w:shd w:val="clear" w:color="000000" w:fill="FFFFFF"/>
            <w:noWrap/>
            <w:vAlign w:val="center"/>
            <w:hideMark/>
          </w:tcPr>
          <w:p w14:paraId="638439BF"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2029/30</w:t>
            </w:r>
          </w:p>
        </w:tc>
      </w:tr>
      <w:tr w:rsidR="00D54977" w:rsidRPr="00D54977" w14:paraId="161FB5D0" w14:textId="77777777" w:rsidTr="00D54977">
        <w:trPr>
          <w:trHeight w:val="300"/>
        </w:trPr>
        <w:tc>
          <w:tcPr>
            <w:tcW w:w="1056" w:type="dxa"/>
            <w:tcBorders>
              <w:top w:val="nil"/>
              <w:left w:val="single" w:sz="4" w:space="0" w:color="auto"/>
              <w:bottom w:val="single" w:sz="4" w:space="0" w:color="auto"/>
              <w:right w:val="single" w:sz="4" w:space="0" w:color="auto"/>
            </w:tcBorders>
            <w:shd w:val="clear" w:color="000000" w:fill="FFFFFF"/>
            <w:noWrap/>
            <w:vAlign w:val="center"/>
            <w:hideMark/>
          </w:tcPr>
          <w:p w14:paraId="6D9FA396"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£'000</w:t>
            </w:r>
          </w:p>
        </w:tc>
        <w:tc>
          <w:tcPr>
            <w:tcW w:w="3508" w:type="dxa"/>
            <w:tcBorders>
              <w:top w:val="nil"/>
              <w:left w:val="nil"/>
              <w:bottom w:val="single" w:sz="4" w:space="0" w:color="auto"/>
              <w:right w:val="single" w:sz="4" w:space="0" w:color="auto"/>
            </w:tcBorders>
            <w:shd w:val="clear" w:color="000000" w:fill="FFFFFF"/>
            <w:noWrap/>
            <w:vAlign w:val="center"/>
            <w:hideMark/>
          </w:tcPr>
          <w:p w14:paraId="2053AB7A"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 </w:t>
            </w:r>
          </w:p>
        </w:tc>
        <w:tc>
          <w:tcPr>
            <w:tcW w:w="1040" w:type="dxa"/>
            <w:tcBorders>
              <w:top w:val="nil"/>
              <w:left w:val="nil"/>
              <w:bottom w:val="single" w:sz="4" w:space="0" w:color="auto"/>
              <w:right w:val="single" w:sz="4" w:space="0" w:color="auto"/>
            </w:tcBorders>
            <w:shd w:val="clear" w:color="000000" w:fill="FFFFFF"/>
            <w:noWrap/>
            <w:vAlign w:val="center"/>
            <w:hideMark/>
          </w:tcPr>
          <w:p w14:paraId="44E63612"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£'000</w:t>
            </w:r>
          </w:p>
        </w:tc>
        <w:tc>
          <w:tcPr>
            <w:tcW w:w="1040" w:type="dxa"/>
            <w:tcBorders>
              <w:top w:val="nil"/>
              <w:left w:val="nil"/>
              <w:bottom w:val="single" w:sz="4" w:space="0" w:color="auto"/>
              <w:right w:val="single" w:sz="4" w:space="0" w:color="auto"/>
            </w:tcBorders>
            <w:shd w:val="clear" w:color="000000" w:fill="FFFFFF"/>
            <w:noWrap/>
            <w:vAlign w:val="center"/>
            <w:hideMark/>
          </w:tcPr>
          <w:p w14:paraId="4EB526B5"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£'000</w:t>
            </w:r>
          </w:p>
        </w:tc>
        <w:tc>
          <w:tcPr>
            <w:tcW w:w="1040" w:type="dxa"/>
            <w:tcBorders>
              <w:top w:val="nil"/>
              <w:left w:val="nil"/>
              <w:bottom w:val="single" w:sz="4" w:space="0" w:color="auto"/>
              <w:right w:val="single" w:sz="4" w:space="0" w:color="auto"/>
            </w:tcBorders>
            <w:shd w:val="clear" w:color="000000" w:fill="FFFFFF"/>
            <w:noWrap/>
            <w:vAlign w:val="center"/>
            <w:hideMark/>
          </w:tcPr>
          <w:p w14:paraId="169AC340"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£'000</w:t>
            </w:r>
          </w:p>
        </w:tc>
        <w:tc>
          <w:tcPr>
            <w:tcW w:w="1040" w:type="dxa"/>
            <w:tcBorders>
              <w:top w:val="nil"/>
              <w:left w:val="nil"/>
              <w:bottom w:val="single" w:sz="4" w:space="0" w:color="auto"/>
              <w:right w:val="single" w:sz="4" w:space="0" w:color="auto"/>
            </w:tcBorders>
            <w:shd w:val="clear" w:color="000000" w:fill="FFFFFF"/>
            <w:noWrap/>
            <w:vAlign w:val="center"/>
            <w:hideMark/>
          </w:tcPr>
          <w:p w14:paraId="4A412B64"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£'000</w:t>
            </w:r>
          </w:p>
        </w:tc>
        <w:tc>
          <w:tcPr>
            <w:tcW w:w="1040" w:type="dxa"/>
            <w:tcBorders>
              <w:top w:val="nil"/>
              <w:left w:val="nil"/>
              <w:bottom w:val="single" w:sz="4" w:space="0" w:color="auto"/>
              <w:right w:val="single" w:sz="4" w:space="0" w:color="auto"/>
            </w:tcBorders>
            <w:shd w:val="clear" w:color="000000" w:fill="FFFFFF"/>
            <w:noWrap/>
            <w:vAlign w:val="center"/>
            <w:hideMark/>
          </w:tcPr>
          <w:p w14:paraId="412A7D8F" w14:textId="77777777" w:rsidR="00D54977" w:rsidRPr="00D54977" w:rsidRDefault="00D54977" w:rsidP="00D54977">
            <w:pPr>
              <w:spacing w:line="240" w:lineRule="auto"/>
              <w:jc w:val="center"/>
              <w:rPr>
                <w:rFonts w:eastAsia="Times New Roman" w:cs="Calibri"/>
                <w:b/>
                <w:bCs/>
                <w:color w:val="000000"/>
                <w:sz w:val="20"/>
                <w:szCs w:val="20"/>
                <w:lang w:eastAsia="en-GB"/>
              </w:rPr>
            </w:pPr>
            <w:r w:rsidRPr="00D54977">
              <w:rPr>
                <w:rFonts w:eastAsia="Times New Roman" w:cs="Calibri"/>
                <w:b/>
                <w:bCs/>
                <w:color w:val="000000"/>
                <w:sz w:val="20"/>
                <w:szCs w:val="20"/>
                <w:lang w:eastAsia="en-GB"/>
              </w:rPr>
              <w:t>£'000</w:t>
            </w:r>
          </w:p>
        </w:tc>
      </w:tr>
      <w:tr w:rsidR="00D54977" w:rsidRPr="00D54977" w14:paraId="61AD87EB"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598E9E6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18,484</w:t>
            </w:r>
          </w:p>
        </w:tc>
        <w:tc>
          <w:tcPr>
            <w:tcW w:w="3508" w:type="dxa"/>
            <w:tcBorders>
              <w:top w:val="nil"/>
              <w:left w:val="nil"/>
              <w:bottom w:val="nil"/>
              <w:right w:val="single" w:sz="4" w:space="0" w:color="auto"/>
            </w:tcBorders>
            <w:shd w:val="clear" w:color="000000" w:fill="FFFFFF"/>
            <w:noWrap/>
            <w:vAlign w:val="center"/>
            <w:hideMark/>
          </w:tcPr>
          <w:p w14:paraId="4F5F3426"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Fire Fighters</w:t>
            </w:r>
          </w:p>
        </w:tc>
        <w:tc>
          <w:tcPr>
            <w:tcW w:w="1040" w:type="dxa"/>
            <w:tcBorders>
              <w:top w:val="nil"/>
              <w:left w:val="nil"/>
              <w:bottom w:val="nil"/>
              <w:right w:val="single" w:sz="4" w:space="0" w:color="auto"/>
            </w:tcBorders>
            <w:shd w:val="clear" w:color="000000" w:fill="FFFFFF"/>
            <w:noWrap/>
            <w:vAlign w:val="center"/>
            <w:hideMark/>
          </w:tcPr>
          <w:p w14:paraId="12607D22"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20,159</w:t>
            </w:r>
          </w:p>
        </w:tc>
        <w:tc>
          <w:tcPr>
            <w:tcW w:w="1040" w:type="dxa"/>
            <w:tcBorders>
              <w:top w:val="nil"/>
              <w:left w:val="nil"/>
              <w:bottom w:val="nil"/>
              <w:right w:val="single" w:sz="4" w:space="0" w:color="auto"/>
            </w:tcBorders>
            <w:shd w:val="clear" w:color="000000" w:fill="FFFFFF"/>
            <w:noWrap/>
            <w:vAlign w:val="center"/>
            <w:hideMark/>
          </w:tcPr>
          <w:p w14:paraId="1AAD475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21,245</w:t>
            </w:r>
          </w:p>
        </w:tc>
        <w:tc>
          <w:tcPr>
            <w:tcW w:w="1040" w:type="dxa"/>
            <w:tcBorders>
              <w:top w:val="nil"/>
              <w:left w:val="nil"/>
              <w:bottom w:val="nil"/>
              <w:right w:val="single" w:sz="4" w:space="0" w:color="auto"/>
            </w:tcBorders>
            <w:shd w:val="clear" w:color="000000" w:fill="FFFFFF"/>
            <w:noWrap/>
            <w:vAlign w:val="center"/>
            <w:hideMark/>
          </w:tcPr>
          <w:p w14:paraId="04967AB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22,789</w:t>
            </w:r>
          </w:p>
        </w:tc>
        <w:tc>
          <w:tcPr>
            <w:tcW w:w="1040" w:type="dxa"/>
            <w:tcBorders>
              <w:top w:val="nil"/>
              <w:left w:val="nil"/>
              <w:bottom w:val="nil"/>
              <w:right w:val="single" w:sz="4" w:space="0" w:color="auto"/>
            </w:tcBorders>
            <w:shd w:val="clear" w:color="000000" w:fill="FFFFFF"/>
            <w:noWrap/>
            <w:vAlign w:val="center"/>
            <w:hideMark/>
          </w:tcPr>
          <w:p w14:paraId="1BEFB65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23,505</w:t>
            </w:r>
          </w:p>
        </w:tc>
        <w:tc>
          <w:tcPr>
            <w:tcW w:w="1040" w:type="dxa"/>
            <w:tcBorders>
              <w:top w:val="nil"/>
              <w:left w:val="nil"/>
              <w:bottom w:val="nil"/>
              <w:right w:val="single" w:sz="4" w:space="0" w:color="auto"/>
            </w:tcBorders>
            <w:shd w:val="clear" w:color="000000" w:fill="FFFFFF"/>
            <w:noWrap/>
            <w:vAlign w:val="center"/>
            <w:hideMark/>
          </w:tcPr>
          <w:p w14:paraId="563245D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24,076</w:t>
            </w:r>
          </w:p>
        </w:tc>
      </w:tr>
      <w:tr w:rsidR="00D54977" w:rsidRPr="00D54977" w14:paraId="575FB2FC"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59441B29"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3,068</w:t>
            </w:r>
          </w:p>
        </w:tc>
        <w:tc>
          <w:tcPr>
            <w:tcW w:w="3508" w:type="dxa"/>
            <w:tcBorders>
              <w:top w:val="nil"/>
              <w:left w:val="nil"/>
              <w:bottom w:val="nil"/>
              <w:right w:val="single" w:sz="4" w:space="0" w:color="auto"/>
            </w:tcBorders>
            <w:shd w:val="clear" w:color="000000" w:fill="FFFFFF"/>
            <w:noWrap/>
            <w:vAlign w:val="center"/>
            <w:hideMark/>
          </w:tcPr>
          <w:p w14:paraId="24D2D71A"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Staff</w:t>
            </w:r>
          </w:p>
        </w:tc>
        <w:tc>
          <w:tcPr>
            <w:tcW w:w="1040" w:type="dxa"/>
            <w:tcBorders>
              <w:top w:val="nil"/>
              <w:left w:val="nil"/>
              <w:bottom w:val="nil"/>
              <w:right w:val="single" w:sz="4" w:space="0" w:color="auto"/>
            </w:tcBorders>
            <w:shd w:val="clear" w:color="000000" w:fill="FFFFFF"/>
            <w:noWrap/>
            <w:vAlign w:val="center"/>
            <w:hideMark/>
          </w:tcPr>
          <w:p w14:paraId="4792C6CE"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3,846</w:t>
            </w:r>
          </w:p>
        </w:tc>
        <w:tc>
          <w:tcPr>
            <w:tcW w:w="1040" w:type="dxa"/>
            <w:tcBorders>
              <w:top w:val="nil"/>
              <w:left w:val="nil"/>
              <w:bottom w:val="nil"/>
              <w:right w:val="single" w:sz="4" w:space="0" w:color="auto"/>
            </w:tcBorders>
            <w:shd w:val="clear" w:color="000000" w:fill="FFFFFF"/>
            <w:noWrap/>
            <w:vAlign w:val="center"/>
            <w:hideMark/>
          </w:tcPr>
          <w:p w14:paraId="64E195D0"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3,595</w:t>
            </w:r>
          </w:p>
        </w:tc>
        <w:tc>
          <w:tcPr>
            <w:tcW w:w="1040" w:type="dxa"/>
            <w:tcBorders>
              <w:top w:val="nil"/>
              <w:left w:val="nil"/>
              <w:bottom w:val="nil"/>
              <w:right w:val="single" w:sz="4" w:space="0" w:color="auto"/>
            </w:tcBorders>
            <w:shd w:val="clear" w:color="000000" w:fill="FFFFFF"/>
            <w:noWrap/>
            <w:vAlign w:val="center"/>
            <w:hideMark/>
          </w:tcPr>
          <w:p w14:paraId="3D3D499E"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3,593</w:t>
            </w:r>
          </w:p>
        </w:tc>
        <w:tc>
          <w:tcPr>
            <w:tcW w:w="1040" w:type="dxa"/>
            <w:tcBorders>
              <w:top w:val="nil"/>
              <w:left w:val="nil"/>
              <w:bottom w:val="nil"/>
              <w:right w:val="single" w:sz="4" w:space="0" w:color="auto"/>
            </w:tcBorders>
            <w:shd w:val="clear" w:color="000000" w:fill="FFFFFF"/>
            <w:noWrap/>
            <w:vAlign w:val="center"/>
            <w:hideMark/>
          </w:tcPr>
          <w:p w14:paraId="733E124E"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3,582</w:t>
            </w:r>
          </w:p>
        </w:tc>
        <w:tc>
          <w:tcPr>
            <w:tcW w:w="1040" w:type="dxa"/>
            <w:tcBorders>
              <w:top w:val="nil"/>
              <w:left w:val="nil"/>
              <w:bottom w:val="nil"/>
              <w:right w:val="single" w:sz="4" w:space="0" w:color="auto"/>
            </w:tcBorders>
            <w:shd w:val="clear" w:color="000000" w:fill="FFFFFF"/>
            <w:noWrap/>
            <w:vAlign w:val="center"/>
            <w:hideMark/>
          </w:tcPr>
          <w:p w14:paraId="2F51275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3,565</w:t>
            </w:r>
          </w:p>
        </w:tc>
      </w:tr>
      <w:tr w:rsidR="00D54977" w:rsidRPr="00D54977" w14:paraId="65884626"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0D626117"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101</w:t>
            </w:r>
          </w:p>
        </w:tc>
        <w:tc>
          <w:tcPr>
            <w:tcW w:w="3508" w:type="dxa"/>
            <w:tcBorders>
              <w:top w:val="nil"/>
              <w:left w:val="nil"/>
              <w:bottom w:val="nil"/>
              <w:right w:val="single" w:sz="4" w:space="0" w:color="auto"/>
            </w:tcBorders>
            <w:shd w:val="clear" w:color="000000" w:fill="FFFFFF"/>
            <w:noWrap/>
            <w:vAlign w:val="center"/>
            <w:hideMark/>
          </w:tcPr>
          <w:p w14:paraId="12336648"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Other Pension Costs</w:t>
            </w:r>
          </w:p>
        </w:tc>
        <w:tc>
          <w:tcPr>
            <w:tcW w:w="1040" w:type="dxa"/>
            <w:tcBorders>
              <w:top w:val="nil"/>
              <w:left w:val="nil"/>
              <w:bottom w:val="nil"/>
              <w:right w:val="single" w:sz="4" w:space="0" w:color="auto"/>
            </w:tcBorders>
            <w:shd w:val="clear" w:color="000000" w:fill="FFFFFF"/>
            <w:noWrap/>
            <w:vAlign w:val="center"/>
            <w:hideMark/>
          </w:tcPr>
          <w:p w14:paraId="58E7911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516</w:t>
            </w:r>
          </w:p>
        </w:tc>
        <w:tc>
          <w:tcPr>
            <w:tcW w:w="1040" w:type="dxa"/>
            <w:tcBorders>
              <w:top w:val="nil"/>
              <w:left w:val="nil"/>
              <w:bottom w:val="nil"/>
              <w:right w:val="single" w:sz="4" w:space="0" w:color="auto"/>
            </w:tcBorders>
            <w:shd w:val="clear" w:color="000000" w:fill="FFFFFF"/>
            <w:noWrap/>
            <w:vAlign w:val="center"/>
            <w:hideMark/>
          </w:tcPr>
          <w:p w14:paraId="46B66E1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527</w:t>
            </w:r>
          </w:p>
        </w:tc>
        <w:tc>
          <w:tcPr>
            <w:tcW w:w="1040" w:type="dxa"/>
            <w:tcBorders>
              <w:top w:val="nil"/>
              <w:left w:val="nil"/>
              <w:bottom w:val="nil"/>
              <w:right w:val="single" w:sz="4" w:space="0" w:color="auto"/>
            </w:tcBorders>
            <w:shd w:val="clear" w:color="000000" w:fill="FFFFFF"/>
            <w:noWrap/>
            <w:vAlign w:val="center"/>
            <w:hideMark/>
          </w:tcPr>
          <w:p w14:paraId="5FA9FB1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537</w:t>
            </w:r>
          </w:p>
        </w:tc>
        <w:tc>
          <w:tcPr>
            <w:tcW w:w="1040" w:type="dxa"/>
            <w:tcBorders>
              <w:top w:val="nil"/>
              <w:left w:val="nil"/>
              <w:bottom w:val="nil"/>
              <w:right w:val="single" w:sz="4" w:space="0" w:color="auto"/>
            </w:tcBorders>
            <w:shd w:val="clear" w:color="000000" w:fill="FFFFFF"/>
            <w:noWrap/>
            <w:vAlign w:val="center"/>
            <w:hideMark/>
          </w:tcPr>
          <w:p w14:paraId="17126492"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544</w:t>
            </w:r>
          </w:p>
        </w:tc>
        <w:tc>
          <w:tcPr>
            <w:tcW w:w="1040" w:type="dxa"/>
            <w:tcBorders>
              <w:top w:val="nil"/>
              <w:left w:val="nil"/>
              <w:bottom w:val="nil"/>
              <w:right w:val="single" w:sz="4" w:space="0" w:color="auto"/>
            </w:tcBorders>
            <w:shd w:val="clear" w:color="000000" w:fill="FFFFFF"/>
            <w:noWrap/>
            <w:vAlign w:val="center"/>
            <w:hideMark/>
          </w:tcPr>
          <w:p w14:paraId="37A8E5E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549</w:t>
            </w:r>
          </w:p>
        </w:tc>
      </w:tr>
      <w:tr w:rsidR="00D54977" w:rsidRPr="00D54977" w14:paraId="034553FF"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37F81658"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1,371</w:t>
            </w:r>
          </w:p>
        </w:tc>
        <w:tc>
          <w:tcPr>
            <w:tcW w:w="3508" w:type="dxa"/>
            <w:tcBorders>
              <w:top w:val="nil"/>
              <w:left w:val="nil"/>
              <w:bottom w:val="nil"/>
              <w:right w:val="single" w:sz="4" w:space="0" w:color="auto"/>
            </w:tcBorders>
            <w:shd w:val="clear" w:color="000000" w:fill="FFFFFF"/>
            <w:noWrap/>
            <w:vAlign w:val="center"/>
            <w:hideMark/>
          </w:tcPr>
          <w:p w14:paraId="437DEF15"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Other Employee Costs/Contingencies</w:t>
            </w:r>
          </w:p>
        </w:tc>
        <w:tc>
          <w:tcPr>
            <w:tcW w:w="1040" w:type="dxa"/>
            <w:tcBorders>
              <w:top w:val="nil"/>
              <w:left w:val="nil"/>
              <w:bottom w:val="nil"/>
              <w:right w:val="single" w:sz="4" w:space="0" w:color="auto"/>
            </w:tcBorders>
            <w:shd w:val="clear" w:color="000000" w:fill="FFFFFF"/>
            <w:noWrap/>
            <w:vAlign w:val="center"/>
            <w:hideMark/>
          </w:tcPr>
          <w:p w14:paraId="5149CC8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641</w:t>
            </w:r>
          </w:p>
        </w:tc>
        <w:tc>
          <w:tcPr>
            <w:tcW w:w="1040" w:type="dxa"/>
            <w:tcBorders>
              <w:top w:val="nil"/>
              <w:left w:val="nil"/>
              <w:bottom w:val="nil"/>
              <w:right w:val="single" w:sz="4" w:space="0" w:color="auto"/>
            </w:tcBorders>
            <w:shd w:val="clear" w:color="000000" w:fill="FFFFFF"/>
            <w:noWrap/>
            <w:vAlign w:val="center"/>
            <w:hideMark/>
          </w:tcPr>
          <w:p w14:paraId="1739017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639</w:t>
            </w:r>
          </w:p>
        </w:tc>
        <w:tc>
          <w:tcPr>
            <w:tcW w:w="1040" w:type="dxa"/>
            <w:tcBorders>
              <w:top w:val="nil"/>
              <w:left w:val="nil"/>
              <w:bottom w:val="nil"/>
              <w:right w:val="single" w:sz="4" w:space="0" w:color="auto"/>
            </w:tcBorders>
            <w:shd w:val="clear" w:color="000000" w:fill="FFFFFF"/>
            <w:noWrap/>
            <w:vAlign w:val="center"/>
            <w:hideMark/>
          </w:tcPr>
          <w:p w14:paraId="00FAB7B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637</w:t>
            </w:r>
          </w:p>
        </w:tc>
        <w:tc>
          <w:tcPr>
            <w:tcW w:w="1040" w:type="dxa"/>
            <w:tcBorders>
              <w:top w:val="nil"/>
              <w:left w:val="nil"/>
              <w:bottom w:val="nil"/>
              <w:right w:val="single" w:sz="4" w:space="0" w:color="auto"/>
            </w:tcBorders>
            <w:shd w:val="clear" w:color="000000" w:fill="FFFFFF"/>
            <w:noWrap/>
            <w:vAlign w:val="center"/>
            <w:hideMark/>
          </w:tcPr>
          <w:p w14:paraId="2D6757ED"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635</w:t>
            </w:r>
          </w:p>
        </w:tc>
        <w:tc>
          <w:tcPr>
            <w:tcW w:w="1040" w:type="dxa"/>
            <w:tcBorders>
              <w:top w:val="nil"/>
              <w:left w:val="nil"/>
              <w:bottom w:val="nil"/>
              <w:right w:val="single" w:sz="4" w:space="0" w:color="auto"/>
            </w:tcBorders>
            <w:shd w:val="clear" w:color="000000" w:fill="FFFFFF"/>
            <w:noWrap/>
            <w:vAlign w:val="center"/>
            <w:hideMark/>
          </w:tcPr>
          <w:p w14:paraId="70A4F484"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633</w:t>
            </w:r>
          </w:p>
        </w:tc>
      </w:tr>
      <w:tr w:rsidR="00D54977" w:rsidRPr="00D54977" w14:paraId="578243BD"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15B40607"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2,088</w:t>
            </w:r>
          </w:p>
        </w:tc>
        <w:tc>
          <w:tcPr>
            <w:tcW w:w="3508" w:type="dxa"/>
            <w:tcBorders>
              <w:top w:val="nil"/>
              <w:left w:val="nil"/>
              <w:bottom w:val="nil"/>
              <w:right w:val="single" w:sz="4" w:space="0" w:color="auto"/>
            </w:tcBorders>
            <w:shd w:val="clear" w:color="000000" w:fill="FFFFFF"/>
            <w:noWrap/>
            <w:vAlign w:val="center"/>
            <w:hideMark/>
          </w:tcPr>
          <w:p w14:paraId="3657EA5A"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Estates</w:t>
            </w:r>
          </w:p>
        </w:tc>
        <w:tc>
          <w:tcPr>
            <w:tcW w:w="1040" w:type="dxa"/>
            <w:tcBorders>
              <w:top w:val="nil"/>
              <w:left w:val="nil"/>
              <w:bottom w:val="nil"/>
              <w:right w:val="single" w:sz="4" w:space="0" w:color="auto"/>
            </w:tcBorders>
            <w:shd w:val="clear" w:color="000000" w:fill="FFFFFF"/>
            <w:noWrap/>
            <w:vAlign w:val="center"/>
            <w:hideMark/>
          </w:tcPr>
          <w:p w14:paraId="65C644D4"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2,264</w:t>
            </w:r>
          </w:p>
        </w:tc>
        <w:tc>
          <w:tcPr>
            <w:tcW w:w="1040" w:type="dxa"/>
            <w:tcBorders>
              <w:top w:val="nil"/>
              <w:left w:val="nil"/>
              <w:bottom w:val="nil"/>
              <w:right w:val="single" w:sz="4" w:space="0" w:color="auto"/>
            </w:tcBorders>
            <w:shd w:val="clear" w:color="000000" w:fill="FFFFFF"/>
            <w:noWrap/>
            <w:vAlign w:val="center"/>
            <w:hideMark/>
          </w:tcPr>
          <w:p w14:paraId="024B537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2,616</w:t>
            </w:r>
          </w:p>
        </w:tc>
        <w:tc>
          <w:tcPr>
            <w:tcW w:w="1040" w:type="dxa"/>
            <w:tcBorders>
              <w:top w:val="nil"/>
              <w:left w:val="nil"/>
              <w:bottom w:val="nil"/>
              <w:right w:val="single" w:sz="4" w:space="0" w:color="auto"/>
            </w:tcBorders>
            <w:shd w:val="clear" w:color="000000" w:fill="FFFFFF"/>
            <w:noWrap/>
            <w:vAlign w:val="center"/>
            <w:hideMark/>
          </w:tcPr>
          <w:p w14:paraId="1ECD6C3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2,516</w:t>
            </w:r>
          </w:p>
        </w:tc>
        <w:tc>
          <w:tcPr>
            <w:tcW w:w="1040" w:type="dxa"/>
            <w:tcBorders>
              <w:top w:val="nil"/>
              <w:left w:val="nil"/>
              <w:bottom w:val="nil"/>
              <w:right w:val="single" w:sz="4" w:space="0" w:color="auto"/>
            </w:tcBorders>
            <w:shd w:val="clear" w:color="000000" w:fill="FFFFFF"/>
            <w:noWrap/>
            <w:vAlign w:val="center"/>
            <w:hideMark/>
          </w:tcPr>
          <w:p w14:paraId="49BC98F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2,595</w:t>
            </w:r>
          </w:p>
        </w:tc>
        <w:tc>
          <w:tcPr>
            <w:tcW w:w="1040" w:type="dxa"/>
            <w:tcBorders>
              <w:top w:val="nil"/>
              <w:left w:val="nil"/>
              <w:bottom w:val="nil"/>
              <w:right w:val="single" w:sz="4" w:space="0" w:color="auto"/>
            </w:tcBorders>
            <w:shd w:val="clear" w:color="000000" w:fill="FFFFFF"/>
            <w:noWrap/>
            <w:vAlign w:val="center"/>
            <w:hideMark/>
          </w:tcPr>
          <w:p w14:paraId="63448A80"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2,391</w:t>
            </w:r>
          </w:p>
        </w:tc>
      </w:tr>
      <w:tr w:rsidR="00D54977" w:rsidRPr="00D54977" w14:paraId="5584F1F9"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3B6D9170"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1,911</w:t>
            </w:r>
          </w:p>
        </w:tc>
        <w:tc>
          <w:tcPr>
            <w:tcW w:w="3508" w:type="dxa"/>
            <w:tcBorders>
              <w:top w:val="nil"/>
              <w:left w:val="nil"/>
              <w:bottom w:val="nil"/>
              <w:right w:val="single" w:sz="4" w:space="0" w:color="auto"/>
            </w:tcBorders>
            <w:shd w:val="clear" w:color="000000" w:fill="FFFFFF"/>
            <w:noWrap/>
            <w:vAlign w:val="center"/>
            <w:hideMark/>
          </w:tcPr>
          <w:p w14:paraId="75713F1D"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ICT</w:t>
            </w:r>
          </w:p>
        </w:tc>
        <w:tc>
          <w:tcPr>
            <w:tcW w:w="1040" w:type="dxa"/>
            <w:tcBorders>
              <w:top w:val="nil"/>
              <w:left w:val="nil"/>
              <w:bottom w:val="nil"/>
              <w:right w:val="single" w:sz="4" w:space="0" w:color="auto"/>
            </w:tcBorders>
            <w:shd w:val="clear" w:color="000000" w:fill="FFFFFF"/>
            <w:noWrap/>
            <w:vAlign w:val="center"/>
            <w:hideMark/>
          </w:tcPr>
          <w:p w14:paraId="148F3C0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2,119</w:t>
            </w:r>
          </w:p>
        </w:tc>
        <w:tc>
          <w:tcPr>
            <w:tcW w:w="1040" w:type="dxa"/>
            <w:tcBorders>
              <w:top w:val="nil"/>
              <w:left w:val="nil"/>
              <w:bottom w:val="nil"/>
              <w:right w:val="single" w:sz="4" w:space="0" w:color="auto"/>
            </w:tcBorders>
            <w:shd w:val="clear" w:color="000000" w:fill="FFFFFF"/>
            <w:noWrap/>
            <w:vAlign w:val="center"/>
            <w:hideMark/>
          </w:tcPr>
          <w:p w14:paraId="55FF12E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2,234</w:t>
            </w:r>
          </w:p>
        </w:tc>
        <w:tc>
          <w:tcPr>
            <w:tcW w:w="1040" w:type="dxa"/>
            <w:tcBorders>
              <w:top w:val="nil"/>
              <w:left w:val="nil"/>
              <w:bottom w:val="nil"/>
              <w:right w:val="single" w:sz="4" w:space="0" w:color="auto"/>
            </w:tcBorders>
            <w:shd w:val="clear" w:color="000000" w:fill="FFFFFF"/>
            <w:noWrap/>
            <w:vAlign w:val="center"/>
            <w:hideMark/>
          </w:tcPr>
          <w:p w14:paraId="358484B4"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2,320</w:t>
            </w:r>
          </w:p>
        </w:tc>
        <w:tc>
          <w:tcPr>
            <w:tcW w:w="1040" w:type="dxa"/>
            <w:tcBorders>
              <w:top w:val="nil"/>
              <w:left w:val="nil"/>
              <w:bottom w:val="nil"/>
              <w:right w:val="single" w:sz="4" w:space="0" w:color="auto"/>
            </w:tcBorders>
            <w:shd w:val="clear" w:color="000000" w:fill="FFFFFF"/>
            <w:noWrap/>
            <w:vAlign w:val="center"/>
            <w:hideMark/>
          </w:tcPr>
          <w:p w14:paraId="37E3B8FE"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2,438</w:t>
            </w:r>
          </w:p>
        </w:tc>
        <w:tc>
          <w:tcPr>
            <w:tcW w:w="1040" w:type="dxa"/>
            <w:tcBorders>
              <w:top w:val="nil"/>
              <w:left w:val="nil"/>
              <w:bottom w:val="nil"/>
              <w:right w:val="single" w:sz="4" w:space="0" w:color="auto"/>
            </w:tcBorders>
            <w:shd w:val="clear" w:color="000000" w:fill="FFFFFF"/>
            <w:noWrap/>
            <w:vAlign w:val="center"/>
            <w:hideMark/>
          </w:tcPr>
          <w:p w14:paraId="363CCCAE"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2,466</w:t>
            </w:r>
          </w:p>
        </w:tc>
      </w:tr>
      <w:tr w:rsidR="00D54977" w:rsidRPr="00D54977" w14:paraId="5F18F3DE"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6843B13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609</w:t>
            </w:r>
          </w:p>
        </w:tc>
        <w:tc>
          <w:tcPr>
            <w:tcW w:w="3508" w:type="dxa"/>
            <w:tcBorders>
              <w:top w:val="nil"/>
              <w:left w:val="nil"/>
              <w:bottom w:val="nil"/>
              <w:right w:val="single" w:sz="4" w:space="0" w:color="auto"/>
            </w:tcBorders>
            <w:shd w:val="clear" w:color="000000" w:fill="FFFFFF"/>
            <w:noWrap/>
            <w:vAlign w:val="center"/>
            <w:hideMark/>
          </w:tcPr>
          <w:p w14:paraId="07F2DAC3"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Vehicles</w:t>
            </w:r>
          </w:p>
        </w:tc>
        <w:tc>
          <w:tcPr>
            <w:tcW w:w="1040" w:type="dxa"/>
            <w:tcBorders>
              <w:top w:val="nil"/>
              <w:left w:val="nil"/>
              <w:bottom w:val="nil"/>
              <w:right w:val="single" w:sz="4" w:space="0" w:color="auto"/>
            </w:tcBorders>
            <w:shd w:val="clear" w:color="000000" w:fill="FFFFFF"/>
            <w:noWrap/>
            <w:vAlign w:val="center"/>
            <w:hideMark/>
          </w:tcPr>
          <w:p w14:paraId="0ABF1268"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596</w:t>
            </w:r>
          </w:p>
        </w:tc>
        <w:tc>
          <w:tcPr>
            <w:tcW w:w="1040" w:type="dxa"/>
            <w:tcBorders>
              <w:top w:val="nil"/>
              <w:left w:val="nil"/>
              <w:bottom w:val="nil"/>
              <w:right w:val="single" w:sz="4" w:space="0" w:color="auto"/>
            </w:tcBorders>
            <w:shd w:val="clear" w:color="000000" w:fill="FFFFFF"/>
            <w:noWrap/>
            <w:vAlign w:val="center"/>
            <w:hideMark/>
          </w:tcPr>
          <w:p w14:paraId="5F31CFA9"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609</w:t>
            </w:r>
          </w:p>
        </w:tc>
        <w:tc>
          <w:tcPr>
            <w:tcW w:w="1040" w:type="dxa"/>
            <w:tcBorders>
              <w:top w:val="nil"/>
              <w:left w:val="nil"/>
              <w:bottom w:val="nil"/>
              <w:right w:val="single" w:sz="4" w:space="0" w:color="auto"/>
            </w:tcBorders>
            <w:shd w:val="clear" w:color="000000" w:fill="FFFFFF"/>
            <w:noWrap/>
            <w:vAlign w:val="center"/>
            <w:hideMark/>
          </w:tcPr>
          <w:p w14:paraId="14F862D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621</w:t>
            </w:r>
          </w:p>
        </w:tc>
        <w:tc>
          <w:tcPr>
            <w:tcW w:w="1040" w:type="dxa"/>
            <w:tcBorders>
              <w:top w:val="nil"/>
              <w:left w:val="nil"/>
              <w:bottom w:val="nil"/>
              <w:right w:val="single" w:sz="4" w:space="0" w:color="auto"/>
            </w:tcBorders>
            <w:shd w:val="clear" w:color="000000" w:fill="FFFFFF"/>
            <w:noWrap/>
            <w:vAlign w:val="center"/>
            <w:hideMark/>
          </w:tcPr>
          <w:p w14:paraId="17F54AF2"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634</w:t>
            </w:r>
          </w:p>
        </w:tc>
        <w:tc>
          <w:tcPr>
            <w:tcW w:w="1040" w:type="dxa"/>
            <w:tcBorders>
              <w:top w:val="nil"/>
              <w:left w:val="nil"/>
              <w:bottom w:val="nil"/>
              <w:right w:val="single" w:sz="4" w:space="0" w:color="auto"/>
            </w:tcBorders>
            <w:shd w:val="clear" w:color="000000" w:fill="FFFFFF"/>
            <w:noWrap/>
            <w:vAlign w:val="center"/>
            <w:hideMark/>
          </w:tcPr>
          <w:p w14:paraId="3848E228"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646</w:t>
            </w:r>
          </w:p>
        </w:tc>
      </w:tr>
      <w:tr w:rsidR="00D54977" w:rsidRPr="00D54977" w14:paraId="74844E20"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5B507598"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1,001</w:t>
            </w:r>
          </w:p>
        </w:tc>
        <w:tc>
          <w:tcPr>
            <w:tcW w:w="3508" w:type="dxa"/>
            <w:tcBorders>
              <w:top w:val="nil"/>
              <w:left w:val="nil"/>
              <w:bottom w:val="nil"/>
              <w:right w:val="single" w:sz="4" w:space="0" w:color="auto"/>
            </w:tcBorders>
            <w:shd w:val="clear" w:color="000000" w:fill="FFFFFF"/>
            <w:noWrap/>
            <w:vAlign w:val="center"/>
            <w:hideMark/>
          </w:tcPr>
          <w:p w14:paraId="38BC4247"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Equipment and Clothing</w:t>
            </w:r>
          </w:p>
        </w:tc>
        <w:tc>
          <w:tcPr>
            <w:tcW w:w="1040" w:type="dxa"/>
            <w:tcBorders>
              <w:top w:val="nil"/>
              <w:left w:val="nil"/>
              <w:bottom w:val="nil"/>
              <w:right w:val="single" w:sz="4" w:space="0" w:color="auto"/>
            </w:tcBorders>
            <w:shd w:val="clear" w:color="000000" w:fill="FFFFFF"/>
            <w:noWrap/>
            <w:vAlign w:val="center"/>
            <w:hideMark/>
          </w:tcPr>
          <w:p w14:paraId="2947738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1,119</w:t>
            </w:r>
          </w:p>
        </w:tc>
        <w:tc>
          <w:tcPr>
            <w:tcW w:w="1040" w:type="dxa"/>
            <w:tcBorders>
              <w:top w:val="nil"/>
              <w:left w:val="nil"/>
              <w:bottom w:val="nil"/>
              <w:right w:val="single" w:sz="4" w:space="0" w:color="auto"/>
            </w:tcBorders>
            <w:shd w:val="clear" w:color="000000" w:fill="FFFFFF"/>
            <w:noWrap/>
            <w:vAlign w:val="center"/>
            <w:hideMark/>
          </w:tcPr>
          <w:p w14:paraId="35273AA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1,396</w:t>
            </w:r>
          </w:p>
        </w:tc>
        <w:tc>
          <w:tcPr>
            <w:tcW w:w="1040" w:type="dxa"/>
            <w:tcBorders>
              <w:top w:val="nil"/>
              <w:left w:val="nil"/>
              <w:bottom w:val="nil"/>
              <w:right w:val="single" w:sz="4" w:space="0" w:color="auto"/>
            </w:tcBorders>
            <w:shd w:val="clear" w:color="000000" w:fill="FFFFFF"/>
            <w:noWrap/>
            <w:vAlign w:val="center"/>
            <w:hideMark/>
          </w:tcPr>
          <w:p w14:paraId="3D01551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1,424</w:t>
            </w:r>
          </w:p>
        </w:tc>
        <w:tc>
          <w:tcPr>
            <w:tcW w:w="1040" w:type="dxa"/>
            <w:tcBorders>
              <w:top w:val="nil"/>
              <w:left w:val="nil"/>
              <w:bottom w:val="nil"/>
              <w:right w:val="single" w:sz="4" w:space="0" w:color="auto"/>
            </w:tcBorders>
            <w:shd w:val="clear" w:color="000000" w:fill="FFFFFF"/>
            <w:noWrap/>
            <w:vAlign w:val="center"/>
            <w:hideMark/>
          </w:tcPr>
          <w:p w14:paraId="7729E69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1,453</w:t>
            </w:r>
          </w:p>
        </w:tc>
        <w:tc>
          <w:tcPr>
            <w:tcW w:w="1040" w:type="dxa"/>
            <w:tcBorders>
              <w:top w:val="nil"/>
              <w:left w:val="nil"/>
              <w:bottom w:val="nil"/>
              <w:right w:val="single" w:sz="4" w:space="0" w:color="auto"/>
            </w:tcBorders>
            <w:shd w:val="clear" w:color="000000" w:fill="FFFFFF"/>
            <w:noWrap/>
            <w:vAlign w:val="center"/>
            <w:hideMark/>
          </w:tcPr>
          <w:p w14:paraId="1D80E2A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1,482</w:t>
            </w:r>
          </w:p>
        </w:tc>
      </w:tr>
      <w:tr w:rsidR="00D54977" w:rsidRPr="00D54977" w14:paraId="1DFFF59C"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12B60E9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790</w:t>
            </w:r>
          </w:p>
        </w:tc>
        <w:tc>
          <w:tcPr>
            <w:tcW w:w="3508" w:type="dxa"/>
            <w:tcBorders>
              <w:top w:val="nil"/>
              <w:left w:val="nil"/>
              <w:bottom w:val="nil"/>
              <w:right w:val="single" w:sz="4" w:space="0" w:color="auto"/>
            </w:tcBorders>
            <w:shd w:val="clear" w:color="000000" w:fill="FFFFFF"/>
            <w:noWrap/>
            <w:vAlign w:val="center"/>
            <w:hideMark/>
          </w:tcPr>
          <w:p w14:paraId="6D59D512"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Other Non-Pay</w:t>
            </w:r>
          </w:p>
        </w:tc>
        <w:tc>
          <w:tcPr>
            <w:tcW w:w="1040" w:type="dxa"/>
            <w:tcBorders>
              <w:top w:val="nil"/>
              <w:left w:val="nil"/>
              <w:bottom w:val="nil"/>
              <w:right w:val="single" w:sz="4" w:space="0" w:color="auto"/>
            </w:tcBorders>
            <w:shd w:val="clear" w:color="000000" w:fill="FFFFFF"/>
            <w:noWrap/>
            <w:vAlign w:val="center"/>
            <w:hideMark/>
          </w:tcPr>
          <w:p w14:paraId="2A50122B"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1,236</w:t>
            </w:r>
          </w:p>
        </w:tc>
        <w:tc>
          <w:tcPr>
            <w:tcW w:w="1040" w:type="dxa"/>
            <w:tcBorders>
              <w:top w:val="nil"/>
              <w:left w:val="nil"/>
              <w:bottom w:val="nil"/>
              <w:right w:val="single" w:sz="4" w:space="0" w:color="auto"/>
            </w:tcBorders>
            <w:shd w:val="clear" w:color="000000" w:fill="FFFFFF"/>
            <w:noWrap/>
            <w:vAlign w:val="center"/>
            <w:hideMark/>
          </w:tcPr>
          <w:p w14:paraId="5CD5D48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519</w:t>
            </w:r>
          </w:p>
        </w:tc>
        <w:tc>
          <w:tcPr>
            <w:tcW w:w="1040" w:type="dxa"/>
            <w:tcBorders>
              <w:top w:val="nil"/>
              <w:left w:val="nil"/>
              <w:bottom w:val="nil"/>
              <w:right w:val="single" w:sz="4" w:space="0" w:color="auto"/>
            </w:tcBorders>
            <w:shd w:val="clear" w:color="000000" w:fill="FFFFFF"/>
            <w:noWrap/>
            <w:vAlign w:val="center"/>
            <w:hideMark/>
          </w:tcPr>
          <w:p w14:paraId="12486318"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532</w:t>
            </w:r>
          </w:p>
        </w:tc>
        <w:tc>
          <w:tcPr>
            <w:tcW w:w="1040" w:type="dxa"/>
            <w:tcBorders>
              <w:top w:val="nil"/>
              <w:left w:val="nil"/>
              <w:bottom w:val="nil"/>
              <w:right w:val="single" w:sz="4" w:space="0" w:color="auto"/>
            </w:tcBorders>
            <w:shd w:val="clear" w:color="000000" w:fill="FFFFFF"/>
            <w:noWrap/>
            <w:vAlign w:val="center"/>
            <w:hideMark/>
          </w:tcPr>
          <w:p w14:paraId="7E0E4DD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545</w:t>
            </w:r>
          </w:p>
        </w:tc>
        <w:tc>
          <w:tcPr>
            <w:tcW w:w="1040" w:type="dxa"/>
            <w:tcBorders>
              <w:top w:val="nil"/>
              <w:left w:val="nil"/>
              <w:bottom w:val="nil"/>
              <w:right w:val="single" w:sz="4" w:space="0" w:color="auto"/>
            </w:tcBorders>
            <w:shd w:val="clear" w:color="000000" w:fill="FFFFFF"/>
            <w:noWrap/>
            <w:vAlign w:val="center"/>
            <w:hideMark/>
          </w:tcPr>
          <w:p w14:paraId="05CCD47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558</w:t>
            </w:r>
          </w:p>
        </w:tc>
      </w:tr>
      <w:tr w:rsidR="00D54977" w:rsidRPr="00D54977" w14:paraId="44D6F21F"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7F7E185E"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(1,204)</w:t>
            </w:r>
          </w:p>
        </w:tc>
        <w:tc>
          <w:tcPr>
            <w:tcW w:w="3508" w:type="dxa"/>
            <w:tcBorders>
              <w:top w:val="nil"/>
              <w:left w:val="nil"/>
              <w:bottom w:val="nil"/>
              <w:right w:val="single" w:sz="4" w:space="0" w:color="auto"/>
            </w:tcBorders>
            <w:shd w:val="clear" w:color="000000" w:fill="FFFFFF"/>
            <w:noWrap/>
            <w:vAlign w:val="center"/>
            <w:hideMark/>
          </w:tcPr>
          <w:p w14:paraId="2379BEEB"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Income</w:t>
            </w:r>
          </w:p>
        </w:tc>
        <w:tc>
          <w:tcPr>
            <w:tcW w:w="1040" w:type="dxa"/>
            <w:tcBorders>
              <w:top w:val="nil"/>
              <w:left w:val="nil"/>
              <w:bottom w:val="nil"/>
              <w:right w:val="single" w:sz="4" w:space="0" w:color="auto"/>
            </w:tcBorders>
            <w:shd w:val="clear" w:color="000000" w:fill="FFFFFF"/>
            <w:noWrap/>
            <w:vAlign w:val="center"/>
            <w:hideMark/>
          </w:tcPr>
          <w:p w14:paraId="109DFF1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(1,915)</w:t>
            </w:r>
          </w:p>
        </w:tc>
        <w:tc>
          <w:tcPr>
            <w:tcW w:w="1040" w:type="dxa"/>
            <w:tcBorders>
              <w:top w:val="nil"/>
              <w:left w:val="nil"/>
              <w:bottom w:val="nil"/>
              <w:right w:val="single" w:sz="4" w:space="0" w:color="auto"/>
            </w:tcBorders>
            <w:shd w:val="clear" w:color="000000" w:fill="FFFFFF"/>
            <w:noWrap/>
            <w:vAlign w:val="center"/>
            <w:hideMark/>
          </w:tcPr>
          <w:p w14:paraId="184FADE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(1,969)</w:t>
            </w:r>
          </w:p>
        </w:tc>
        <w:tc>
          <w:tcPr>
            <w:tcW w:w="1040" w:type="dxa"/>
            <w:tcBorders>
              <w:top w:val="nil"/>
              <w:left w:val="nil"/>
              <w:bottom w:val="nil"/>
              <w:right w:val="single" w:sz="4" w:space="0" w:color="auto"/>
            </w:tcBorders>
            <w:shd w:val="clear" w:color="000000" w:fill="FFFFFF"/>
            <w:noWrap/>
            <w:vAlign w:val="center"/>
            <w:hideMark/>
          </w:tcPr>
          <w:p w14:paraId="43D0737B"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(2,044)</w:t>
            </w:r>
          </w:p>
        </w:tc>
        <w:tc>
          <w:tcPr>
            <w:tcW w:w="1040" w:type="dxa"/>
            <w:tcBorders>
              <w:top w:val="nil"/>
              <w:left w:val="nil"/>
              <w:bottom w:val="nil"/>
              <w:right w:val="single" w:sz="4" w:space="0" w:color="auto"/>
            </w:tcBorders>
            <w:shd w:val="clear" w:color="000000" w:fill="FFFFFF"/>
            <w:noWrap/>
            <w:vAlign w:val="center"/>
            <w:hideMark/>
          </w:tcPr>
          <w:p w14:paraId="2EEAFE5E"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(2,123)</w:t>
            </w:r>
          </w:p>
        </w:tc>
        <w:tc>
          <w:tcPr>
            <w:tcW w:w="1040" w:type="dxa"/>
            <w:tcBorders>
              <w:top w:val="nil"/>
              <w:left w:val="nil"/>
              <w:bottom w:val="nil"/>
              <w:right w:val="single" w:sz="4" w:space="0" w:color="auto"/>
            </w:tcBorders>
            <w:shd w:val="clear" w:color="000000" w:fill="FFFFFF"/>
            <w:noWrap/>
            <w:vAlign w:val="center"/>
            <w:hideMark/>
          </w:tcPr>
          <w:p w14:paraId="082D16F9"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(2,209)</w:t>
            </w:r>
          </w:p>
        </w:tc>
      </w:tr>
      <w:tr w:rsidR="00D54977" w:rsidRPr="00D54977" w14:paraId="19B0A649"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05137AC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3,920</w:t>
            </w:r>
          </w:p>
        </w:tc>
        <w:tc>
          <w:tcPr>
            <w:tcW w:w="3508" w:type="dxa"/>
            <w:tcBorders>
              <w:top w:val="nil"/>
              <w:left w:val="nil"/>
              <w:bottom w:val="nil"/>
              <w:right w:val="single" w:sz="4" w:space="0" w:color="auto"/>
            </w:tcBorders>
            <w:shd w:val="clear" w:color="000000" w:fill="FFFFFF"/>
            <w:noWrap/>
            <w:vAlign w:val="center"/>
            <w:hideMark/>
          </w:tcPr>
          <w:p w14:paraId="575A3D98"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Governance/Support Services</w:t>
            </w:r>
          </w:p>
        </w:tc>
        <w:tc>
          <w:tcPr>
            <w:tcW w:w="1040" w:type="dxa"/>
            <w:tcBorders>
              <w:top w:val="nil"/>
              <w:left w:val="nil"/>
              <w:bottom w:val="single" w:sz="4" w:space="0" w:color="auto"/>
              <w:right w:val="single" w:sz="4" w:space="0" w:color="auto"/>
            </w:tcBorders>
            <w:shd w:val="clear" w:color="000000" w:fill="FFFFFF"/>
            <w:noWrap/>
            <w:vAlign w:val="center"/>
            <w:hideMark/>
          </w:tcPr>
          <w:p w14:paraId="3BF9E27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4,234</w:t>
            </w:r>
          </w:p>
        </w:tc>
        <w:tc>
          <w:tcPr>
            <w:tcW w:w="1040" w:type="dxa"/>
            <w:tcBorders>
              <w:top w:val="nil"/>
              <w:left w:val="nil"/>
              <w:bottom w:val="single" w:sz="4" w:space="0" w:color="auto"/>
              <w:right w:val="single" w:sz="4" w:space="0" w:color="auto"/>
            </w:tcBorders>
            <w:shd w:val="clear" w:color="000000" w:fill="FFFFFF"/>
            <w:noWrap/>
            <w:vAlign w:val="center"/>
            <w:hideMark/>
          </w:tcPr>
          <w:p w14:paraId="7C7288F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4,377</w:t>
            </w:r>
          </w:p>
        </w:tc>
        <w:tc>
          <w:tcPr>
            <w:tcW w:w="1040" w:type="dxa"/>
            <w:tcBorders>
              <w:top w:val="nil"/>
              <w:left w:val="nil"/>
              <w:bottom w:val="single" w:sz="4" w:space="0" w:color="auto"/>
              <w:right w:val="single" w:sz="4" w:space="0" w:color="auto"/>
            </w:tcBorders>
            <w:shd w:val="clear" w:color="000000" w:fill="FFFFFF"/>
            <w:noWrap/>
            <w:vAlign w:val="center"/>
            <w:hideMark/>
          </w:tcPr>
          <w:p w14:paraId="50FD1E02"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4,467</w:t>
            </w:r>
          </w:p>
        </w:tc>
        <w:tc>
          <w:tcPr>
            <w:tcW w:w="1040" w:type="dxa"/>
            <w:tcBorders>
              <w:top w:val="nil"/>
              <w:left w:val="nil"/>
              <w:bottom w:val="single" w:sz="4" w:space="0" w:color="auto"/>
              <w:right w:val="single" w:sz="4" w:space="0" w:color="auto"/>
            </w:tcBorders>
            <w:shd w:val="clear" w:color="000000" w:fill="FFFFFF"/>
            <w:noWrap/>
            <w:vAlign w:val="center"/>
            <w:hideMark/>
          </w:tcPr>
          <w:p w14:paraId="1975081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4,558</w:t>
            </w:r>
          </w:p>
        </w:tc>
        <w:tc>
          <w:tcPr>
            <w:tcW w:w="1040" w:type="dxa"/>
            <w:tcBorders>
              <w:top w:val="nil"/>
              <w:left w:val="nil"/>
              <w:bottom w:val="single" w:sz="4" w:space="0" w:color="auto"/>
              <w:right w:val="single" w:sz="4" w:space="0" w:color="auto"/>
            </w:tcBorders>
            <w:shd w:val="clear" w:color="000000" w:fill="FFFFFF"/>
            <w:noWrap/>
            <w:vAlign w:val="center"/>
            <w:hideMark/>
          </w:tcPr>
          <w:p w14:paraId="39C3701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4,650</w:t>
            </w:r>
          </w:p>
        </w:tc>
      </w:tr>
      <w:tr w:rsidR="00D54977" w:rsidRPr="00D54977" w14:paraId="55A518E3" w14:textId="77777777" w:rsidTr="00D54977">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E7F645"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32,139</w:t>
            </w:r>
          </w:p>
        </w:tc>
        <w:tc>
          <w:tcPr>
            <w:tcW w:w="3508" w:type="dxa"/>
            <w:tcBorders>
              <w:top w:val="single" w:sz="4" w:space="0" w:color="auto"/>
              <w:left w:val="nil"/>
              <w:bottom w:val="single" w:sz="4" w:space="0" w:color="auto"/>
              <w:right w:val="single" w:sz="4" w:space="0" w:color="auto"/>
            </w:tcBorders>
            <w:shd w:val="clear" w:color="000000" w:fill="FFFFFF"/>
            <w:noWrap/>
            <w:vAlign w:val="center"/>
            <w:hideMark/>
          </w:tcPr>
          <w:p w14:paraId="65DF6DEF" w14:textId="77777777" w:rsidR="00D54977" w:rsidRPr="00D54977" w:rsidRDefault="00D54977" w:rsidP="00D54977">
            <w:pPr>
              <w:spacing w:line="240" w:lineRule="auto"/>
              <w:rPr>
                <w:rFonts w:eastAsia="Times New Roman" w:cs="Calibri"/>
                <w:b/>
                <w:bCs/>
                <w:color w:val="000000"/>
                <w:sz w:val="20"/>
                <w:szCs w:val="20"/>
                <w:lang w:eastAsia="en-GB"/>
              </w:rPr>
            </w:pPr>
            <w:r w:rsidRPr="00D54977">
              <w:rPr>
                <w:rFonts w:eastAsia="Times New Roman" w:cs="Calibri"/>
                <w:b/>
                <w:bCs/>
                <w:color w:val="000000"/>
                <w:sz w:val="20"/>
                <w:szCs w:val="20"/>
                <w:lang w:eastAsia="en-GB"/>
              </w:rPr>
              <w:t>OPERATIONAL BUDGET</w:t>
            </w:r>
          </w:p>
        </w:tc>
        <w:tc>
          <w:tcPr>
            <w:tcW w:w="1040" w:type="dxa"/>
            <w:tcBorders>
              <w:top w:val="nil"/>
              <w:left w:val="nil"/>
              <w:bottom w:val="single" w:sz="4" w:space="0" w:color="auto"/>
              <w:right w:val="single" w:sz="4" w:space="0" w:color="auto"/>
            </w:tcBorders>
            <w:shd w:val="clear" w:color="000000" w:fill="FFFFFF"/>
            <w:noWrap/>
            <w:vAlign w:val="center"/>
            <w:hideMark/>
          </w:tcPr>
          <w:p w14:paraId="478964DB"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34,815</w:t>
            </w:r>
          </w:p>
        </w:tc>
        <w:tc>
          <w:tcPr>
            <w:tcW w:w="1040" w:type="dxa"/>
            <w:tcBorders>
              <w:top w:val="nil"/>
              <w:left w:val="nil"/>
              <w:bottom w:val="single" w:sz="4" w:space="0" w:color="auto"/>
              <w:right w:val="single" w:sz="4" w:space="0" w:color="auto"/>
            </w:tcBorders>
            <w:shd w:val="clear" w:color="000000" w:fill="FFFFFF"/>
            <w:noWrap/>
            <w:vAlign w:val="center"/>
            <w:hideMark/>
          </w:tcPr>
          <w:p w14:paraId="7CEF0923"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35,788</w:t>
            </w:r>
          </w:p>
        </w:tc>
        <w:tc>
          <w:tcPr>
            <w:tcW w:w="1040" w:type="dxa"/>
            <w:tcBorders>
              <w:top w:val="nil"/>
              <w:left w:val="nil"/>
              <w:bottom w:val="single" w:sz="4" w:space="0" w:color="auto"/>
              <w:right w:val="single" w:sz="4" w:space="0" w:color="auto"/>
            </w:tcBorders>
            <w:shd w:val="clear" w:color="000000" w:fill="FFFFFF"/>
            <w:noWrap/>
            <w:vAlign w:val="center"/>
            <w:hideMark/>
          </w:tcPr>
          <w:p w14:paraId="793E6CE9"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37,392</w:t>
            </w:r>
          </w:p>
        </w:tc>
        <w:tc>
          <w:tcPr>
            <w:tcW w:w="1040" w:type="dxa"/>
            <w:tcBorders>
              <w:top w:val="nil"/>
              <w:left w:val="nil"/>
              <w:bottom w:val="single" w:sz="4" w:space="0" w:color="auto"/>
              <w:right w:val="single" w:sz="4" w:space="0" w:color="auto"/>
            </w:tcBorders>
            <w:shd w:val="clear" w:color="000000" w:fill="FFFFFF"/>
            <w:noWrap/>
            <w:vAlign w:val="center"/>
            <w:hideMark/>
          </w:tcPr>
          <w:p w14:paraId="6AE527BE"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38,366</w:t>
            </w:r>
          </w:p>
        </w:tc>
        <w:tc>
          <w:tcPr>
            <w:tcW w:w="1040" w:type="dxa"/>
            <w:tcBorders>
              <w:top w:val="nil"/>
              <w:left w:val="nil"/>
              <w:bottom w:val="single" w:sz="4" w:space="0" w:color="auto"/>
              <w:right w:val="single" w:sz="4" w:space="0" w:color="auto"/>
            </w:tcBorders>
            <w:shd w:val="clear" w:color="000000" w:fill="FFFFFF"/>
            <w:noWrap/>
            <w:vAlign w:val="center"/>
            <w:hideMark/>
          </w:tcPr>
          <w:p w14:paraId="7432A306"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38,807</w:t>
            </w:r>
          </w:p>
        </w:tc>
      </w:tr>
      <w:tr w:rsidR="00D54977" w:rsidRPr="00D54977" w14:paraId="3E3C5193" w14:textId="77777777" w:rsidTr="00D54977">
        <w:trPr>
          <w:trHeight w:val="300"/>
        </w:trPr>
        <w:tc>
          <w:tcPr>
            <w:tcW w:w="1056" w:type="dxa"/>
            <w:tcBorders>
              <w:top w:val="nil"/>
              <w:left w:val="nil"/>
              <w:bottom w:val="nil"/>
              <w:right w:val="nil"/>
            </w:tcBorders>
            <w:shd w:val="clear" w:color="000000" w:fill="FFFFFF"/>
            <w:noWrap/>
            <w:vAlign w:val="center"/>
            <w:hideMark/>
          </w:tcPr>
          <w:p w14:paraId="39B8921C"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center"/>
            <w:hideMark/>
          </w:tcPr>
          <w:p w14:paraId="78CA073F"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7984FC3C"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7DCD8FD7"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521429A9"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6A8F0A4A"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0C8AA72E"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r>
      <w:tr w:rsidR="00D54977" w:rsidRPr="00D54977" w14:paraId="5BFDDECB" w14:textId="77777777" w:rsidTr="00D54977">
        <w:trPr>
          <w:trHeight w:val="300"/>
        </w:trPr>
        <w:tc>
          <w:tcPr>
            <w:tcW w:w="1056" w:type="dxa"/>
            <w:tcBorders>
              <w:top w:val="single" w:sz="4" w:space="0" w:color="auto"/>
              <w:left w:val="single" w:sz="4" w:space="0" w:color="auto"/>
              <w:bottom w:val="nil"/>
              <w:right w:val="single" w:sz="4" w:space="0" w:color="auto"/>
            </w:tcBorders>
            <w:shd w:val="clear" w:color="000000" w:fill="FFFFFF"/>
            <w:noWrap/>
            <w:vAlign w:val="center"/>
            <w:hideMark/>
          </w:tcPr>
          <w:p w14:paraId="2B124148"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259</w:t>
            </w:r>
          </w:p>
        </w:tc>
        <w:tc>
          <w:tcPr>
            <w:tcW w:w="3508" w:type="dxa"/>
            <w:tcBorders>
              <w:top w:val="single" w:sz="4" w:space="0" w:color="auto"/>
              <w:left w:val="nil"/>
              <w:bottom w:val="nil"/>
              <w:right w:val="single" w:sz="4" w:space="0" w:color="auto"/>
            </w:tcBorders>
            <w:shd w:val="clear" w:color="000000" w:fill="FFFFFF"/>
            <w:noWrap/>
            <w:vAlign w:val="center"/>
            <w:hideMark/>
          </w:tcPr>
          <w:p w14:paraId="765F2891"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Capital Financing - MRP</w:t>
            </w:r>
          </w:p>
        </w:tc>
        <w:tc>
          <w:tcPr>
            <w:tcW w:w="1040" w:type="dxa"/>
            <w:tcBorders>
              <w:top w:val="single" w:sz="4" w:space="0" w:color="auto"/>
              <w:left w:val="nil"/>
              <w:bottom w:val="nil"/>
              <w:right w:val="single" w:sz="4" w:space="0" w:color="auto"/>
            </w:tcBorders>
            <w:shd w:val="clear" w:color="000000" w:fill="FFFFFF"/>
            <w:noWrap/>
            <w:vAlign w:val="center"/>
            <w:hideMark/>
          </w:tcPr>
          <w:p w14:paraId="3BA43278"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451</w:t>
            </w:r>
          </w:p>
        </w:tc>
        <w:tc>
          <w:tcPr>
            <w:tcW w:w="1040" w:type="dxa"/>
            <w:tcBorders>
              <w:top w:val="single" w:sz="4" w:space="0" w:color="auto"/>
              <w:left w:val="nil"/>
              <w:bottom w:val="nil"/>
              <w:right w:val="single" w:sz="4" w:space="0" w:color="auto"/>
            </w:tcBorders>
            <w:shd w:val="clear" w:color="000000" w:fill="FFFFFF"/>
            <w:noWrap/>
            <w:vAlign w:val="center"/>
            <w:hideMark/>
          </w:tcPr>
          <w:p w14:paraId="2530FFB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599</w:t>
            </w:r>
          </w:p>
        </w:tc>
        <w:tc>
          <w:tcPr>
            <w:tcW w:w="1040" w:type="dxa"/>
            <w:tcBorders>
              <w:top w:val="single" w:sz="4" w:space="0" w:color="auto"/>
              <w:left w:val="nil"/>
              <w:bottom w:val="nil"/>
              <w:right w:val="single" w:sz="4" w:space="0" w:color="auto"/>
            </w:tcBorders>
            <w:shd w:val="clear" w:color="000000" w:fill="FFFFFF"/>
            <w:noWrap/>
            <w:vAlign w:val="center"/>
            <w:hideMark/>
          </w:tcPr>
          <w:p w14:paraId="63CF967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739</w:t>
            </w:r>
          </w:p>
        </w:tc>
        <w:tc>
          <w:tcPr>
            <w:tcW w:w="1040" w:type="dxa"/>
            <w:tcBorders>
              <w:top w:val="single" w:sz="4" w:space="0" w:color="auto"/>
              <w:left w:val="nil"/>
              <w:bottom w:val="nil"/>
              <w:right w:val="single" w:sz="4" w:space="0" w:color="auto"/>
            </w:tcBorders>
            <w:shd w:val="clear" w:color="000000" w:fill="FFFFFF"/>
            <w:noWrap/>
            <w:vAlign w:val="center"/>
            <w:hideMark/>
          </w:tcPr>
          <w:p w14:paraId="2DCCB597"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861</w:t>
            </w:r>
          </w:p>
        </w:tc>
        <w:tc>
          <w:tcPr>
            <w:tcW w:w="1040" w:type="dxa"/>
            <w:tcBorders>
              <w:top w:val="single" w:sz="4" w:space="0" w:color="auto"/>
              <w:left w:val="nil"/>
              <w:bottom w:val="nil"/>
              <w:right w:val="single" w:sz="4" w:space="0" w:color="auto"/>
            </w:tcBorders>
            <w:shd w:val="clear" w:color="000000" w:fill="FFFFFF"/>
            <w:noWrap/>
            <w:vAlign w:val="center"/>
            <w:hideMark/>
          </w:tcPr>
          <w:p w14:paraId="215F319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936</w:t>
            </w:r>
          </w:p>
        </w:tc>
      </w:tr>
      <w:tr w:rsidR="00D54977" w:rsidRPr="00D54977" w14:paraId="144D566A"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3558FE6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59</w:t>
            </w:r>
          </w:p>
        </w:tc>
        <w:tc>
          <w:tcPr>
            <w:tcW w:w="3508" w:type="dxa"/>
            <w:tcBorders>
              <w:top w:val="nil"/>
              <w:left w:val="nil"/>
              <w:bottom w:val="nil"/>
              <w:right w:val="single" w:sz="4" w:space="0" w:color="auto"/>
            </w:tcBorders>
            <w:shd w:val="clear" w:color="000000" w:fill="FFFFFF"/>
            <w:noWrap/>
            <w:vAlign w:val="center"/>
            <w:hideMark/>
          </w:tcPr>
          <w:p w14:paraId="32242AB4"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Capital Financing - Interest</w:t>
            </w:r>
          </w:p>
        </w:tc>
        <w:tc>
          <w:tcPr>
            <w:tcW w:w="1040" w:type="dxa"/>
            <w:tcBorders>
              <w:top w:val="nil"/>
              <w:left w:val="nil"/>
              <w:bottom w:val="nil"/>
              <w:right w:val="single" w:sz="4" w:space="0" w:color="auto"/>
            </w:tcBorders>
            <w:shd w:val="clear" w:color="000000" w:fill="FFFFFF"/>
            <w:noWrap/>
            <w:vAlign w:val="center"/>
            <w:hideMark/>
          </w:tcPr>
          <w:p w14:paraId="30871634"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141</w:t>
            </w:r>
          </w:p>
        </w:tc>
        <w:tc>
          <w:tcPr>
            <w:tcW w:w="1040" w:type="dxa"/>
            <w:tcBorders>
              <w:top w:val="nil"/>
              <w:left w:val="nil"/>
              <w:bottom w:val="nil"/>
              <w:right w:val="single" w:sz="4" w:space="0" w:color="auto"/>
            </w:tcBorders>
            <w:shd w:val="clear" w:color="000000" w:fill="FFFFFF"/>
            <w:noWrap/>
            <w:vAlign w:val="center"/>
            <w:hideMark/>
          </w:tcPr>
          <w:p w14:paraId="496BA86D"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417</w:t>
            </w:r>
          </w:p>
        </w:tc>
        <w:tc>
          <w:tcPr>
            <w:tcW w:w="1040" w:type="dxa"/>
            <w:tcBorders>
              <w:top w:val="nil"/>
              <w:left w:val="nil"/>
              <w:bottom w:val="nil"/>
              <w:right w:val="single" w:sz="4" w:space="0" w:color="auto"/>
            </w:tcBorders>
            <w:shd w:val="clear" w:color="000000" w:fill="FFFFFF"/>
            <w:noWrap/>
            <w:vAlign w:val="center"/>
            <w:hideMark/>
          </w:tcPr>
          <w:p w14:paraId="422927C7"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586</w:t>
            </w:r>
          </w:p>
        </w:tc>
        <w:tc>
          <w:tcPr>
            <w:tcW w:w="1040" w:type="dxa"/>
            <w:tcBorders>
              <w:top w:val="nil"/>
              <w:left w:val="nil"/>
              <w:bottom w:val="nil"/>
              <w:right w:val="single" w:sz="4" w:space="0" w:color="auto"/>
            </w:tcBorders>
            <w:shd w:val="clear" w:color="000000" w:fill="FFFFFF"/>
            <w:noWrap/>
            <w:vAlign w:val="center"/>
            <w:hideMark/>
          </w:tcPr>
          <w:p w14:paraId="3FE7D064"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881</w:t>
            </w:r>
          </w:p>
        </w:tc>
        <w:tc>
          <w:tcPr>
            <w:tcW w:w="1040" w:type="dxa"/>
            <w:tcBorders>
              <w:top w:val="nil"/>
              <w:left w:val="nil"/>
              <w:bottom w:val="nil"/>
              <w:right w:val="single" w:sz="4" w:space="0" w:color="auto"/>
            </w:tcBorders>
            <w:shd w:val="clear" w:color="000000" w:fill="FFFFFF"/>
            <w:noWrap/>
            <w:vAlign w:val="center"/>
            <w:hideMark/>
          </w:tcPr>
          <w:p w14:paraId="3B3250A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1,052</w:t>
            </w:r>
          </w:p>
        </w:tc>
      </w:tr>
      <w:tr w:rsidR="00D54977" w:rsidRPr="00D54977" w14:paraId="2E78C623"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75F8CD0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300</w:t>
            </w:r>
          </w:p>
        </w:tc>
        <w:tc>
          <w:tcPr>
            <w:tcW w:w="3508" w:type="dxa"/>
            <w:tcBorders>
              <w:top w:val="nil"/>
              <w:left w:val="nil"/>
              <w:bottom w:val="nil"/>
              <w:right w:val="single" w:sz="4" w:space="0" w:color="auto"/>
            </w:tcBorders>
            <w:shd w:val="clear" w:color="000000" w:fill="FFFFFF"/>
            <w:noWrap/>
            <w:vAlign w:val="center"/>
            <w:hideMark/>
          </w:tcPr>
          <w:p w14:paraId="64DDE83E"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Capital Financing - RCCO</w:t>
            </w:r>
          </w:p>
        </w:tc>
        <w:tc>
          <w:tcPr>
            <w:tcW w:w="1040" w:type="dxa"/>
            <w:tcBorders>
              <w:top w:val="nil"/>
              <w:left w:val="nil"/>
              <w:bottom w:val="nil"/>
              <w:right w:val="single" w:sz="4" w:space="0" w:color="auto"/>
            </w:tcBorders>
            <w:shd w:val="clear" w:color="000000" w:fill="FFFFFF"/>
            <w:noWrap/>
            <w:vAlign w:val="center"/>
            <w:hideMark/>
          </w:tcPr>
          <w:p w14:paraId="302391F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300</w:t>
            </w:r>
          </w:p>
        </w:tc>
        <w:tc>
          <w:tcPr>
            <w:tcW w:w="1040" w:type="dxa"/>
            <w:tcBorders>
              <w:top w:val="nil"/>
              <w:left w:val="nil"/>
              <w:bottom w:val="nil"/>
              <w:right w:val="single" w:sz="4" w:space="0" w:color="auto"/>
            </w:tcBorders>
            <w:shd w:val="clear" w:color="000000" w:fill="FFFFFF"/>
            <w:noWrap/>
            <w:vAlign w:val="center"/>
            <w:hideMark/>
          </w:tcPr>
          <w:p w14:paraId="5FA3FC89"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300</w:t>
            </w:r>
          </w:p>
        </w:tc>
        <w:tc>
          <w:tcPr>
            <w:tcW w:w="1040" w:type="dxa"/>
            <w:tcBorders>
              <w:top w:val="nil"/>
              <w:left w:val="nil"/>
              <w:bottom w:val="nil"/>
              <w:right w:val="single" w:sz="4" w:space="0" w:color="auto"/>
            </w:tcBorders>
            <w:shd w:val="clear" w:color="000000" w:fill="FFFFFF"/>
            <w:noWrap/>
            <w:vAlign w:val="center"/>
            <w:hideMark/>
          </w:tcPr>
          <w:p w14:paraId="311BF002"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300</w:t>
            </w:r>
          </w:p>
        </w:tc>
        <w:tc>
          <w:tcPr>
            <w:tcW w:w="1040" w:type="dxa"/>
            <w:tcBorders>
              <w:top w:val="nil"/>
              <w:left w:val="nil"/>
              <w:bottom w:val="nil"/>
              <w:right w:val="single" w:sz="4" w:space="0" w:color="auto"/>
            </w:tcBorders>
            <w:shd w:val="clear" w:color="000000" w:fill="FFFFFF"/>
            <w:noWrap/>
            <w:vAlign w:val="center"/>
            <w:hideMark/>
          </w:tcPr>
          <w:p w14:paraId="17D3473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300</w:t>
            </w:r>
          </w:p>
        </w:tc>
        <w:tc>
          <w:tcPr>
            <w:tcW w:w="1040" w:type="dxa"/>
            <w:tcBorders>
              <w:top w:val="nil"/>
              <w:left w:val="nil"/>
              <w:bottom w:val="nil"/>
              <w:right w:val="single" w:sz="4" w:space="0" w:color="auto"/>
            </w:tcBorders>
            <w:shd w:val="clear" w:color="000000" w:fill="FFFFFF"/>
            <w:noWrap/>
            <w:vAlign w:val="center"/>
            <w:hideMark/>
          </w:tcPr>
          <w:p w14:paraId="1F5F84DD"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300</w:t>
            </w:r>
          </w:p>
        </w:tc>
      </w:tr>
      <w:tr w:rsidR="00D54977" w:rsidRPr="00D54977" w14:paraId="6D1AE04A"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6A55FADD"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120</w:t>
            </w:r>
          </w:p>
        </w:tc>
        <w:tc>
          <w:tcPr>
            <w:tcW w:w="3508" w:type="dxa"/>
            <w:tcBorders>
              <w:top w:val="nil"/>
              <w:left w:val="nil"/>
              <w:bottom w:val="nil"/>
              <w:right w:val="single" w:sz="4" w:space="0" w:color="auto"/>
            </w:tcBorders>
            <w:shd w:val="clear" w:color="000000" w:fill="FFFFFF"/>
            <w:noWrap/>
            <w:vAlign w:val="center"/>
            <w:hideMark/>
          </w:tcPr>
          <w:p w14:paraId="7F85DB6E"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Inflation contingency</w:t>
            </w:r>
          </w:p>
        </w:tc>
        <w:tc>
          <w:tcPr>
            <w:tcW w:w="1040" w:type="dxa"/>
            <w:tcBorders>
              <w:top w:val="nil"/>
              <w:left w:val="nil"/>
              <w:bottom w:val="nil"/>
              <w:right w:val="single" w:sz="4" w:space="0" w:color="auto"/>
            </w:tcBorders>
            <w:shd w:val="clear" w:color="000000" w:fill="FFFFFF"/>
            <w:noWrap/>
            <w:vAlign w:val="center"/>
            <w:hideMark/>
          </w:tcPr>
          <w:p w14:paraId="4D40016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120</w:t>
            </w:r>
          </w:p>
        </w:tc>
        <w:tc>
          <w:tcPr>
            <w:tcW w:w="1040" w:type="dxa"/>
            <w:tcBorders>
              <w:top w:val="nil"/>
              <w:left w:val="nil"/>
              <w:bottom w:val="nil"/>
              <w:right w:val="single" w:sz="4" w:space="0" w:color="auto"/>
            </w:tcBorders>
            <w:shd w:val="clear" w:color="000000" w:fill="FFFFFF"/>
            <w:noWrap/>
            <w:vAlign w:val="center"/>
            <w:hideMark/>
          </w:tcPr>
          <w:p w14:paraId="2B836CD2"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120</w:t>
            </w:r>
          </w:p>
        </w:tc>
        <w:tc>
          <w:tcPr>
            <w:tcW w:w="1040" w:type="dxa"/>
            <w:tcBorders>
              <w:top w:val="nil"/>
              <w:left w:val="nil"/>
              <w:bottom w:val="nil"/>
              <w:right w:val="single" w:sz="4" w:space="0" w:color="auto"/>
            </w:tcBorders>
            <w:shd w:val="clear" w:color="000000" w:fill="FFFFFF"/>
            <w:noWrap/>
            <w:vAlign w:val="center"/>
            <w:hideMark/>
          </w:tcPr>
          <w:p w14:paraId="6BF26CE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120</w:t>
            </w:r>
          </w:p>
        </w:tc>
        <w:tc>
          <w:tcPr>
            <w:tcW w:w="1040" w:type="dxa"/>
            <w:tcBorders>
              <w:top w:val="nil"/>
              <w:left w:val="nil"/>
              <w:bottom w:val="nil"/>
              <w:right w:val="single" w:sz="4" w:space="0" w:color="auto"/>
            </w:tcBorders>
            <w:shd w:val="clear" w:color="000000" w:fill="FFFFFF"/>
            <w:noWrap/>
            <w:vAlign w:val="center"/>
            <w:hideMark/>
          </w:tcPr>
          <w:p w14:paraId="4E49F2F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120</w:t>
            </w:r>
          </w:p>
        </w:tc>
        <w:tc>
          <w:tcPr>
            <w:tcW w:w="1040" w:type="dxa"/>
            <w:tcBorders>
              <w:top w:val="nil"/>
              <w:left w:val="nil"/>
              <w:bottom w:val="nil"/>
              <w:right w:val="single" w:sz="4" w:space="0" w:color="auto"/>
            </w:tcBorders>
            <w:shd w:val="clear" w:color="000000" w:fill="FFFFFF"/>
            <w:noWrap/>
            <w:vAlign w:val="center"/>
            <w:hideMark/>
          </w:tcPr>
          <w:p w14:paraId="05FA444D"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120</w:t>
            </w:r>
          </w:p>
        </w:tc>
      </w:tr>
      <w:tr w:rsidR="00D54977" w:rsidRPr="00D54977" w14:paraId="58F82667"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3B1B5811"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119</w:t>
            </w:r>
          </w:p>
        </w:tc>
        <w:tc>
          <w:tcPr>
            <w:tcW w:w="3508" w:type="dxa"/>
            <w:tcBorders>
              <w:top w:val="nil"/>
              <w:left w:val="nil"/>
              <w:bottom w:val="nil"/>
              <w:right w:val="single" w:sz="4" w:space="0" w:color="auto"/>
            </w:tcBorders>
            <w:shd w:val="clear" w:color="000000" w:fill="FFFFFF"/>
            <w:noWrap/>
            <w:vAlign w:val="center"/>
            <w:hideMark/>
          </w:tcPr>
          <w:p w14:paraId="230E4E48"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Transfer to Reserves</w:t>
            </w:r>
          </w:p>
        </w:tc>
        <w:tc>
          <w:tcPr>
            <w:tcW w:w="1040" w:type="dxa"/>
            <w:tcBorders>
              <w:top w:val="nil"/>
              <w:left w:val="nil"/>
              <w:bottom w:val="nil"/>
              <w:right w:val="single" w:sz="4" w:space="0" w:color="auto"/>
            </w:tcBorders>
            <w:shd w:val="clear" w:color="000000" w:fill="FFFFFF"/>
            <w:noWrap/>
            <w:vAlign w:val="center"/>
            <w:hideMark/>
          </w:tcPr>
          <w:p w14:paraId="76DDEC48"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nil"/>
              <w:right w:val="single" w:sz="4" w:space="0" w:color="auto"/>
            </w:tcBorders>
            <w:shd w:val="clear" w:color="000000" w:fill="FFFFFF"/>
            <w:noWrap/>
            <w:vAlign w:val="center"/>
            <w:hideMark/>
          </w:tcPr>
          <w:p w14:paraId="3ABE74F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nil"/>
              <w:right w:val="single" w:sz="4" w:space="0" w:color="auto"/>
            </w:tcBorders>
            <w:shd w:val="clear" w:color="000000" w:fill="FFFFFF"/>
            <w:noWrap/>
            <w:vAlign w:val="center"/>
            <w:hideMark/>
          </w:tcPr>
          <w:p w14:paraId="379A672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nil"/>
              <w:right w:val="single" w:sz="4" w:space="0" w:color="auto"/>
            </w:tcBorders>
            <w:shd w:val="clear" w:color="000000" w:fill="FFFFFF"/>
            <w:noWrap/>
            <w:vAlign w:val="center"/>
            <w:hideMark/>
          </w:tcPr>
          <w:p w14:paraId="3974E059"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nil"/>
              <w:right w:val="single" w:sz="4" w:space="0" w:color="auto"/>
            </w:tcBorders>
            <w:shd w:val="clear" w:color="000000" w:fill="FFFFFF"/>
            <w:noWrap/>
            <w:vAlign w:val="center"/>
            <w:hideMark/>
          </w:tcPr>
          <w:p w14:paraId="53CF763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r>
      <w:tr w:rsidR="00D54977" w:rsidRPr="00D54977" w14:paraId="7FE37DBD"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42E61D40"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(184)</w:t>
            </w:r>
          </w:p>
        </w:tc>
        <w:tc>
          <w:tcPr>
            <w:tcW w:w="3508" w:type="dxa"/>
            <w:tcBorders>
              <w:top w:val="nil"/>
              <w:left w:val="nil"/>
              <w:bottom w:val="nil"/>
              <w:right w:val="single" w:sz="4" w:space="0" w:color="auto"/>
            </w:tcBorders>
            <w:shd w:val="clear" w:color="000000" w:fill="FFFFFF"/>
            <w:noWrap/>
            <w:vAlign w:val="center"/>
            <w:hideMark/>
          </w:tcPr>
          <w:p w14:paraId="10FD064E"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Transfer from Reserves</w:t>
            </w:r>
          </w:p>
        </w:tc>
        <w:tc>
          <w:tcPr>
            <w:tcW w:w="1040" w:type="dxa"/>
            <w:tcBorders>
              <w:top w:val="nil"/>
              <w:left w:val="nil"/>
              <w:bottom w:val="single" w:sz="4" w:space="0" w:color="auto"/>
              <w:right w:val="single" w:sz="4" w:space="0" w:color="auto"/>
            </w:tcBorders>
            <w:shd w:val="clear" w:color="000000" w:fill="FFFFFF"/>
            <w:noWrap/>
            <w:vAlign w:val="center"/>
            <w:hideMark/>
          </w:tcPr>
          <w:p w14:paraId="55E7A0F2"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(766)</w:t>
            </w:r>
          </w:p>
        </w:tc>
        <w:tc>
          <w:tcPr>
            <w:tcW w:w="1040" w:type="dxa"/>
            <w:tcBorders>
              <w:top w:val="nil"/>
              <w:left w:val="nil"/>
              <w:bottom w:val="single" w:sz="4" w:space="0" w:color="auto"/>
              <w:right w:val="single" w:sz="4" w:space="0" w:color="auto"/>
            </w:tcBorders>
            <w:shd w:val="clear" w:color="000000" w:fill="FFFFFF"/>
            <w:noWrap/>
            <w:vAlign w:val="center"/>
            <w:hideMark/>
          </w:tcPr>
          <w:p w14:paraId="3216501D"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(500)</w:t>
            </w:r>
          </w:p>
        </w:tc>
        <w:tc>
          <w:tcPr>
            <w:tcW w:w="1040" w:type="dxa"/>
            <w:tcBorders>
              <w:top w:val="nil"/>
              <w:left w:val="nil"/>
              <w:bottom w:val="single" w:sz="4" w:space="0" w:color="auto"/>
              <w:right w:val="single" w:sz="4" w:space="0" w:color="auto"/>
            </w:tcBorders>
            <w:shd w:val="clear" w:color="000000" w:fill="FFFFFF"/>
            <w:noWrap/>
            <w:vAlign w:val="center"/>
            <w:hideMark/>
          </w:tcPr>
          <w:p w14:paraId="1D0C271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(202)</w:t>
            </w:r>
          </w:p>
        </w:tc>
        <w:tc>
          <w:tcPr>
            <w:tcW w:w="1040" w:type="dxa"/>
            <w:tcBorders>
              <w:top w:val="nil"/>
              <w:left w:val="nil"/>
              <w:bottom w:val="single" w:sz="4" w:space="0" w:color="auto"/>
              <w:right w:val="single" w:sz="4" w:space="0" w:color="auto"/>
            </w:tcBorders>
            <w:shd w:val="clear" w:color="000000" w:fill="FFFFFF"/>
            <w:noWrap/>
            <w:vAlign w:val="center"/>
            <w:hideMark/>
          </w:tcPr>
          <w:p w14:paraId="7644DD9E"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w:t>
            </w:r>
          </w:p>
        </w:tc>
        <w:tc>
          <w:tcPr>
            <w:tcW w:w="1040" w:type="dxa"/>
            <w:tcBorders>
              <w:top w:val="nil"/>
              <w:left w:val="nil"/>
              <w:bottom w:val="single" w:sz="4" w:space="0" w:color="auto"/>
              <w:right w:val="single" w:sz="4" w:space="0" w:color="auto"/>
            </w:tcBorders>
            <w:shd w:val="clear" w:color="000000" w:fill="FFFFFF"/>
            <w:noWrap/>
            <w:vAlign w:val="center"/>
            <w:hideMark/>
          </w:tcPr>
          <w:p w14:paraId="4AF6FA0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w:t>
            </w:r>
          </w:p>
        </w:tc>
      </w:tr>
      <w:tr w:rsidR="00D54977" w:rsidRPr="00D54977" w14:paraId="4E6621BD" w14:textId="77777777" w:rsidTr="00D54977">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5BC4A1"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673</w:t>
            </w:r>
          </w:p>
        </w:tc>
        <w:tc>
          <w:tcPr>
            <w:tcW w:w="3508" w:type="dxa"/>
            <w:tcBorders>
              <w:top w:val="single" w:sz="4" w:space="0" w:color="auto"/>
              <w:left w:val="nil"/>
              <w:bottom w:val="single" w:sz="4" w:space="0" w:color="auto"/>
              <w:right w:val="single" w:sz="4" w:space="0" w:color="auto"/>
            </w:tcBorders>
            <w:shd w:val="clear" w:color="000000" w:fill="FFFFFF"/>
            <w:noWrap/>
            <w:vAlign w:val="center"/>
            <w:hideMark/>
          </w:tcPr>
          <w:p w14:paraId="3C932FD4" w14:textId="77777777" w:rsidR="00D54977" w:rsidRPr="00D54977" w:rsidRDefault="00D54977" w:rsidP="00D54977">
            <w:pPr>
              <w:spacing w:line="240" w:lineRule="auto"/>
              <w:rPr>
                <w:rFonts w:eastAsia="Times New Roman" w:cs="Calibri"/>
                <w:b/>
                <w:bCs/>
                <w:color w:val="000000"/>
                <w:sz w:val="20"/>
                <w:szCs w:val="20"/>
                <w:lang w:eastAsia="en-GB"/>
              </w:rPr>
            </w:pPr>
            <w:r w:rsidRPr="00D54977">
              <w:rPr>
                <w:rFonts w:eastAsia="Times New Roman" w:cs="Calibri"/>
                <w:b/>
                <w:bCs/>
                <w:color w:val="000000"/>
                <w:sz w:val="20"/>
                <w:szCs w:val="20"/>
                <w:lang w:eastAsia="en-GB"/>
              </w:rPr>
              <w:t>OTHER (Budgets managed by the OPFCC)</w:t>
            </w:r>
          </w:p>
        </w:tc>
        <w:tc>
          <w:tcPr>
            <w:tcW w:w="1040" w:type="dxa"/>
            <w:tcBorders>
              <w:top w:val="nil"/>
              <w:left w:val="nil"/>
              <w:bottom w:val="single" w:sz="4" w:space="0" w:color="auto"/>
              <w:right w:val="single" w:sz="4" w:space="0" w:color="auto"/>
            </w:tcBorders>
            <w:shd w:val="clear" w:color="000000" w:fill="FFFFFF"/>
            <w:noWrap/>
            <w:vAlign w:val="center"/>
            <w:hideMark/>
          </w:tcPr>
          <w:p w14:paraId="759E9B99"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346</w:t>
            </w:r>
          </w:p>
        </w:tc>
        <w:tc>
          <w:tcPr>
            <w:tcW w:w="1040" w:type="dxa"/>
            <w:tcBorders>
              <w:top w:val="nil"/>
              <w:left w:val="nil"/>
              <w:bottom w:val="single" w:sz="4" w:space="0" w:color="auto"/>
              <w:right w:val="single" w:sz="4" w:space="0" w:color="auto"/>
            </w:tcBorders>
            <w:shd w:val="clear" w:color="000000" w:fill="FFFFFF"/>
            <w:noWrap/>
            <w:vAlign w:val="center"/>
            <w:hideMark/>
          </w:tcPr>
          <w:p w14:paraId="60C436A3"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1,036</w:t>
            </w:r>
          </w:p>
        </w:tc>
        <w:tc>
          <w:tcPr>
            <w:tcW w:w="1040" w:type="dxa"/>
            <w:tcBorders>
              <w:top w:val="nil"/>
              <w:left w:val="nil"/>
              <w:bottom w:val="single" w:sz="4" w:space="0" w:color="auto"/>
              <w:right w:val="single" w:sz="4" w:space="0" w:color="auto"/>
            </w:tcBorders>
            <w:shd w:val="clear" w:color="000000" w:fill="FFFFFF"/>
            <w:noWrap/>
            <w:vAlign w:val="center"/>
            <w:hideMark/>
          </w:tcPr>
          <w:p w14:paraId="6271075F"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1,643</w:t>
            </w:r>
          </w:p>
        </w:tc>
        <w:tc>
          <w:tcPr>
            <w:tcW w:w="1040" w:type="dxa"/>
            <w:tcBorders>
              <w:top w:val="nil"/>
              <w:left w:val="nil"/>
              <w:bottom w:val="single" w:sz="4" w:space="0" w:color="auto"/>
              <w:right w:val="single" w:sz="4" w:space="0" w:color="auto"/>
            </w:tcBorders>
            <w:shd w:val="clear" w:color="000000" w:fill="FFFFFF"/>
            <w:noWrap/>
            <w:vAlign w:val="center"/>
            <w:hideMark/>
          </w:tcPr>
          <w:p w14:paraId="2534A087"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2,262</w:t>
            </w:r>
          </w:p>
        </w:tc>
        <w:tc>
          <w:tcPr>
            <w:tcW w:w="1040" w:type="dxa"/>
            <w:tcBorders>
              <w:top w:val="nil"/>
              <w:left w:val="nil"/>
              <w:bottom w:val="single" w:sz="4" w:space="0" w:color="auto"/>
              <w:right w:val="single" w:sz="4" w:space="0" w:color="auto"/>
            </w:tcBorders>
            <w:shd w:val="clear" w:color="000000" w:fill="FFFFFF"/>
            <w:noWrap/>
            <w:vAlign w:val="center"/>
            <w:hideMark/>
          </w:tcPr>
          <w:p w14:paraId="6EFF2CCA"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2,508</w:t>
            </w:r>
          </w:p>
        </w:tc>
      </w:tr>
      <w:tr w:rsidR="00D54977" w:rsidRPr="00D54977" w14:paraId="1EBC6D88" w14:textId="77777777" w:rsidTr="00D54977">
        <w:trPr>
          <w:trHeight w:val="300"/>
        </w:trPr>
        <w:tc>
          <w:tcPr>
            <w:tcW w:w="1056" w:type="dxa"/>
            <w:tcBorders>
              <w:top w:val="nil"/>
              <w:left w:val="nil"/>
              <w:bottom w:val="nil"/>
              <w:right w:val="nil"/>
            </w:tcBorders>
            <w:shd w:val="clear" w:color="000000" w:fill="FFFFFF"/>
            <w:noWrap/>
            <w:vAlign w:val="center"/>
            <w:hideMark/>
          </w:tcPr>
          <w:p w14:paraId="3F294047"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center"/>
            <w:hideMark/>
          </w:tcPr>
          <w:p w14:paraId="2C93BDDC"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3AE76123"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598648BD"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0FA17060"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3F60D410"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00B444B4"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r>
      <w:tr w:rsidR="00D54977" w:rsidRPr="00D54977" w14:paraId="017ECA22" w14:textId="77777777" w:rsidTr="00D54977">
        <w:trPr>
          <w:trHeight w:val="300"/>
        </w:trPr>
        <w:tc>
          <w:tcPr>
            <w:tcW w:w="1056" w:type="dxa"/>
            <w:tcBorders>
              <w:top w:val="single" w:sz="4" w:space="0" w:color="auto"/>
              <w:left w:val="single" w:sz="4" w:space="0" w:color="auto"/>
              <w:bottom w:val="nil"/>
              <w:right w:val="single" w:sz="4" w:space="0" w:color="auto"/>
            </w:tcBorders>
            <w:shd w:val="clear" w:color="000000" w:fill="FFFFFF"/>
            <w:noWrap/>
            <w:vAlign w:val="center"/>
            <w:hideMark/>
          </w:tcPr>
          <w:p w14:paraId="3DC2C077"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126</w:t>
            </w:r>
          </w:p>
        </w:tc>
        <w:tc>
          <w:tcPr>
            <w:tcW w:w="3508" w:type="dxa"/>
            <w:tcBorders>
              <w:top w:val="single" w:sz="4" w:space="0" w:color="auto"/>
              <w:left w:val="nil"/>
              <w:bottom w:val="nil"/>
              <w:right w:val="single" w:sz="4" w:space="0" w:color="auto"/>
            </w:tcBorders>
            <w:shd w:val="clear" w:color="000000" w:fill="FFFFFF"/>
            <w:noWrap/>
            <w:vAlign w:val="center"/>
            <w:hideMark/>
          </w:tcPr>
          <w:p w14:paraId="735E7433"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New Investment Proposals</w:t>
            </w:r>
          </w:p>
        </w:tc>
        <w:tc>
          <w:tcPr>
            <w:tcW w:w="1040" w:type="dxa"/>
            <w:tcBorders>
              <w:top w:val="single" w:sz="4" w:space="0" w:color="auto"/>
              <w:left w:val="nil"/>
              <w:bottom w:val="nil"/>
              <w:right w:val="single" w:sz="4" w:space="0" w:color="auto"/>
            </w:tcBorders>
            <w:shd w:val="clear" w:color="000000" w:fill="FFFFFF"/>
            <w:noWrap/>
            <w:vAlign w:val="center"/>
            <w:hideMark/>
          </w:tcPr>
          <w:p w14:paraId="099CBE51"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250</w:t>
            </w:r>
          </w:p>
        </w:tc>
        <w:tc>
          <w:tcPr>
            <w:tcW w:w="1040" w:type="dxa"/>
            <w:tcBorders>
              <w:top w:val="single" w:sz="4" w:space="0" w:color="auto"/>
              <w:left w:val="nil"/>
              <w:bottom w:val="nil"/>
              <w:right w:val="single" w:sz="4" w:space="0" w:color="auto"/>
            </w:tcBorders>
            <w:shd w:val="clear" w:color="000000" w:fill="FFFFFF"/>
            <w:noWrap/>
            <w:vAlign w:val="center"/>
            <w:hideMark/>
          </w:tcPr>
          <w:p w14:paraId="5D3DF19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500</w:t>
            </w:r>
          </w:p>
        </w:tc>
        <w:tc>
          <w:tcPr>
            <w:tcW w:w="1040" w:type="dxa"/>
            <w:tcBorders>
              <w:top w:val="single" w:sz="4" w:space="0" w:color="auto"/>
              <w:left w:val="nil"/>
              <w:bottom w:val="nil"/>
              <w:right w:val="single" w:sz="4" w:space="0" w:color="auto"/>
            </w:tcBorders>
            <w:shd w:val="clear" w:color="000000" w:fill="FFFFFF"/>
            <w:noWrap/>
            <w:vAlign w:val="center"/>
            <w:hideMark/>
          </w:tcPr>
          <w:p w14:paraId="2C69B7E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500</w:t>
            </w:r>
          </w:p>
        </w:tc>
        <w:tc>
          <w:tcPr>
            <w:tcW w:w="1040" w:type="dxa"/>
            <w:tcBorders>
              <w:top w:val="single" w:sz="4" w:space="0" w:color="auto"/>
              <w:left w:val="nil"/>
              <w:bottom w:val="nil"/>
              <w:right w:val="single" w:sz="4" w:space="0" w:color="auto"/>
            </w:tcBorders>
            <w:shd w:val="clear" w:color="000000" w:fill="FFFFFF"/>
            <w:noWrap/>
            <w:vAlign w:val="center"/>
            <w:hideMark/>
          </w:tcPr>
          <w:p w14:paraId="6EC0B311"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500</w:t>
            </w:r>
          </w:p>
        </w:tc>
        <w:tc>
          <w:tcPr>
            <w:tcW w:w="1040" w:type="dxa"/>
            <w:tcBorders>
              <w:top w:val="single" w:sz="4" w:space="0" w:color="auto"/>
              <w:left w:val="nil"/>
              <w:bottom w:val="nil"/>
              <w:right w:val="single" w:sz="4" w:space="0" w:color="auto"/>
            </w:tcBorders>
            <w:shd w:val="clear" w:color="000000" w:fill="FFFFFF"/>
            <w:noWrap/>
            <w:vAlign w:val="center"/>
            <w:hideMark/>
          </w:tcPr>
          <w:p w14:paraId="71A27C1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500</w:t>
            </w:r>
          </w:p>
        </w:tc>
      </w:tr>
      <w:tr w:rsidR="00D54977" w:rsidRPr="00D54977" w14:paraId="717B67B3"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781D3D1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(1,484)</w:t>
            </w:r>
          </w:p>
        </w:tc>
        <w:tc>
          <w:tcPr>
            <w:tcW w:w="3508" w:type="dxa"/>
            <w:tcBorders>
              <w:top w:val="nil"/>
              <w:left w:val="nil"/>
              <w:bottom w:val="nil"/>
              <w:right w:val="single" w:sz="4" w:space="0" w:color="auto"/>
            </w:tcBorders>
            <w:shd w:val="clear" w:color="000000" w:fill="FFFFFF"/>
            <w:noWrap/>
            <w:vAlign w:val="center"/>
            <w:hideMark/>
          </w:tcPr>
          <w:p w14:paraId="14BE554F"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Savings Plans</w:t>
            </w:r>
          </w:p>
        </w:tc>
        <w:tc>
          <w:tcPr>
            <w:tcW w:w="1040" w:type="dxa"/>
            <w:tcBorders>
              <w:top w:val="nil"/>
              <w:left w:val="nil"/>
              <w:bottom w:val="single" w:sz="4" w:space="0" w:color="auto"/>
              <w:right w:val="single" w:sz="4" w:space="0" w:color="auto"/>
            </w:tcBorders>
            <w:shd w:val="clear" w:color="000000" w:fill="FFFFFF"/>
            <w:noWrap/>
            <w:vAlign w:val="center"/>
            <w:hideMark/>
          </w:tcPr>
          <w:p w14:paraId="64DB798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(1,688)</w:t>
            </w:r>
          </w:p>
        </w:tc>
        <w:tc>
          <w:tcPr>
            <w:tcW w:w="1040" w:type="dxa"/>
            <w:tcBorders>
              <w:top w:val="nil"/>
              <w:left w:val="nil"/>
              <w:bottom w:val="single" w:sz="4" w:space="0" w:color="auto"/>
              <w:right w:val="single" w:sz="4" w:space="0" w:color="auto"/>
            </w:tcBorders>
            <w:shd w:val="clear" w:color="000000" w:fill="FFFFFF"/>
            <w:noWrap/>
            <w:vAlign w:val="center"/>
            <w:hideMark/>
          </w:tcPr>
          <w:p w14:paraId="52D35630"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(1,078)</w:t>
            </w:r>
          </w:p>
        </w:tc>
        <w:tc>
          <w:tcPr>
            <w:tcW w:w="1040" w:type="dxa"/>
            <w:tcBorders>
              <w:top w:val="nil"/>
              <w:left w:val="nil"/>
              <w:bottom w:val="single" w:sz="4" w:space="0" w:color="auto"/>
              <w:right w:val="single" w:sz="4" w:space="0" w:color="auto"/>
            </w:tcBorders>
            <w:shd w:val="clear" w:color="000000" w:fill="FFFFFF"/>
            <w:noWrap/>
            <w:vAlign w:val="center"/>
            <w:hideMark/>
          </w:tcPr>
          <w:p w14:paraId="109E5737"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(1,472)</w:t>
            </w:r>
          </w:p>
        </w:tc>
        <w:tc>
          <w:tcPr>
            <w:tcW w:w="1040" w:type="dxa"/>
            <w:tcBorders>
              <w:top w:val="nil"/>
              <w:left w:val="nil"/>
              <w:bottom w:val="single" w:sz="4" w:space="0" w:color="auto"/>
              <w:right w:val="single" w:sz="4" w:space="0" w:color="auto"/>
            </w:tcBorders>
            <w:shd w:val="clear" w:color="000000" w:fill="FFFFFF"/>
            <w:noWrap/>
            <w:vAlign w:val="center"/>
            <w:hideMark/>
          </w:tcPr>
          <w:p w14:paraId="2584A26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(1,840)</w:t>
            </w:r>
          </w:p>
        </w:tc>
        <w:tc>
          <w:tcPr>
            <w:tcW w:w="1040" w:type="dxa"/>
            <w:tcBorders>
              <w:top w:val="nil"/>
              <w:left w:val="nil"/>
              <w:bottom w:val="single" w:sz="4" w:space="0" w:color="auto"/>
              <w:right w:val="single" w:sz="4" w:space="0" w:color="auto"/>
            </w:tcBorders>
            <w:shd w:val="clear" w:color="000000" w:fill="FFFFFF"/>
            <w:noWrap/>
            <w:vAlign w:val="center"/>
            <w:hideMark/>
          </w:tcPr>
          <w:p w14:paraId="6C577048"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(2,216)</w:t>
            </w:r>
          </w:p>
        </w:tc>
      </w:tr>
      <w:tr w:rsidR="00D54977" w:rsidRPr="00D54977" w14:paraId="16069D5E" w14:textId="77777777" w:rsidTr="00D54977">
        <w:trPr>
          <w:trHeight w:val="300"/>
        </w:trPr>
        <w:tc>
          <w:tcPr>
            <w:tcW w:w="1056" w:type="dxa"/>
            <w:tcBorders>
              <w:top w:val="single" w:sz="4" w:space="0" w:color="auto"/>
              <w:left w:val="nil"/>
              <w:bottom w:val="single" w:sz="4" w:space="0" w:color="auto"/>
              <w:right w:val="nil"/>
            </w:tcBorders>
            <w:shd w:val="clear" w:color="000000" w:fill="FFFFFF"/>
            <w:noWrap/>
            <w:vAlign w:val="center"/>
            <w:hideMark/>
          </w:tcPr>
          <w:p w14:paraId="26462D73"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single" w:sz="4" w:space="0" w:color="auto"/>
              <w:left w:val="nil"/>
              <w:bottom w:val="single" w:sz="4" w:space="0" w:color="auto"/>
              <w:right w:val="nil"/>
            </w:tcBorders>
            <w:shd w:val="clear" w:color="000000" w:fill="FFFFFF"/>
            <w:noWrap/>
            <w:vAlign w:val="center"/>
            <w:hideMark/>
          </w:tcPr>
          <w:p w14:paraId="6D4A4C26"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single" w:sz="4" w:space="0" w:color="auto"/>
              <w:left w:val="nil"/>
              <w:bottom w:val="single" w:sz="4" w:space="0" w:color="auto"/>
              <w:right w:val="nil"/>
            </w:tcBorders>
            <w:shd w:val="clear" w:color="000000" w:fill="FFFFFF"/>
            <w:noWrap/>
            <w:vAlign w:val="center"/>
            <w:hideMark/>
          </w:tcPr>
          <w:p w14:paraId="5658308F"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single" w:sz="4" w:space="0" w:color="auto"/>
              <w:left w:val="nil"/>
              <w:bottom w:val="single" w:sz="4" w:space="0" w:color="auto"/>
              <w:right w:val="nil"/>
            </w:tcBorders>
            <w:shd w:val="clear" w:color="000000" w:fill="FFFFFF"/>
            <w:noWrap/>
            <w:vAlign w:val="center"/>
            <w:hideMark/>
          </w:tcPr>
          <w:p w14:paraId="104BC760"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single" w:sz="4" w:space="0" w:color="auto"/>
              <w:left w:val="nil"/>
              <w:bottom w:val="single" w:sz="4" w:space="0" w:color="auto"/>
              <w:right w:val="nil"/>
            </w:tcBorders>
            <w:shd w:val="clear" w:color="000000" w:fill="FFFFFF"/>
            <w:noWrap/>
            <w:vAlign w:val="center"/>
            <w:hideMark/>
          </w:tcPr>
          <w:p w14:paraId="462C7728"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single" w:sz="4" w:space="0" w:color="auto"/>
              <w:left w:val="nil"/>
              <w:bottom w:val="single" w:sz="4" w:space="0" w:color="auto"/>
              <w:right w:val="nil"/>
            </w:tcBorders>
            <w:shd w:val="clear" w:color="000000" w:fill="FFFFFF"/>
            <w:noWrap/>
            <w:vAlign w:val="center"/>
            <w:hideMark/>
          </w:tcPr>
          <w:p w14:paraId="32E405BC"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single" w:sz="4" w:space="0" w:color="auto"/>
              <w:left w:val="nil"/>
              <w:bottom w:val="single" w:sz="4" w:space="0" w:color="auto"/>
              <w:right w:val="nil"/>
            </w:tcBorders>
            <w:shd w:val="clear" w:color="000000" w:fill="FFFFFF"/>
            <w:noWrap/>
            <w:vAlign w:val="center"/>
            <w:hideMark/>
          </w:tcPr>
          <w:p w14:paraId="70BCCCB8"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r>
      <w:tr w:rsidR="00D54977" w:rsidRPr="00D54977" w14:paraId="108E8F5A" w14:textId="77777777" w:rsidTr="00D54977">
        <w:trPr>
          <w:trHeight w:val="315"/>
        </w:trPr>
        <w:tc>
          <w:tcPr>
            <w:tcW w:w="1056" w:type="dxa"/>
            <w:tcBorders>
              <w:top w:val="nil"/>
              <w:left w:val="single" w:sz="4" w:space="0" w:color="auto"/>
              <w:bottom w:val="single" w:sz="8" w:space="0" w:color="auto"/>
              <w:right w:val="single" w:sz="4" w:space="0" w:color="auto"/>
            </w:tcBorders>
            <w:shd w:val="clear" w:color="000000" w:fill="FFFFFF"/>
            <w:noWrap/>
            <w:vAlign w:val="center"/>
            <w:hideMark/>
          </w:tcPr>
          <w:p w14:paraId="16CFCFA1"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31,454</w:t>
            </w:r>
          </w:p>
        </w:tc>
        <w:tc>
          <w:tcPr>
            <w:tcW w:w="3508" w:type="dxa"/>
            <w:tcBorders>
              <w:top w:val="nil"/>
              <w:left w:val="nil"/>
              <w:bottom w:val="single" w:sz="8" w:space="0" w:color="auto"/>
              <w:right w:val="single" w:sz="4" w:space="0" w:color="auto"/>
            </w:tcBorders>
            <w:shd w:val="clear" w:color="000000" w:fill="FFFFFF"/>
            <w:noWrap/>
            <w:vAlign w:val="center"/>
            <w:hideMark/>
          </w:tcPr>
          <w:p w14:paraId="3D5D1AF8" w14:textId="77777777" w:rsidR="00D54977" w:rsidRPr="00D54977" w:rsidRDefault="00D54977" w:rsidP="00D54977">
            <w:pPr>
              <w:spacing w:line="240" w:lineRule="auto"/>
              <w:rPr>
                <w:rFonts w:eastAsia="Times New Roman" w:cs="Calibri"/>
                <w:b/>
                <w:bCs/>
                <w:color w:val="000000"/>
                <w:sz w:val="20"/>
                <w:szCs w:val="20"/>
                <w:lang w:eastAsia="en-GB"/>
              </w:rPr>
            </w:pPr>
            <w:r w:rsidRPr="00D54977">
              <w:rPr>
                <w:rFonts w:eastAsia="Times New Roman" w:cs="Calibri"/>
                <w:b/>
                <w:bCs/>
                <w:color w:val="000000"/>
                <w:sz w:val="20"/>
                <w:szCs w:val="20"/>
                <w:lang w:eastAsia="en-GB"/>
              </w:rPr>
              <w:t>TOTAL</w:t>
            </w:r>
          </w:p>
        </w:tc>
        <w:tc>
          <w:tcPr>
            <w:tcW w:w="1040" w:type="dxa"/>
            <w:tcBorders>
              <w:top w:val="nil"/>
              <w:left w:val="nil"/>
              <w:bottom w:val="single" w:sz="8" w:space="0" w:color="auto"/>
              <w:right w:val="single" w:sz="4" w:space="0" w:color="auto"/>
            </w:tcBorders>
            <w:shd w:val="clear" w:color="000000" w:fill="FFFFFF"/>
            <w:noWrap/>
            <w:vAlign w:val="center"/>
            <w:hideMark/>
          </w:tcPr>
          <w:p w14:paraId="37E080E0"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33,723</w:t>
            </w:r>
          </w:p>
        </w:tc>
        <w:tc>
          <w:tcPr>
            <w:tcW w:w="1040" w:type="dxa"/>
            <w:tcBorders>
              <w:top w:val="nil"/>
              <w:left w:val="nil"/>
              <w:bottom w:val="single" w:sz="8" w:space="0" w:color="auto"/>
              <w:right w:val="single" w:sz="4" w:space="0" w:color="auto"/>
            </w:tcBorders>
            <w:shd w:val="clear" w:color="000000" w:fill="FFFFFF"/>
            <w:noWrap/>
            <w:vAlign w:val="center"/>
            <w:hideMark/>
          </w:tcPr>
          <w:p w14:paraId="3ABCD09D"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36,246</w:t>
            </w:r>
          </w:p>
        </w:tc>
        <w:tc>
          <w:tcPr>
            <w:tcW w:w="1040" w:type="dxa"/>
            <w:tcBorders>
              <w:top w:val="nil"/>
              <w:left w:val="nil"/>
              <w:bottom w:val="single" w:sz="8" w:space="0" w:color="auto"/>
              <w:right w:val="single" w:sz="4" w:space="0" w:color="auto"/>
            </w:tcBorders>
            <w:shd w:val="clear" w:color="000000" w:fill="FFFFFF"/>
            <w:noWrap/>
            <w:vAlign w:val="center"/>
            <w:hideMark/>
          </w:tcPr>
          <w:p w14:paraId="789BFC8F"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38,063</w:t>
            </w:r>
          </w:p>
        </w:tc>
        <w:tc>
          <w:tcPr>
            <w:tcW w:w="1040" w:type="dxa"/>
            <w:tcBorders>
              <w:top w:val="nil"/>
              <w:left w:val="nil"/>
              <w:bottom w:val="single" w:sz="8" w:space="0" w:color="auto"/>
              <w:right w:val="single" w:sz="4" w:space="0" w:color="auto"/>
            </w:tcBorders>
            <w:shd w:val="clear" w:color="000000" w:fill="FFFFFF"/>
            <w:noWrap/>
            <w:vAlign w:val="center"/>
            <w:hideMark/>
          </w:tcPr>
          <w:p w14:paraId="1334FEE0"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39,288</w:t>
            </w:r>
          </w:p>
        </w:tc>
        <w:tc>
          <w:tcPr>
            <w:tcW w:w="1040" w:type="dxa"/>
            <w:tcBorders>
              <w:top w:val="nil"/>
              <w:left w:val="nil"/>
              <w:bottom w:val="single" w:sz="8" w:space="0" w:color="auto"/>
              <w:right w:val="single" w:sz="4" w:space="0" w:color="auto"/>
            </w:tcBorders>
            <w:shd w:val="clear" w:color="000000" w:fill="FFFFFF"/>
            <w:noWrap/>
            <w:vAlign w:val="center"/>
            <w:hideMark/>
          </w:tcPr>
          <w:p w14:paraId="732293D7"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39,599</w:t>
            </w:r>
          </w:p>
        </w:tc>
      </w:tr>
      <w:tr w:rsidR="00D54977" w:rsidRPr="00D54977" w14:paraId="75E53C50" w14:textId="77777777" w:rsidTr="00D54977">
        <w:trPr>
          <w:trHeight w:val="255"/>
        </w:trPr>
        <w:tc>
          <w:tcPr>
            <w:tcW w:w="1056" w:type="dxa"/>
            <w:tcBorders>
              <w:top w:val="nil"/>
              <w:left w:val="nil"/>
              <w:bottom w:val="nil"/>
              <w:right w:val="nil"/>
            </w:tcBorders>
            <w:shd w:val="clear" w:color="000000" w:fill="FFFFFF"/>
            <w:noWrap/>
            <w:vAlign w:val="center"/>
            <w:hideMark/>
          </w:tcPr>
          <w:p w14:paraId="481E2711" w14:textId="77777777" w:rsidR="00D54977" w:rsidRPr="00D54977" w:rsidRDefault="00D54977" w:rsidP="00D54977">
            <w:pPr>
              <w:spacing w:line="240" w:lineRule="auto"/>
              <w:rPr>
                <w:rFonts w:eastAsia="Times New Roman" w:cs="Calibri"/>
                <w:b/>
                <w:bCs/>
                <w:color w:val="FF0000"/>
                <w:sz w:val="20"/>
                <w:szCs w:val="20"/>
                <w:lang w:eastAsia="en-GB"/>
              </w:rPr>
            </w:pPr>
            <w:r w:rsidRPr="00D54977">
              <w:rPr>
                <w:rFonts w:eastAsia="Times New Roman" w:cs="Calibri"/>
                <w:b/>
                <w:bCs/>
                <w:color w:val="FF0000"/>
                <w:sz w:val="20"/>
                <w:szCs w:val="20"/>
                <w:lang w:eastAsia="en-GB"/>
              </w:rPr>
              <w:t> </w:t>
            </w:r>
          </w:p>
        </w:tc>
        <w:tc>
          <w:tcPr>
            <w:tcW w:w="3508" w:type="dxa"/>
            <w:tcBorders>
              <w:top w:val="nil"/>
              <w:left w:val="nil"/>
              <w:bottom w:val="nil"/>
              <w:right w:val="nil"/>
            </w:tcBorders>
            <w:shd w:val="clear" w:color="000000" w:fill="FFFFFF"/>
            <w:noWrap/>
            <w:vAlign w:val="center"/>
            <w:hideMark/>
          </w:tcPr>
          <w:p w14:paraId="555EE360" w14:textId="77777777" w:rsidR="00D54977" w:rsidRDefault="00D54977" w:rsidP="00D54977">
            <w:pPr>
              <w:spacing w:line="240" w:lineRule="auto"/>
              <w:rPr>
                <w:rFonts w:eastAsia="Times New Roman" w:cs="Calibri"/>
                <w:b/>
                <w:bCs/>
                <w:color w:val="FF0000"/>
                <w:sz w:val="20"/>
                <w:szCs w:val="20"/>
                <w:lang w:eastAsia="en-GB"/>
              </w:rPr>
            </w:pPr>
            <w:r w:rsidRPr="00D54977">
              <w:rPr>
                <w:rFonts w:eastAsia="Times New Roman" w:cs="Calibri"/>
                <w:b/>
                <w:bCs/>
                <w:color w:val="FF0000"/>
                <w:sz w:val="20"/>
                <w:szCs w:val="20"/>
                <w:lang w:eastAsia="en-GB"/>
              </w:rPr>
              <w:t> </w:t>
            </w:r>
          </w:p>
          <w:p w14:paraId="7114E4C3" w14:textId="77777777" w:rsidR="00D54977" w:rsidRDefault="00D54977" w:rsidP="00D54977">
            <w:pPr>
              <w:spacing w:line="240" w:lineRule="auto"/>
              <w:rPr>
                <w:rFonts w:eastAsia="Times New Roman" w:cs="Calibri"/>
                <w:b/>
                <w:bCs/>
                <w:color w:val="FF0000"/>
                <w:sz w:val="20"/>
                <w:szCs w:val="20"/>
                <w:lang w:eastAsia="en-GB"/>
              </w:rPr>
            </w:pPr>
          </w:p>
          <w:p w14:paraId="0DAAA6C9" w14:textId="77777777" w:rsidR="00D54977" w:rsidRDefault="00D54977" w:rsidP="00D54977">
            <w:pPr>
              <w:spacing w:line="240" w:lineRule="auto"/>
              <w:rPr>
                <w:rFonts w:eastAsia="Times New Roman" w:cs="Calibri"/>
                <w:b/>
                <w:bCs/>
                <w:color w:val="FF0000"/>
                <w:sz w:val="20"/>
                <w:szCs w:val="20"/>
                <w:lang w:eastAsia="en-GB"/>
              </w:rPr>
            </w:pPr>
          </w:p>
          <w:p w14:paraId="68728224" w14:textId="77777777" w:rsidR="00D54977" w:rsidRDefault="00D54977" w:rsidP="00D54977">
            <w:pPr>
              <w:spacing w:line="240" w:lineRule="auto"/>
              <w:rPr>
                <w:rFonts w:eastAsia="Times New Roman" w:cs="Calibri"/>
                <w:b/>
                <w:bCs/>
                <w:color w:val="FF0000"/>
                <w:sz w:val="20"/>
                <w:szCs w:val="20"/>
                <w:lang w:eastAsia="en-GB"/>
              </w:rPr>
            </w:pPr>
          </w:p>
          <w:p w14:paraId="31CC6B30" w14:textId="77777777" w:rsidR="00D54977" w:rsidRDefault="00D54977" w:rsidP="00D54977">
            <w:pPr>
              <w:spacing w:line="240" w:lineRule="auto"/>
              <w:rPr>
                <w:rFonts w:eastAsia="Times New Roman" w:cs="Calibri"/>
                <w:b/>
                <w:bCs/>
                <w:color w:val="FF0000"/>
                <w:sz w:val="20"/>
                <w:szCs w:val="20"/>
                <w:lang w:eastAsia="en-GB"/>
              </w:rPr>
            </w:pPr>
          </w:p>
          <w:p w14:paraId="438C2275" w14:textId="77777777" w:rsidR="00D54977" w:rsidRDefault="00D54977" w:rsidP="00D54977">
            <w:pPr>
              <w:spacing w:line="240" w:lineRule="auto"/>
              <w:rPr>
                <w:rFonts w:eastAsia="Times New Roman" w:cs="Calibri"/>
                <w:b/>
                <w:bCs/>
                <w:color w:val="FF0000"/>
                <w:sz w:val="20"/>
                <w:szCs w:val="20"/>
                <w:lang w:eastAsia="en-GB"/>
              </w:rPr>
            </w:pPr>
          </w:p>
          <w:p w14:paraId="547FA5C0" w14:textId="77777777" w:rsidR="00D54977" w:rsidRDefault="00D54977" w:rsidP="00D54977">
            <w:pPr>
              <w:spacing w:line="240" w:lineRule="auto"/>
              <w:rPr>
                <w:rFonts w:eastAsia="Times New Roman" w:cs="Calibri"/>
                <w:b/>
                <w:bCs/>
                <w:color w:val="FF0000"/>
                <w:sz w:val="20"/>
                <w:szCs w:val="20"/>
                <w:lang w:eastAsia="en-GB"/>
              </w:rPr>
            </w:pPr>
          </w:p>
          <w:p w14:paraId="5969A58F" w14:textId="77777777" w:rsidR="00D54977" w:rsidRDefault="00D54977" w:rsidP="00D54977">
            <w:pPr>
              <w:spacing w:line="240" w:lineRule="auto"/>
              <w:rPr>
                <w:rFonts w:eastAsia="Times New Roman" w:cs="Calibri"/>
                <w:b/>
                <w:bCs/>
                <w:color w:val="FF0000"/>
                <w:sz w:val="20"/>
                <w:szCs w:val="20"/>
                <w:lang w:eastAsia="en-GB"/>
              </w:rPr>
            </w:pPr>
          </w:p>
          <w:p w14:paraId="1F9FC21B" w14:textId="77777777" w:rsidR="00186442" w:rsidRDefault="00186442" w:rsidP="00D54977">
            <w:pPr>
              <w:spacing w:line="240" w:lineRule="auto"/>
              <w:rPr>
                <w:rFonts w:eastAsia="Times New Roman" w:cs="Calibri"/>
                <w:b/>
                <w:bCs/>
                <w:color w:val="FF0000"/>
                <w:sz w:val="20"/>
                <w:szCs w:val="20"/>
                <w:lang w:eastAsia="en-GB"/>
              </w:rPr>
            </w:pPr>
          </w:p>
          <w:p w14:paraId="5A7F33F8" w14:textId="77777777" w:rsidR="00D54977" w:rsidRDefault="00D54977" w:rsidP="00D54977">
            <w:pPr>
              <w:spacing w:line="240" w:lineRule="auto"/>
              <w:rPr>
                <w:rFonts w:eastAsia="Times New Roman" w:cs="Calibri"/>
                <w:b/>
                <w:bCs/>
                <w:color w:val="FF0000"/>
                <w:sz w:val="20"/>
                <w:szCs w:val="20"/>
                <w:lang w:eastAsia="en-GB"/>
              </w:rPr>
            </w:pPr>
          </w:p>
          <w:p w14:paraId="6CBB3FD7" w14:textId="77777777" w:rsidR="00D54977" w:rsidRDefault="00D54977" w:rsidP="00D54977">
            <w:pPr>
              <w:spacing w:line="240" w:lineRule="auto"/>
              <w:rPr>
                <w:rFonts w:eastAsia="Times New Roman" w:cs="Calibri"/>
                <w:b/>
                <w:bCs/>
                <w:color w:val="FF0000"/>
                <w:sz w:val="20"/>
                <w:szCs w:val="20"/>
                <w:lang w:eastAsia="en-GB"/>
              </w:rPr>
            </w:pPr>
          </w:p>
          <w:p w14:paraId="494FF1A4" w14:textId="77777777" w:rsidR="00D54977" w:rsidRDefault="00D54977" w:rsidP="00D54977">
            <w:pPr>
              <w:spacing w:line="240" w:lineRule="auto"/>
              <w:rPr>
                <w:rFonts w:eastAsia="Times New Roman" w:cs="Calibri"/>
                <w:b/>
                <w:bCs/>
                <w:color w:val="FF0000"/>
                <w:sz w:val="20"/>
                <w:szCs w:val="20"/>
                <w:lang w:eastAsia="en-GB"/>
              </w:rPr>
            </w:pPr>
          </w:p>
          <w:p w14:paraId="50F24891" w14:textId="77777777" w:rsidR="00812DDD" w:rsidRDefault="00812DDD" w:rsidP="00D54977">
            <w:pPr>
              <w:spacing w:line="240" w:lineRule="auto"/>
              <w:rPr>
                <w:rFonts w:eastAsia="Times New Roman" w:cs="Calibri"/>
                <w:b/>
                <w:bCs/>
                <w:color w:val="FF0000"/>
                <w:sz w:val="20"/>
                <w:szCs w:val="20"/>
                <w:lang w:eastAsia="en-GB"/>
              </w:rPr>
            </w:pPr>
          </w:p>
          <w:p w14:paraId="40412C26" w14:textId="77777777" w:rsidR="00812DDD" w:rsidRDefault="00812DDD" w:rsidP="00D54977">
            <w:pPr>
              <w:spacing w:line="240" w:lineRule="auto"/>
              <w:rPr>
                <w:rFonts w:eastAsia="Times New Roman" w:cs="Calibri"/>
                <w:b/>
                <w:bCs/>
                <w:color w:val="FF0000"/>
                <w:sz w:val="20"/>
                <w:szCs w:val="20"/>
                <w:lang w:eastAsia="en-GB"/>
              </w:rPr>
            </w:pPr>
          </w:p>
          <w:p w14:paraId="152EA1FF" w14:textId="77777777" w:rsidR="00812DDD" w:rsidRDefault="00812DDD" w:rsidP="00D54977">
            <w:pPr>
              <w:spacing w:line="240" w:lineRule="auto"/>
              <w:rPr>
                <w:rFonts w:eastAsia="Times New Roman" w:cs="Calibri"/>
                <w:b/>
                <w:bCs/>
                <w:color w:val="FF0000"/>
                <w:sz w:val="20"/>
                <w:szCs w:val="20"/>
                <w:lang w:eastAsia="en-GB"/>
              </w:rPr>
            </w:pPr>
          </w:p>
          <w:p w14:paraId="3B4F37FB" w14:textId="77777777" w:rsidR="00812DDD" w:rsidRDefault="00812DDD" w:rsidP="00D54977">
            <w:pPr>
              <w:spacing w:line="240" w:lineRule="auto"/>
              <w:rPr>
                <w:rFonts w:eastAsia="Times New Roman" w:cs="Calibri"/>
                <w:b/>
                <w:bCs/>
                <w:color w:val="FF0000"/>
                <w:sz w:val="20"/>
                <w:szCs w:val="20"/>
                <w:lang w:eastAsia="en-GB"/>
              </w:rPr>
            </w:pPr>
          </w:p>
          <w:p w14:paraId="0E30B4FF" w14:textId="77777777" w:rsidR="00812DDD" w:rsidRDefault="00812DDD" w:rsidP="00D54977">
            <w:pPr>
              <w:spacing w:line="240" w:lineRule="auto"/>
              <w:rPr>
                <w:rFonts w:eastAsia="Times New Roman" w:cs="Calibri"/>
                <w:b/>
                <w:bCs/>
                <w:color w:val="FF0000"/>
                <w:sz w:val="20"/>
                <w:szCs w:val="20"/>
                <w:lang w:eastAsia="en-GB"/>
              </w:rPr>
            </w:pPr>
          </w:p>
          <w:p w14:paraId="6C82EAC9" w14:textId="77777777" w:rsidR="00D54977" w:rsidRDefault="00D54977" w:rsidP="00D54977">
            <w:pPr>
              <w:spacing w:line="240" w:lineRule="auto"/>
              <w:rPr>
                <w:rFonts w:eastAsia="Times New Roman" w:cs="Calibri"/>
                <w:b/>
                <w:bCs/>
                <w:color w:val="FF0000"/>
                <w:sz w:val="20"/>
                <w:szCs w:val="20"/>
                <w:lang w:eastAsia="en-GB"/>
              </w:rPr>
            </w:pPr>
          </w:p>
          <w:p w14:paraId="4F9D7CC3" w14:textId="77777777" w:rsidR="00D54977" w:rsidRDefault="00D54977" w:rsidP="00D54977">
            <w:pPr>
              <w:spacing w:line="240" w:lineRule="auto"/>
              <w:rPr>
                <w:rFonts w:eastAsia="Times New Roman" w:cs="Calibri"/>
                <w:b/>
                <w:bCs/>
                <w:color w:val="FF0000"/>
                <w:sz w:val="20"/>
                <w:szCs w:val="20"/>
                <w:lang w:eastAsia="en-GB"/>
              </w:rPr>
            </w:pPr>
          </w:p>
          <w:p w14:paraId="0387484D" w14:textId="77777777" w:rsidR="00D54977" w:rsidRDefault="00D54977" w:rsidP="00D54977">
            <w:pPr>
              <w:spacing w:line="240" w:lineRule="auto"/>
              <w:rPr>
                <w:rFonts w:eastAsia="Times New Roman" w:cs="Calibri"/>
                <w:b/>
                <w:bCs/>
                <w:color w:val="FF0000"/>
                <w:sz w:val="20"/>
                <w:szCs w:val="20"/>
                <w:lang w:eastAsia="en-GB"/>
              </w:rPr>
            </w:pPr>
          </w:p>
          <w:p w14:paraId="47CD99EE" w14:textId="310BE624" w:rsidR="00D54977" w:rsidRPr="00D54977" w:rsidRDefault="00D54977" w:rsidP="00D54977">
            <w:pPr>
              <w:spacing w:line="240" w:lineRule="auto"/>
              <w:rPr>
                <w:rFonts w:eastAsia="Times New Roman" w:cs="Calibri"/>
                <w:b/>
                <w:bCs/>
                <w:color w:val="FF0000"/>
                <w:sz w:val="20"/>
                <w:szCs w:val="20"/>
                <w:lang w:eastAsia="en-GB"/>
              </w:rPr>
            </w:pPr>
          </w:p>
        </w:tc>
        <w:tc>
          <w:tcPr>
            <w:tcW w:w="1040" w:type="dxa"/>
            <w:tcBorders>
              <w:top w:val="nil"/>
              <w:left w:val="nil"/>
              <w:bottom w:val="nil"/>
              <w:right w:val="nil"/>
            </w:tcBorders>
            <w:shd w:val="clear" w:color="000000" w:fill="FFFFFF"/>
            <w:noWrap/>
            <w:vAlign w:val="center"/>
            <w:hideMark/>
          </w:tcPr>
          <w:p w14:paraId="359728BC" w14:textId="77777777" w:rsidR="00D54977" w:rsidRPr="00D54977" w:rsidRDefault="00D54977" w:rsidP="00D54977">
            <w:pPr>
              <w:spacing w:line="240" w:lineRule="auto"/>
              <w:rPr>
                <w:rFonts w:eastAsia="Times New Roman" w:cs="Calibri"/>
                <w:b/>
                <w:bCs/>
                <w:color w:val="FF0000"/>
                <w:sz w:val="20"/>
                <w:szCs w:val="20"/>
                <w:lang w:eastAsia="en-GB"/>
              </w:rPr>
            </w:pPr>
            <w:r w:rsidRPr="00D54977">
              <w:rPr>
                <w:rFonts w:eastAsia="Times New Roman" w:cs="Calibri"/>
                <w:b/>
                <w:bCs/>
                <w:color w:val="FF0000"/>
                <w:sz w:val="20"/>
                <w:szCs w:val="20"/>
                <w:lang w:eastAsia="en-GB"/>
              </w:rPr>
              <w:t> </w:t>
            </w:r>
          </w:p>
        </w:tc>
        <w:tc>
          <w:tcPr>
            <w:tcW w:w="1040" w:type="dxa"/>
            <w:tcBorders>
              <w:top w:val="nil"/>
              <w:left w:val="nil"/>
              <w:bottom w:val="nil"/>
              <w:right w:val="nil"/>
            </w:tcBorders>
            <w:shd w:val="clear" w:color="000000" w:fill="FFFFFF"/>
            <w:noWrap/>
            <w:vAlign w:val="center"/>
            <w:hideMark/>
          </w:tcPr>
          <w:p w14:paraId="03029602" w14:textId="77777777" w:rsidR="00D54977" w:rsidRPr="00D54977" w:rsidRDefault="00D54977" w:rsidP="00D54977">
            <w:pPr>
              <w:spacing w:line="240" w:lineRule="auto"/>
              <w:rPr>
                <w:rFonts w:eastAsia="Times New Roman" w:cs="Calibri"/>
                <w:b/>
                <w:bCs/>
                <w:color w:val="FF0000"/>
                <w:sz w:val="20"/>
                <w:szCs w:val="20"/>
                <w:lang w:eastAsia="en-GB"/>
              </w:rPr>
            </w:pPr>
            <w:r w:rsidRPr="00D54977">
              <w:rPr>
                <w:rFonts w:eastAsia="Times New Roman" w:cs="Calibri"/>
                <w:b/>
                <w:bCs/>
                <w:color w:val="FF0000"/>
                <w:sz w:val="20"/>
                <w:szCs w:val="20"/>
                <w:lang w:eastAsia="en-GB"/>
              </w:rPr>
              <w:t> </w:t>
            </w:r>
          </w:p>
        </w:tc>
        <w:tc>
          <w:tcPr>
            <w:tcW w:w="1040" w:type="dxa"/>
            <w:tcBorders>
              <w:top w:val="nil"/>
              <w:left w:val="nil"/>
              <w:bottom w:val="nil"/>
              <w:right w:val="nil"/>
            </w:tcBorders>
            <w:shd w:val="clear" w:color="000000" w:fill="FFFFFF"/>
            <w:noWrap/>
            <w:vAlign w:val="center"/>
            <w:hideMark/>
          </w:tcPr>
          <w:p w14:paraId="154178CF" w14:textId="77777777" w:rsidR="00D54977" w:rsidRPr="00D54977" w:rsidRDefault="00D54977" w:rsidP="00D54977">
            <w:pPr>
              <w:spacing w:line="240" w:lineRule="auto"/>
              <w:rPr>
                <w:rFonts w:eastAsia="Times New Roman" w:cs="Calibri"/>
                <w:b/>
                <w:bCs/>
                <w:color w:val="FF0000"/>
                <w:sz w:val="20"/>
                <w:szCs w:val="20"/>
                <w:lang w:eastAsia="en-GB"/>
              </w:rPr>
            </w:pPr>
            <w:r w:rsidRPr="00D54977">
              <w:rPr>
                <w:rFonts w:eastAsia="Times New Roman" w:cs="Calibri"/>
                <w:b/>
                <w:bCs/>
                <w:color w:val="FF0000"/>
                <w:sz w:val="20"/>
                <w:szCs w:val="20"/>
                <w:lang w:eastAsia="en-GB"/>
              </w:rPr>
              <w:t> </w:t>
            </w:r>
          </w:p>
        </w:tc>
        <w:tc>
          <w:tcPr>
            <w:tcW w:w="1040" w:type="dxa"/>
            <w:tcBorders>
              <w:top w:val="nil"/>
              <w:left w:val="nil"/>
              <w:bottom w:val="nil"/>
              <w:right w:val="nil"/>
            </w:tcBorders>
            <w:shd w:val="clear" w:color="000000" w:fill="FFFFFF"/>
            <w:noWrap/>
            <w:vAlign w:val="center"/>
            <w:hideMark/>
          </w:tcPr>
          <w:p w14:paraId="0BC46BE1" w14:textId="77777777" w:rsidR="00D54977" w:rsidRPr="00D54977" w:rsidRDefault="00D54977" w:rsidP="00D54977">
            <w:pPr>
              <w:spacing w:line="240" w:lineRule="auto"/>
              <w:rPr>
                <w:rFonts w:eastAsia="Times New Roman" w:cs="Calibri"/>
                <w:b/>
                <w:bCs/>
                <w:color w:val="FF0000"/>
                <w:sz w:val="20"/>
                <w:szCs w:val="20"/>
                <w:lang w:eastAsia="en-GB"/>
              </w:rPr>
            </w:pPr>
            <w:r w:rsidRPr="00D54977">
              <w:rPr>
                <w:rFonts w:eastAsia="Times New Roman" w:cs="Calibri"/>
                <w:b/>
                <w:bCs/>
                <w:color w:val="FF0000"/>
                <w:sz w:val="20"/>
                <w:szCs w:val="20"/>
                <w:lang w:eastAsia="en-GB"/>
              </w:rPr>
              <w:t> </w:t>
            </w:r>
          </w:p>
        </w:tc>
        <w:tc>
          <w:tcPr>
            <w:tcW w:w="1040" w:type="dxa"/>
            <w:tcBorders>
              <w:top w:val="nil"/>
              <w:left w:val="nil"/>
              <w:bottom w:val="nil"/>
              <w:right w:val="nil"/>
            </w:tcBorders>
            <w:shd w:val="clear" w:color="000000" w:fill="FFFFFF"/>
            <w:noWrap/>
            <w:vAlign w:val="center"/>
            <w:hideMark/>
          </w:tcPr>
          <w:p w14:paraId="096B5695" w14:textId="77777777" w:rsidR="00D54977" w:rsidRPr="00D54977" w:rsidRDefault="00D54977" w:rsidP="00D54977">
            <w:pPr>
              <w:spacing w:line="240" w:lineRule="auto"/>
              <w:rPr>
                <w:rFonts w:eastAsia="Times New Roman" w:cs="Calibri"/>
                <w:b/>
                <w:bCs/>
                <w:color w:val="FF0000"/>
                <w:sz w:val="20"/>
                <w:szCs w:val="20"/>
                <w:lang w:eastAsia="en-GB"/>
              </w:rPr>
            </w:pPr>
            <w:r w:rsidRPr="00D54977">
              <w:rPr>
                <w:rFonts w:eastAsia="Times New Roman" w:cs="Calibri"/>
                <w:b/>
                <w:bCs/>
                <w:color w:val="FF0000"/>
                <w:sz w:val="20"/>
                <w:szCs w:val="20"/>
                <w:lang w:eastAsia="en-GB"/>
              </w:rPr>
              <w:t> </w:t>
            </w:r>
          </w:p>
        </w:tc>
      </w:tr>
      <w:tr w:rsidR="00D54977" w:rsidRPr="00D54977" w14:paraId="6F69C730" w14:textId="77777777" w:rsidTr="00D54977">
        <w:trPr>
          <w:trHeight w:val="300"/>
        </w:trPr>
        <w:tc>
          <w:tcPr>
            <w:tcW w:w="1056" w:type="dxa"/>
            <w:tcBorders>
              <w:top w:val="nil"/>
              <w:left w:val="nil"/>
              <w:bottom w:val="nil"/>
              <w:right w:val="nil"/>
            </w:tcBorders>
            <w:shd w:val="clear" w:color="000000" w:fill="FFFFFF"/>
            <w:noWrap/>
            <w:vAlign w:val="center"/>
            <w:hideMark/>
          </w:tcPr>
          <w:p w14:paraId="7647AD04"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lastRenderedPageBreak/>
              <w:t> </w:t>
            </w:r>
          </w:p>
        </w:tc>
        <w:tc>
          <w:tcPr>
            <w:tcW w:w="3508" w:type="dxa"/>
            <w:tcBorders>
              <w:top w:val="nil"/>
              <w:left w:val="nil"/>
              <w:bottom w:val="nil"/>
              <w:right w:val="nil"/>
            </w:tcBorders>
            <w:shd w:val="clear" w:color="000000" w:fill="FFFFFF"/>
            <w:noWrap/>
            <w:vAlign w:val="center"/>
            <w:hideMark/>
          </w:tcPr>
          <w:p w14:paraId="36C55848" w14:textId="77777777" w:rsidR="00D54977" w:rsidRPr="00D54977" w:rsidRDefault="00D54977" w:rsidP="00D54977">
            <w:pPr>
              <w:spacing w:line="240" w:lineRule="auto"/>
              <w:rPr>
                <w:rFonts w:eastAsia="Times New Roman" w:cs="Calibri"/>
                <w:b/>
                <w:bCs/>
                <w:color w:val="000000"/>
                <w:sz w:val="20"/>
                <w:szCs w:val="20"/>
                <w:lang w:eastAsia="en-GB"/>
              </w:rPr>
            </w:pPr>
            <w:r w:rsidRPr="00D54977">
              <w:rPr>
                <w:rFonts w:eastAsia="Times New Roman" w:cs="Calibri"/>
                <w:b/>
                <w:bCs/>
                <w:color w:val="000000"/>
                <w:sz w:val="20"/>
                <w:szCs w:val="20"/>
                <w:lang w:eastAsia="en-GB"/>
              </w:rPr>
              <w:t>FUNDING</w:t>
            </w:r>
          </w:p>
        </w:tc>
        <w:tc>
          <w:tcPr>
            <w:tcW w:w="1040" w:type="dxa"/>
            <w:tcBorders>
              <w:top w:val="nil"/>
              <w:left w:val="nil"/>
              <w:bottom w:val="nil"/>
              <w:right w:val="nil"/>
            </w:tcBorders>
            <w:shd w:val="clear" w:color="000000" w:fill="FFFFFF"/>
            <w:noWrap/>
            <w:vAlign w:val="center"/>
            <w:hideMark/>
          </w:tcPr>
          <w:p w14:paraId="4BD8964D"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4F0AE123"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6F6BDB65"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17CCB02C"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228F52D7"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r>
      <w:tr w:rsidR="00D54977" w:rsidRPr="00D54977" w14:paraId="34E461C7" w14:textId="77777777" w:rsidTr="00D54977">
        <w:trPr>
          <w:trHeight w:val="300"/>
        </w:trPr>
        <w:tc>
          <w:tcPr>
            <w:tcW w:w="1056" w:type="dxa"/>
            <w:tcBorders>
              <w:top w:val="single" w:sz="4" w:space="0" w:color="auto"/>
              <w:left w:val="single" w:sz="4" w:space="0" w:color="auto"/>
              <w:bottom w:val="nil"/>
              <w:right w:val="single" w:sz="4" w:space="0" w:color="auto"/>
            </w:tcBorders>
            <w:shd w:val="clear" w:color="000000" w:fill="FFFFFF"/>
            <w:noWrap/>
            <w:vAlign w:val="center"/>
            <w:hideMark/>
          </w:tcPr>
          <w:p w14:paraId="480B6869"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(1,479)</w:t>
            </w:r>
          </w:p>
        </w:tc>
        <w:tc>
          <w:tcPr>
            <w:tcW w:w="3508" w:type="dxa"/>
            <w:tcBorders>
              <w:top w:val="single" w:sz="4" w:space="0" w:color="auto"/>
              <w:left w:val="nil"/>
              <w:bottom w:val="nil"/>
              <w:right w:val="single" w:sz="4" w:space="0" w:color="auto"/>
            </w:tcBorders>
            <w:shd w:val="clear" w:color="000000" w:fill="FFFFFF"/>
            <w:noWrap/>
            <w:vAlign w:val="center"/>
            <w:hideMark/>
          </w:tcPr>
          <w:p w14:paraId="78B1543D"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Top Up Grant</w:t>
            </w:r>
          </w:p>
        </w:tc>
        <w:tc>
          <w:tcPr>
            <w:tcW w:w="1040" w:type="dxa"/>
            <w:tcBorders>
              <w:top w:val="single" w:sz="4" w:space="0" w:color="auto"/>
              <w:left w:val="nil"/>
              <w:bottom w:val="nil"/>
              <w:right w:val="single" w:sz="4" w:space="0" w:color="auto"/>
            </w:tcBorders>
            <w:shd w:val="clear" w:color="000000" w:fill="FFFFFF"/>
            <w:noWrap/>
            <w:vAlign w:val="center"/>
            <w:hideMark/>
          </w:tcPr>
          <w:p w14:paraId="45F9AF08"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(1,504)</w:t>
            </w:r>
          </w:p>
        </w:tc>
        <w:tc>
          <w:tcPr>
            <w:tcW w:w="1040" w:type="dxa"/>
            <w:tcBorders>
              <w:top w:val="single" w:sz="4" w:space="0" w:color="auto"/>
              <w:left w:val="nil"/>
              <w:bottom w:val="nil"/>
              <w:right w:val="single" w:sz="4" w:space="0" w:color="auto"/>
            </w:tcBorders>
            <w:shd w:val="clear" w:color="000000" w:fill="FFFFFF"/>
            <w:noWrap/>
            <w:vAlign w:val="center"/>
            <w:hideMark/>
          </w:tcPr>
          <w:p w14:paraId="16BC9DF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(1,519)</w:t>
            </w:r>
          </w:p>
        </w:tc>
        <w:tc>
          <w:tcPr>
            <w:tcW w:w="1040" w:type="dxa"/>
            <w:tcBorders>
              <w:top w:val="single" w:sz="4" w:space="0" w:color="auto"/>
              <w:left w:val="nil"/>
              <w:bottom w:val="nil"/>
              <w:right w:val="single" w:sz="4" w:space="0" w:color="auto"/>
            </w:tcBorders>
            <w:shd w:val="clear" w:color="000000" w:fill="FFFFFF"/>
            <w:noWrap/>
            <w:vAlign w:val="center"/>
            <w:hideMark/>
          </w:tcPr>
          <w:p w14:paraId="5D043729"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(1,534)</w:t>
            </w:r>
          </w:p>
        </w:tc>
        <w:tc>
          <w:tcPr>
            <w:tcW w:w="1040" w:type="dxa"/>
            <w:tcBorders>
              <w:top w:val="single" w:sz="4" w:space="0" w:color="auto"/>
              <w:left w:val="nil"/>
              <w:bottom w:val="nil"/>
              <w:right w:val="single" w:sz="4" w:space="0" w:color="auto"/>
            </w:tcBorders>
            <w:shd w:val="clear" w:color="000000" w:fill="FFFFFF"/>
            <w:noWrap/>
            <w:vAlign w:val="center"/>
            <w:hideMark/>
          </w:tcPr>
          <w:p w14:paraId="05C50F77"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(1,549)</w:t>
            </w:r>
          </w:p>
        </w:tc>
        <w:tc>
          <w:tcPr>
            <w:tcW w:w="1040" w:type="dxa"/>
            <w:tcBorders>
              <w:top w:val="single" w:sz="4" w:space="0" w:color="auto"/>
              <w:left w:val="nil"/>
              <w:bottom w:val="nil"/>
              <w:right w:val="single" w:sz="4" w:space="0" w:color="auto"/>
            </w:tcBorders>
            <w:shd w:val="clear" w:color="000000" w:fill="FFFFFF"/>
            <w:noWrap/>
            <w:vAlign w:val="center"/>
            <w:hideMark/>
          </w:tcPr>
          <w:p w14:paraId="73EF0D7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(1,565)</w:t>
            </w:r>
          </w:p>
        </w:tc>
      </w:tr>
      <w:tr w:rsidR="00D54977" w:rsidRPr="00D54977" w14:paraId="1255ADA7"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3887D72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(1,186)</w:t>
            </w:r>
          </w:p>
        </w:tc>
        <w:tc>
          <w:tcPr>
            <w:tcW w:w="3508" w:type="dxa"/>
            <w:tcBorders>
              <w:top w:val="nil"/>
              <w:left w:val="nil"/>
              <w:bottom w:val="nil"/>
              <w:right w:val="single" w:sz="4" w:space="0" w:color="auto"/>
            </w:tcBorders>
            <w:shd w:val="clear" w:color="000000" w:fill="FFFFFF"/>
            <w:noWrap/>
            <w:vAlign w:val="center"/>
            <w:hideMark/>
          </w:tcPr>
          <w:p w14:paraId="4E55AE10"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Pension Grant</w:t>
            </w:r>
          </w:p>
        </w:tc>
        <w:tc>
          <w:tcPr>
            <w:tcW w:w="1040" w:type="dxa"/>
            <w:tcBorders>
              <w:top w:val="nil"/>
              <w:left w:val="nil"/>
              <w:bottom w:val="nil"/>
              <w:right w:val="single" w:sz="4" w:space="0" w:color="auto"/>
            </w:tcBorders>
            <w:shd w:val="clear" w:color="000000" w:fill="FFFFFF"/>
            <w:noWrap/>
            <w:vAlign w:val="center"/>
            <w:hideMark/>
          </w:tcPr>
          <w:p w14:paraId="48036CC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(1,186)</w:t>
            </w:r>
          </w:p>
        </w:tc>
        <w:tc>
          <w:tcPr>
            <w:tcW w:w="1040" w:type="dxa"/>
            <w:tcBorders>
              <w:top w:val="nil"/>
              <w:left w:val="nil"/>
              <w:bottom w:val="nil"/>
              <w:right w:val="single" w:sz="4" w:space="0" w:color="auto"/>
            </w:tcBorders>
            <w:shd w:val="clear" w:color="000000" w:fill="FFFFFF"/>
            <w:noWrap/>
            <w:vAlign w:val="center"/>
            <w:hideMark/>
          </w:tcPr>
          <w:p w14:paraId="4672289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(1,186)</w:t>
            </w:r>
          </w:p>
        </w:tc>
        <w:tc>
          <w:tcPr>
            <w:tcW w:w="1040" w:type="dxa"/>
            <w:tcBorders>
              <w:top w:val="nil"/>
              <w:left w:val="nil"/>
              <w:bottom w:val="nil"/>
              <w:right w:val="single" w:sz="4" w:space="0" w:color="auto"/>
            </w:tcBorders>
            <w:shd w:val="clear" w:color="000000" w:fill="FFFFFF"/>
            <w:noWrap/>
            <w:vAlign w:val="center"/>
            <w:hideMark/>
          </w:tcPr>
          <w:p w14:paraId="248C68E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(1,186)</w:t>
            </w:r>
          </w:p>
        </w:tc>
        <w:tc>
          <w:tcPr>
            <w:tcW w:w="1040" w:type="dxa"/>
            <w:tcBorders>
              <w:top w:val="nil"/>
              <w:left w:val="nil"/>
              <w:bottom w:val="nil"/>
              <w:right w:val="single" w:sz="4" w:space="0" w:color="auto"/>
            </w:tcBorders>
            <w:shd w:val="clear" w:color="000000" w:fill="FFFFFF"/>
            <w:noWrap/>
            <w:vAlign w:val="center"/>
            <w:hideMark/>
          </w:tcPr>
          <w:p w14:paraId="39A107F0"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(1,186)</w:t>
            </w:r>
          </w:p>
        </w:tc>
        <w:tc>
          <w:tcPr>
            <w:tcW w:w="1040" w:type="dxa"/>
            <w:tcBorders>
              <w:top w:val="nil"/>
              <w:left w:val="nil"/>
              <w:bottom w:val="nil"/>
              <w:right w:val="single" w:sz="4" w:space="0" w:color="auto"/>
            </w:tcBorders>
            <w:shd w:val="clear" w:color="000000" w:fill="FFFFFF"/>
            <w:noWrap/>
            <w:vAlign w:val="center"/>
            <w:hideMark/>
          </w:tcPr>
          <w:p w14:paraId="71BA477E"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(1,186)</w:t>
            </w:r>
          </w:p>
        </w:tc>
      </w:tr>
      <w:tr w:rsidR="00D54977" w:rsidRPr="00D54977" w14:paraId="14DA17A6"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7BF3A35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(3,944)</w:t>
            </w:r>
          </w:p>
        </w:tc>
        <w:tc>
          <w:tcPr>
            <w:tcW w:w="3508" w:type="dxa"/>
            <w:tcBorders>
              <w:top w:val="nil"/>
              <w:left w:val="nil"/>
              <w:bottom w:val="nil"/>
              <w:right w:val="single" w:sz="4" w:space="0" w:color="auto"/>
            </w:tcBorders>
            <w:shd w:val="clear" w:color="000000" w:fill="FFFFFF"/>
            <w:noWrap/>
            <w:vAlign w:val="center"/>
            <w:hideMark/>
          </w:tcPr>
          <w:p w14:paraId="4CCDA82E"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Revenue Support Grant</w:t>
            </w:r>
          </w:p>
        </w:tc>
        <w:tc>
          <w:tcPr>
            <w:tcW w:w="1040" w:type="dxa"/>
            <w:tcBorders>
              <w:top w:val="nil"/>
              <w:left w:val="nil"/>
              <w:bottom w:val="nil"/>
              <w:right w:val="single" w:sz="4" w:space="0" w:color="auto"/>
            </w:tcBorders>
            <w:shd w:val="clear" w:color="000000" w:fill="FFFFFF"/>
            <w:noWrap/>
            <w:vAlign w:val="center"/>
            <w:hideMark/>
          </w:tcPr>
          <w:p w14:paraId="08B9BE7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(4,013)</w:t>
            </w:r>
          </w:p>
        </w:tc>
        <w:tc>
          <w:tcPr>
            <w:tcW w:w="1040" w:type="dxa"/>
            <w:tcBorders>
              <w:top w:val="nil"/>
              <w:left w:val="nil"/>
              <w:bottom w:val="nil"/>
              <w:right w:val="single" w:sz="4" w:space="0" w:color="auto"/>
            </w:tcBorders>
            <w:shd w:val="clear" w:color="000000" w:fill="FFFFFF"/>
            <w:noWrap/>
            <w:vAlign w:val="center"/>
            <w:hideMark/>
          </w:tcPr>
          <w:p w14:paraId="58CC6ED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(4,053)</w:t>
            </w:r>
          </w:p>
        </w:tc>
        <w:tc>
          <w:tcPr>
            <w:tcW w:w="1040" w:type="dxa"/>
            <w:tcBorders>
              <w:top w:val="nil"/>
              <w:left w:val="nil"/>
              <w:bottom w:val="nil"/>
              <w:right w:val="single" w:sz="4" w:space="0" w:color="auto"/>
            </w:tcBorders>
            <w:shd w:val="clear" w:color="000000" w:fill="FFFFFF"/>
            <w:noWrap/>
            <w:vAlign w:val="center"/>
            <w:hideMark/>
          </w:tcPr>
          <w:p w14:paraId="35C5DE64"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(4,094)</w:t>
            </w:r>
          </w:p>
        </w:tc>
        <w:tc>
          <w:tcPr>
            <w:tcW w:w="1040" w:type="dxa"/>
            <w:tcBorders>
              <w:top w:val="nil"/>
              <w:left w:val="nil"/>
              <w:bottom w:val="nil"/>
              <w:right w:val="single" w:sz="4" w:space="0" w:color="auto"/>
            </w:tcBorders>
            <w:shd w:val="clear" w:color="000000" w:fill="FFFFFF"/>
            <w:noWrap/>
            <w:vAlign w:val="center"/>
            <w:hideMark/>
          </w:tcPr>
          <w:p w14:paraId="02F16E7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(4,135)</w:t>
            </w:r>
          </w:p>
        </w:tc>
        <w:tc>
          <w:tcPr>
            <w:tcW w:w="1040" w:type="dxa"/>
            <w:tcBorders>
              <w:top w:val="nil"/>
              <w:left w:val="nil"/>
              <w:bottom w:val="nil"/>
              <w:right w:val="single" w:sz="4" w:space="0" w:color="auto"/>
            </w:tcBorders>
            <w:shd w:val="clear" w:color="000000" w:fill="FFFFFF"/>
            <w:noWrap/>
            <w:vAlign w:val="center"/>
            <w:hideMark/>
          </w:tcPr>
          <w:p w14:paraId="032746F7"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(4,176)</w:t>
            </w:r>
          </w:p>
        </w:tc>
      </w:tr>
      <w:tr w:rsidR="00D54977" w:rsidRPr="00D54977" w14:paraId="095905E6"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0DCA025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(3,686)</w:t>
            </w:r>
          </w:p>
        </w:tc>
        <w:tc>
          <w:tcPr>
            <w:tcW w:w="3508" w:type="dxa"/>
            <w:tcBorders>
              <w:top w:val="nil"/>
              <w:left w:val="nil"/>
              <w:bottom w:val="nil"/>
              <w:right w:val="single" w:sz="4" w:space="0" w:color="auto"/>
            </w:tcBorders>
            <w:shd w:val="clear" w:color="000000" w:fill="FFFFFF"/>
            <w:noWrap/>
            <w:vAlign w:val="center"/>
            <w:hideMark/>
          </w:tcPr>
          <w:p w14:paraId="19C85097"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Business Rates</w:t>
            </w:r>
          </w:p>
        </w:tc>
        <w:tc>
          <w:tcPr>
            <w:tcW w:w="1040" w:type="dxa"/>
            <w:tcBorders>
              <w:top w:val="nil"/>
              <w:left w:val="nil"/>
              <w:bottom w:val="nil"/>
              <w:right w:val="single" w:sz="4" w:space="0" w:color="auto"/>
            </w:tcBorders>
            <w:shd w:val="clear" w:color="000000" w:fill="FFFFFF"/>
            <w:noWrap/>
            <w:vAlign w:val="center"/>
            <w:hideMark/>
          </w:tcPr>
          <w:p w14:paraId="34C86CBE"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(4,294)</w:t>
            </w:r>
          </w:p>
        </w:tc>
        <w:tc>
          <w:tcPr>
            <w:tcW w:w="1040" w:type="dxa"/>
            <w:tcBorders>
              <w:top w:val="nil"/>
              <w:left w:val="nil"/>
              <w:bottom w:val="nil"/>
              <w:right w:val="single" w:sz="4" w:space="0" w:color="auto"/>
            </w:tcBorders>
            <w:shd w:val="clear" w:color="000000" w:fill="FFFFFF"/>
            <w:noWrap/>
            <w:vAlign w:val="center"/>
            <w:hideMark/>
          </w:tcPr>
          <w:p w14:paraId="08008C0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(4,337)</w:t>
            </w:r>
          </w:p>
        </w:tc>
        <w:tc>
          <w:tcPr>
            <w:tcW w:w="1040" w:type="dxa"/>
            <w:tcBorders>
              <w:top w:val="nil"/>
              <w:left w:val="nil"/>
              <w:bottom w:val="nil"/>
              <w:right w:val="single" w:sz="4" w:space="0" w:color="auto"/>
            </w:tcBorders>
            <w:shd w:val="clear" w:color="000000" w:fill="FFFFFF"/>
            <w:noWrap/>
            <w:vAlign w:val="center"/>
            <w:hideMark/>
          </w:tcPr>
          <w:p w14:paraId="180902D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(4,380)</w:t>
            </w:r>
          </w:p>
        </w:tc>
        <w:tc>
          <w:tcPr>
            <w:tcW w:w="1040" w:type="dxa"/>
            <w:tcBorders>
              <w:top w:val="nil"/>
              <w:left w:val="nil"/>
              <w:bottom w:val="nil"/>
              <w:right w:val="single" w:sz="4" w:space="0" w:color="auto"/>
            </w:tcBorders>
            <w:shd w:val="clear" w:color="000000" w:fill="FFFFFF"/>
            <w:noWrap/>
            <w:vAlign w:val="center"/>
            <w:hideMark/>
          </w:tcPr>
          <w:p w14:paraId="2CBE0C0E"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(4,424)</w:t>
            </w:r>
          </w:p>
        </w:tc>
        <w:tc>
          <w:tcPr>
            <w:tcW w:w="1040" w:type="dxa"/>
            <w:tcBorders>
              <w:top w:val="nil"/>
              <w:left w:val="nil"/>
              <w:bottom w:val="nil"/>
              <w:right w:val="single" w:sz="4" w:space="0" w:color="auto"/>
            </w:tcBorders>
            <w:shd w:val="clear" w:color="000000" w:fill="FFFFFF"/>
            <w:noWrap/>
            <w:vAlign w:val="center"/>
            <w:hideMark/>
          </w:tcPr>
          <w:p w14:paraId="11E13FCB"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(4,469)</w:t>
            </w:r>
          </w:p>
        </w:tc>
      </w:tr>
      <w:tr w:rsidR="00D54977" w:rsidRPr="00D54977" w14:paraId="3F7E3E5E"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3743F00B"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(231)</w:t>
            </w:r>
          </w:p>
        </w:tc>
        <w:tc>
          <w:tcPr>
            <w:tcW w:w="3508" w:type="dxa"/>
            <w:tcBorders>
              <w:top w:val="nil"/>
              <w:left w:val="nil"/>
              <w:bottom w:val="nil"/>
              <w:right w:val="single" w:sz="4" w:space="0" w:color="auto"/>
            </w:tcBorders>
            <w:shd w:val="clear" w:color="000000" w:fill="FFFFFF"/>
            <w:noWrap/>
            <w:vAlign w:val="center"/>
            <w:hideMark/>
          </w:tcPr>
          <w:p w14:paraId="445CA545"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Funding Guarantee</w:t>
            </w:r>
          </w:p>
        </w:tc>
        <w:tc>
          <w:tcPr>
            <w:tcW w:w="1040" w:type="dxa"/>
            <w:tcBorders>
              <w:top w:val="nil"/>
              <w:left w:val="nil"/>
              <w:bottom w:val="nil"/>
              <w:right w:val="single" w:sz="4" w:space="0" w:color="auto"/>
            </w:tcBorders>
            <w:shd w:val="clear" w:color="000000" w:fill="FFFFFF"/>
            <w:noWrap/>
            <w:vAlign w:val="center"/>
            <w:hideMark/>
          </w:tcPr>
          <w:p w14:paraId="313D28A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w:t>
            </w:r>
          </w:p>
        </w:tc>
        <w:tc>
          <w:tcPr>
            <w:tcW w:w="1040" w:type="dxa"/>
            <w:tcBorders>
              <w:top w:val="nil"/>
              <w:left w:val="nil"/>
              <w:bottom w:val="nil"/>
              <w:right w:val="single" w:sz="4" w:space="0" w:color="auto"/>
            </w:tcBorders>
            <w:shd w:val="clear" w:color="000000" w:fill="FFFFFF"/>
            <w:noWrap/>
            <w:vAlign w:val="center"/>
            <w:hideMark/>
          </w:tcPr>
          <w:p w14:paraId="124D4751"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w:t>
            </w:r>
          </w:p>
        </w:tc>
        <w:tc>
          <w:tcPr>
            <w:tcW w:w="1040" w:type="dxa"/>
            <w:tcBorders>
              <w:top w:val="nil"/>
              <w:left w:val="nil"/>
              <w:bottom w:val="nil"/>
              <w:right w:val="single" w:sz="4" w:space="0" w:color="auto"/>
            </w:tcBorders>
            <w:shd w:val="clear" w:color="000000" w:fill="FFFFFF"/>
            <w:noWrap/>
            <w:vAlign w:val="center"/>
            <w:hideMark/>
          </w:tcPr>
          <w:p w14:paraId="39B5AE31"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w:t>
            </w:r>
          </w:p>
        </w:tc>
        <w:tc>
          <w:tcPr>
            <w:tcW w:w="1040" w:type="dxa"/>
            <w:tcBorders>
              <w:top w:val="nil"/>
              <w:left w:val="nil"/>
              <w:bottom w:val="nil"/>
              <w:right w:val="single" w:sz="4" w:space="0" w:color="auto"/>
            </w:tcBorders>
            <w:shd w:val="clear" w:color="000000" w:fill="FFFFFF"/>
            <w:noWrap/>
            <w:vAlign w:val="center"/>
            <w:hideMark/>
          </w:tcPr>
          <w:p w14:paraId="09E85762"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w:t>
            </w:r>
          </w:p>
        </w:tc>
        <w:tc>
          <w:tcPr>
            <w:tcW w:w="1040" w:type="dxa"/>
            <w:tcBorders>
              <w:top w:val="nil"/>
              <w:left w:val="nil"/>
              <w:bottom w:val="nil"/>
              <w:right w:val="single" w:sz="4" w:space="0" w:color="auto"/>
            </w:tcBorders>
            <w:shd w:val="clear" w:color="000000" w:fill="FFFFFF"/>
            <w:noWrap/>
            <w:vAlign w:val="center"/>
            <w:hideMark/>
          </w:tcPr>
          <w:p w14:paraId="316D0C51"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w:t>
            </w:r>
          </w:p>
        </w:tc>
      </w:tr>
      <w:tr w:rsidR="00D54977" w:rsidRPr="00D54977" w14:paraId="123006D9"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692B65CD"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(1,089)</w:t>
            </w:r>
          </w:p>
        </w:tc>
        <w:tc>
          <w:tcPr>
            <w:tcW w:w="3508" w:type="dxa"/>
            <w:tcBorders>
              <w:top w:val="nil"/>
              <w:left w:val="nil"/>
              <w:bottom w:val="nil"/>
              <w:right w:val="single" w:sz="4" w:space="0" w:color="auto"/>
            </w:tcBorders>
            <w:shd w:val="clear" w:color="000000" w:fill="FFFFFF"/>
            <w:noWrap/>
            <w:vAlign w:val="center"/>
            <w:hideMark/>
          </w:tcPr>
          <w:p w14:paraId="40ED5884"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S31 Grant - Compensation</w:t>
            </w:r>
          </w:p>
        </w:tc>
        <w:tc>
          <w:tcPr>
            <w:tcW w:w="1040" w:type="dxa"/>
            <w:tcBorders>
              <w:top w:val="nil"/>
              <w:left w:val="nil"/>
              <w:bottom w:val="nil"/>
              <w:right w:val="single" w:sz="4" w:space="0" w:color="auto"/>
            </w:tcBorders>
            <w:shd w:val="clear" w:color="000000" w:fill="FFFFFF"/>
            <w:noWrap/>
            <w:vAlign w:val="center"/>
            <w:hideMark/>
          </w:tcPr>
          <w:p w14:paraId="6C69A122"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(1,132)</w:t>
            </w:r>
          </w:p>
        </w:tc>
        <w:tc>
          <w:tcPr>
            <w:tcW w:w="1040" w:type="dxa"/>
            <w:tcBorders>
              <w:top w:val="nil"/>
              <w:left w:val="nil"/>
              <w:bottom w:val="nil"/>
              <w:right w:val="single" w:sz="4" w:space="0" w:color="auto"/>
            </w:tcBorders>
            <w:shd w:val="clear" w:color="000000" w:fill="FFFFFF"/>
            <w:noWrap/>
            <w:vAlign w:val="center"/>
            <w:hideMark/>
          </w:tcPr>
          <w:p w14:paraId="2B5785B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(1,143)</w:t>
            </w:r>
          </w:p>
        </w:tc>
        <w:tc>
          <w:tcPr>
            <w:tcW w:w="1040" w:type="dxa"/>
            <w:tcBorders>
              <w:top w:val="nil"/>
              <w:left w:val="nil"/>
              <w:bottom w:val="nil"/>
              <w:right w:val="single" w:sz="4" w:space="0" w:color="auto"/>
            </w:tcBorders>
            <w:shd w:val="clear" w:color="000000" w:fill="FFFFFF"/>
            <w:noWrap/>
            <w:vAlign w:val="center"/>
            <w:hideMark/>
          </w:tcPr>
          <w:p w14:paraId="57B2B58B"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(1,155)</w:t>
            </w:r>
          </w:p>
        </w:tc>
        <w:tc>
          <w:tcPr>
            <w:tcW w:w="1040" w:type="dxa"/>
            <w:tcBorders>
              <w:top w:val="nil"/>
              <w:left w:val="nil"/>
              <w:bottom w:val="nil"/>
              <w:right w:val="single" w:sz="4" w:space="0" w:color="auto"/>
            </w:tcBorders>
            <w:shd w:val="clear" w:color="000000" w:fill="FFFFFF"/>
            <w:noWrap/>
            <w:vAlign w:val="center"/>
            <w:hideMark/>
          </w:tcPr>
          <w:p w14:paraId="7DEB886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(1,166)</w:t>
            </w:r>
          </w:p>
        </w:tc>
        <w:tc>
          <w:tcPr>
            <w:tcW w:w="1040" w:type="dxa"/>
            <w:tcBorders>
              <w:top w:val="nil"/>
              <w:left w:val="nil"/>
              <w:bottom w:val="nil"/>
              <w:right w:val="single" w:sz="4" w:space="0" w:color="auto"/>
            </w:tcBorders>
            <w:shd w:val="clear" w:color="000000" w:fill="FFFFFF"/>
            <w:noWrap/>
            <w:vAlign w:val="center"/>
            <w:hideMark/>
          </w:tcPr>
          <w:p w14:paraId="4FDDFC97"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(1,178)</w:t>
            </w:r>
          </w:p>
        </w:tc>
      </w:tr>
      <w:tr w:rsidR="00D54977" w:rsidRPr="00D54977" w14:paraId="7680F5F6"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57836C1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(34)</w:t>
            </w:r>
          </w:p>
        </w:tc>
        <w:tc>
          <w:tcPr>
            <w:tcW w:w="3508" w:type="dxa"/>
            <w:tcBorders>
              <w:top w:val="nil"/>
              <w:left w:val="nil"/>
              <w:bottom w:val="nil"/>
              <w:right w:val="single" w:sz="4" w:space="0" w:color="auto"/>
            </w:tcBorders>
            <w:shd w:val="clear" w:color="000000" w:fill="FFFFFF"/>
            <w:noWrap/>
            <w:vAlign w:val="center"/>
            <w:hideMark/>
          </w:tcPr>
          <w:p w14:paraId="67D60C69"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Services Grant</w:t>
            </w:r>
          </w:p>
        </w:tc>
        <w:tc>
          <w:tcPr>
            <w:tcW w:w="1040" w:type="dxa"/>
            <w:tcBorders>
              <w:top w:val="nil"/>
              <w:left w:val="nil"/>
              <w:bottom w:val="nil"/>
              <w:right w:val="single" w:sz="4" w:space="0" w:color="auto"/>
            </w:tcBorders>
            <w:shd w:val="clear" w:color="000000" w:fill="FFFFFF"/>
            <w:noWrap/>
            <w:vAlign w:val="center"/>
            <w:hideMark/>
          </w:tcPr>
          <w:p w14:paraId="19A70D7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w:t>
            </w:r>
          </w:p>
        </w:tc>
        <w:tc>
          <w:tcPr>
            <w:tcW w:w="1040" w:type="dxa"/>
            <w:tcBorders>
              <w:top w:val="nil"/>
              <w:left w:val="nil"/>
              <w:bottom w:val="nil"/>
              <w:right w:val="single" w:sz="4" w:space="0" w:color="auto"/>
            </w:tcBorders>
            <w:shd w:val="clear" w:color="000000" w:fill="FFFFFF"/>
            <w:noWrap/>
            <w:vAlign w:val="center"/>
            <w:hideMark/>
          </w:tcPr>
          <w:p w14:paraId="38BD12C2"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w:t>
            </w:r>
          </w:p>
        </w:tc>
        <w:tc>
          <w:tcPr>
            <w:tcW w:w="1040" w:type="dxa"/>
            <w:tcBorders>
              <w:top w:val="nil"/>
              <w:left w:val="nil"/>
              <w:bottom w:val="nil"/>
              <w:right w:val="single" w:sz="4" w:space="0" w:color="auto"/>
            </w:tcBorders>
            <w:shd w:val="clear" w:color="000000" w:fill="FFFFFF"/>
            <w:noWrap/>
            <w:vAlign w:val="center"/>
            <w:hideMark/>
          </w:tcPr>
          <w:p w14:paraId="4885659B"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w:t>
            </w:r>
          </w:p>
        </w:tc>
        <w:tc>
          <w:tcPr>
            <w:tcW w:w="1040" w:type="dxa"/>
            <w:tcBorders>
              <w:top w:val="nil"/>
              <w:left w:val="nil"/>
              <w:bottom w:val="nil"/>
              <w:right w:val="single" w:sz="4" w:space="0" w:color="auto"/>
            </w:tcBorders>
            <w:shd w:val="clear" w:color="000000" w:fill="FFFFFF"/>
            <w:noWrap/>
            <w:vAlign w:val="center"/>
            <w:hideMark/>
          </w:tcPr>
          <w:p w14:paraId="4097CFF0"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w:t>
            </w:r>
          </w:p>
        </w:tc>
        <w:tc>
          <w:tcPr>
            <w:tcW w:w="1040" w:type="dxa"/>
            <w:tcBorders>
              <w:top w:val="nil"/>
              <w:left w:val="nil"/>
              <w:bottom w:val="nil"/>
              <w:right w:val="single" w:sz="4" w:space="0" w:color="auto"/>
            </w:tcBorders>
            <w:shd w:val="clear" w:color="000000" w:fill="FFFFFF"/>
            <w:noWrap/>
            <w:vAlign w:val="center"/>
            <w:hideMark/>
          </w:tcPr>
          <w:p w14:paraId="1B1101DB"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w:t>
            </w:r>
          </w:p>
        </w:tc>
      </w:tr>
      <w:tr w:rsidR="00D54977" w:rsidRPr="00D54977" w14:paraId="4106493F"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4C68E28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w:t>
            </w:r>
          </w:p>
        </w:tc>
        <w:tc>
          <w:tcPr>
            <w:tcW w:w="3508" w:type="dxa"/>
            <w:tcBorders>
              <w:top w:val="nil"/>
              <w:left w:val="nil"/>
              <w:bottom w:val="nil"/>
              <w:right w:val="single" w:sz="4" w:space="0" w:color="auto"/>
            </w:tcBorders>
            <w:shd w:val="clear" w:color="000000" w:fill="FFFFFF"/>
            <w:noWrap/>
            <w:vAlign w:val="center"/>
            <w:hideMark/>
          </w:tcPr>
          <w:p w14:paraId="6EC7B1DB"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National Insurance Reimbursement</w:t>
            </w:r>
          </w:p>
        </w:tc>
        <w:tc>
          <w:tcPr>
            <w:tcW w:w="1040" w:type="dxa"/>
            <w:tcBorders>
              <w:top w:val="nil"/>
              <w:left w:val="nil"/>
              <w:bottom w:val="nil"/>
              <w:right w:val="single" w:sz="4" w:space="0" w:color="auto"/>
            </w:tcBorders>
            <w:shd w:val="clear" w:color="000000" w:fill="FFFFFF"/>
            <w:noWrap/>
            <w:vAlign w:val="center"/>
            <w:hideMark/>
          </w:tcPr>
          <w:p w14:paraId="7DFF03B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(181)</w:t>
            </w:r>
          </w:p>
        </w:tc>
        <w:tc>
          <w:tcPr>
            <w:tcW w:w="1040" w:type="dxa"/>
            <w:tcBorders>
              <w:top w:val="nil"/>
              <w:left w:val="nil"/>
              <w:bottom w:val="nil"/>
              <w:right w:val="single" w:sz="4" w:space="0" w:color="auto"/>
            </w:tcBorders>
            <w:shd w:val="clear" w:color="000000" w:fill="FFFFFF"/>
            <w:noWrap/>
            <w:vAlign w:val="center"/>
            <w:hideMark/>
          </w:tcPr>
          <w:p w14:paraId="3B3E3F59"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(182)</w:t>
            </w:r>
          </w:p>
        </w:tc>
        <w:tc>
          <w:tcPr>
            <w:tcW w:w="1040" w:type="dxa"/>
            <w:tcBorders>
              <w:top w:val="nil"/>
              <w:left w:val="nil"/>
              <w:bottom w:val="nil"/>
              <w:right w:val="single" w:sz="4" w:space="0" w:color="auto"/>
            </w:tcBorders>
            <w:shd w:val="clear" w:color="000000" w:fill="FFFFFF"/>
            <w:noWrap/>
            <w:vAlign w:val="center"/>
            <w:hideMark/>
          </w:tcPr>
          <w:p w14:paraId="5E111844"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(184)</w:t>
            </w:r>
          </w:p>
        </w:tc>
        <w:tc>
          <w:tcPr>
            <w:tcW w:w="1040" w:type="dxa"/>
            <w:tcBorders>
              <w:top w:val="nil"/>
              <w:left w:val="nil"/>
              <w:bottom w:val="nil"/>
              <w:right w:val="single" w:sz="4" w:space="0" w:color="auto"/>
            </w:tcBorders>
            <w:shd w:val="clear" w:color="000000" w:fill="FFFFFF"/>
            <w:noWrap/>
            <w:vAlign w:val="center"/>
            <w:hideMark/>
          </w:tcPr>
          <w:p w14:paraId="50DCC7DD"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(186)</w:t>
            </w:r>
          </w:p>
        </w:tc>
        <w:tc>
          <w:tcPr>
            <w:tcW w:w="1040" w:type="dxa"/>
            <w:tcBorders>
              <w:top w:val="nil"/>
              <w:left w:val="nil"/>
              <w:bottom w:val="nil"/>
              <w:right w:val="single" w:sz="4" w:space="0" w:color="auto"/>
            </w:tcBorders>
            <w:shd w:val="clear" w:color="000000" w:fill="FFFFFF"/>
            <w:noWrap/>
            <w:vAlign w:val="center"/>
            <w:hideMark/>
          </w:tcPr>
          <w:p w14:paraId="40EC36F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(188)</w:t>
            </w:r>
          </w:p>
        </w:tc>
      </w:tr>
      <w:tr w:rsidR="00D54977" w:rsidRPr="00D54977" w14:paraId="5C8BDDDB"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2934DEB7"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(19,489)</w:t>
            </w:r>
          </w:p>
        </w:tc>
        <w:tc>
          <w:tcPr>
            <w:tcW w:w="3508" w:type="dxa"/>
            <w:tcBorders>
              <w:top w:val="nil"/>
              <w:left w:val="nil"/>
              <w:bottom w:val="nil"/>
              <w:right w:val="single" w:sz="4" w:space="0" w:color="auto"/>
            </w:tcBorders>
            <w:shd w:val="clear" w:color="000000" w:fill="FFFFFF"/>
            <w:noWrap/>
            <w:vAlign w:val="center"/>
            <w:hideMark/>
          </w:tcPr>
          <w:p w14:paraId="6C50CA60"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Precept</w:t>
            </w:r>
          </w:p>
        </w:tc>
        <w:tc>
          <w:tcPr>
            <w:tcW w:w="1040" w:type="dxa"/>
            <w:tcBorders>
              <w:top w:val="nil"/>
              <w:left w:val="nil"/>
              <w:bottom w:val="nil"/>
              <w:right w:val="single" w:sz="4" w:space="0" w:color="auto"/>
            </w:tcBorders>
            <w:shd w:val="clear" w:color="000000" w:fill="FFFFFF"/>
            <w:noWrap/>
            <w:vAlign w:val="center"/>
            <w:hideMark/>
          </w:tcPr>
          <w:p w14:paraId="7270B20B"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(21,202)</w:t>
            </w:r>
          </w:p>
        </w:tc>
        <w:tc>
          <w:tcPr>
            <w:tcW w:w="1040" w:type="dxa"/>
            <w:tcBorders>
              <w:top w:val="nil"/>
              <w:left w:val="nil"/>
              <w:bottom w:val="nil"/>
              <w:right w:val="single" w:sz="4" w:space="0" w:color="auto"/>
            </w:tcBorders>
            <w:shd w:val="clear" w:color="000000" w:fill="FFFFFF"/>
            <w:noWrap/>
            <w:vAlign w:val="center"/>
            <w:hideMark/>
          </w:tcPr>
          <w:p w14:paraId="686B42D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(22,189)</w:t>
            </w:r>
          </w:p>
        </w:tc>
        <w:tc>
          <w:tcPr>
            <w:tcW w:w="1040" w:type="dxa"/>
            <w:tcBorders>
              <w:top w:val="nil"/>
              <w:left w:val="nil"/>
              <w:bottom w:val="nil"/>
              <w:right w:val="single" w:sz="4" w:space="0" w:color="auto"/>
            </w:tcBorders>
            <w:shd w:val="clear" w:color="000000" w:fill="FFFFFF"/>
            <w:noWrap/>
            <w:vAlign w:val="center"/>
            <w:hideMark/>
          </w:tcPr>
          <w:p w14:paraId="75F0DD4B"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(23,201)</w:t>
            </w:r>
          </w:p>
        </w:tc>
        <w:tc>
          <w:tcPr>
            <w:tcW w:w="1040" w:type="dxa"/>
            <w:tcBorders>
              <w:top w:val="nil"/>
              <w:left w:val="nil"/>
              <w:bottom w:val="nil"/>
              <w:right w:val="single" w:sz="4" w:space="0" w:color="auto"/>
            </w:tcBorders>
            <w:shd w:val="clear" w:color="000000" w:fill="FFFFFF"/>
            <w:noWrap/>
            <w:vAlign w:val="center"/>
            <w:hideMark/>
          </w:tcPr>
          <w:p w14:paraId="34666B40"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(24,239)</w:t>
            </w:r>
          </w:p>
        </w:tc>
        <w:tc>
          <w:tcPr>
            <w:tcW w:w="1040" w:type="dxa"/>
            <w:tcBorders>
              <w:top w:val="nil"/>
              <w:left w:val="nil"/>
              <w:bottom w:val="nil"/>
              <w:right w:val="single" w:sz="4" w:space="0" w:color="auto"/>
            </w:tcBorders>
            <w:shd w:val="clear" w:color="000000" w:fill="FFFFFF"/>
            <w:noWrap/>
            <w:vAlign w:val="center"/>
            <w:hideMark/>
          </w:tcPr>
          <w:p w14:paraId="582D4A6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(25,302)</w:t>
            </w:r>
          </w:p>
        </w:tc>
      </w:tr>
      <w:tr w:rsidR="00D54977" w:rsidRPr="00D54977" w14:paraId="1FC863C8" w14:textId="77777777" w:rsidTr="00D54977">
        <w:trPr>
          <w:trHeight w:val="300"/>
        </w:trPr>
        <w:tc>
          <w:tcPr>
            <w:tcW w:w="1056" w:type="dxa"/>
            <w:tcBorders>
              <w:top w:val="nil"/>
              <w:left w:val="single" w:sz="4" w:space="0" w:color="auto"/>
              <w:bottom w:val="nil"/>
              <w:right w:val="single" w:sz="4" w:space="0" w:color="auto"/>
            </w:tcBorders>
            <w:shd w:val="clear" w:color="000000" w:fill="FFFFFF"/>
            <w:noWrap/>
            <w:vAlign w:val="center"/>
            <w:hideMark/>
          </w:tcPr>
          <w:p w14:paraId="7CCAFA3D"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(315)</w:t>
            </w:r>
          </w:p>
        </w:tc>
        <w:tc>
          <w:tcPr>
            <w:tcW w:w="3508" w:type="dxa"/>
            <w:tcBorders>
              <w:top w:val="nil"/>
              <w:left w:val="nil"/>
              <w:bottom w:val="nil"/>
              <w:right w:val="single" w:sz="4" w:space="0" w:color="auto"/>
            </w:tcBorders>
            <w:shd w:val="clear" w:color="000000" w:fill="FFFFFF"/>
            <w:noWrap/>
            <w:vAlign w:val="center"/>
            <w:hideMark/>
          </w:tcPr>
          <w:p w14:paraId="11EEF4A4"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Collection Fund (Surplus)/Deficit</w:t>
            </w:r>
          </w:p>
        </w:tc>
        <w:tc>
          <w:tcPr>
            <w:tcW w:w="1040" w:type="dxa"/>
            <w:tcBorders>
              <w:top w:val="nil"/>
              <w:left w:val="nil"/>
              <w:bottom w:val="single" w:sz="4" w:space="0" w:color="auto"/>
              <w:right w:val="single" w:sz="4" w:space="0" w:color="auto"/>
            </w:tcBorders>
            <w:shd w:val="clear" w:color="000000" w:fill="FFFFFF"/>
            <w:noWrap/>
            <w:vAlign w:val="center"/>
            <w:hideMark/>
          </w:tcPr>
          <w:p w14:paraId="172C026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(211)</w:t>
            </w:r>
          </w:p>
        </w:tc>
        <w:tc>
          <w:tcPr>
            <w:tcW w:w="1040" w:type="dxa"/>
            <w:tcBorders>
              <w:top w:val="nil"/>
              <w:left w:val="nil"/>
              <w:bottom w:val="single" w:sz="4" w:space="0" w:color="auto"/>
              <w:right w:val="single" w:sz="4" w:space="0" w:color="auto"/>
            </w:tcBorders>
            <w:shd w:val="clear" w:color="000000" w:fill="FFFFFF"/>
            <w:noWrap/>
            <w:vAlign w:val="center"/>
            <w:hideMark/>
          </w:tcPr>
          <w:p w14:paraId="0E662169"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single" w:sz="4" w:space="0" w:color="auto"/>
              <w:right w:val="single" w:sz="4" w:space="0" w:color="auto"/>
            </w:tcBorders>
            <w:shd w:val="clear" w:color="000000" w:fill="FFFFFF"/>
            <w:noWrap/>
            <w:vAlign w:val="center"/>
            <w:hideMark/>
          </w:tcPr>
          <w:p w14:paraId="7F1C7EC0"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single" w:sz="4" w:space="0" w:color="auto"/>
              <w:right w:val="single" w:sz="4" w:space="0" w:color="auto"/>
            </w:tcBorders>
            <w:shd w:val="clear" w:color="000000" w:fill="FFFFFF"/>
            <w:noWrap/>
            <w:vAlign w:val="center"/>
            <w:hideMark/>
          </w:tcPr>
          <w:p w14:paraId="03378224"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single" w:sz="4" w:space="0" w:color="auto"/>
              <w:right w:val="single" w:sz="4" w:space="0" w:color="auto"/>
            </w:tcBorders>
            <w:shd w:val="clear" w:color="000000" w:fill="FFFFFF"/>
            <w:noWrap/>
            <w:vAlign w:val="center"/>
            <w:hideMark/>
          </w:tcPr>
          <w:p w14:paraId="03885242"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r>
      <w:tr w:rsidR="00D54977" w:rsidRPr="00D54977" w14:paraId="7004763B" w14:textId="77777777" w:rsidTr="00D54977">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A8A3CC"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(31,454)</w:t>
            </w:r>
          </w:p>
        </w:tc>
        <w:tc>
          <w:tcPr>
            <w:tcW w:w="3508" w:type="dxa"/>
            <w:tcBorders>
              <w:top w:val="single" w:sz="4" w:space="0" w:color="auto"/>
              <w:left w:val="nil"/>
              <w:bottom w:val="single" w:sz="4" w:space="0" w:color="auto"/>
              <w:right w:val="single" w:sz="4" w:space="0" w:color="auto"/>
            </w:tcBorders>
            <w:shd w:val="clear" w:color="000000" w:fill="FFFFFF"/>
            <w:noWrap/>
            <w:vAlign w:val="center"/>
            <w:hideMark/>
          </w:tcPr>
          <w:p w14:paraId="11A0A3E3" w14:textId="77777777" w:rsidR="00D54977" w:rsidRPr="00D54977" w:rsidRDefault="00D54977" w:rsidP="00D54977">
            <w:pPr>
              <w:spacing w:line="240" w:lineRule="auto"/>
              <w:rPr>
                <w:rFonts w:eastAsia="Times New Roman" w:cs="Calibri"/>
                <w:b/>
                <w:bCs/>
                <w:color w:val="000000"/>
                <w:sz w:val="20"/>
                <w:szCs w:val="20"/>
                <w:lang w:eastAsia="en-GB"/>
              </w:rPr>
            </w:pPr>
            <w:r w:rsidRPr="00D54977">
              <w:rPr>
                <w:rFonts w:eastAsia="Times New Roman" w:cs="Calibri"/>
                <w:b/>
                <w:bCs/>
                <w:color w:val="000000"/>
                <w:sz w:val="20"/>
                <w:szCs w:val="20"/>
                <w:lang w:eastAsia="en-GB"/>
              </w:rPr>
              <w:t>TOTAL FUNDING</w:t>
            </w:r>
          </w:p>
        </w:tc>
        <w:tc>
          <w:tcPr>
            <w:tcW w:w="1040" w:type="dxa"/>
            <w:tcBorders>
              <w:top w:val="nil"/>
              <w:left w:val="nil"/>
              <w:bottom w:val="single" w:sz="4" w:space="0" w:color="auto"/>
              <w:right w:val="single" w:sz="4" w:space="0" w:color="auto"/>
            </w:tcBorders>
            <w:shd w:val="clear" w:color="000000" w:fill="FFFFFF"/>
            <w:noWrap/>
            <w:vAlign w:val="center"/>
            <w:hideMark/>
          </w:tcPr>
          <w:p w14:paraId="5ABC044B"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(33,723)</w:t>
            </w:r>
          </w:p>
        </w:tc>
        <w:tc>
          <w:tcPr>
            <w:tcW w:w="1040" w:type="dxa"/>
            <w:tcBorders>
              <w:top w:val="nil"/>
              <w:left w:val="nil"/>
              <w:bottom w:val="single" w:sz="4" w:space="0" w:color="auto"/>
              <w:right w:val="single" w:sz="4" w:space="0" w:color="auto"/>
            </w:tcBorders>
            <w:shd w:val="clear" w:color="000000" w:fill="FFFFFF"/>
            <w:noWrap/>
            <w:vAlign w:val="center"/>
            <w:hideMark/>
          </w:tcPr>
          <w:p w14:paraId="79FDA05D"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(34,710)</w:t>
            </w:r>
          </w:p>
        </w:tc>
        <w:tc>
          <w:tcPr>
            <w:tcW w:w="1040" w:type="dxa"/>
            <w:tcBorders>
              <w:top w:val="nil"/>
              <w:left w:val="nil"/>
              <w:bottom w:val="single" w:sz="4" w:space="0" w:color="auto"/>
              <w:right w:val="single" w:sz="4" w:space="0" w:color="auto"/>
            </w:tcBorders>
            <w:shd w:val="clear" w:color="000000" w:fill="FFFFFF"/>
            <w:noWrap/>
            <w:vAlign w:val="center"/>
            <w:hideMark/>
          </w:tcPr>
          <w:p w14:paraId="11FDF7F0"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(35,835)</w:t>
            </w:r>
          </w:p>
        </w:tc>
        <w:tc>
          <w:tcPr>
            <w:tcW w:w="1040" w:type="dxa"/>
            <w:tcBorders>
              <w:top w:val="nil"/>
              <w:left w:val="nil"/>
              <w:bottom w:val="single" w:sz="4" w:space="0" w:color="auto"/>
              <w:right w:val="single" w:sz="4" w:space="0" w:color="auto"/>
            </w:tcBorders>
            <w:shd w:val="clear" w:color="000000" w:fill="FFFFFF"/>
            <w:noWrap/>
            <w:vAlign w:val="center"/>
            <w:hideMark/>
          </w:tcPr>
          <w:p w14:paraId="571D783F"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(36,985)</w:t>
            </w:r>
          </w:p>
        </w:tc>
        <w:tc>
          <w:tcPr>
            <w:tcW w:w="1040" w:type="dxa"/>
            <w:tcBorders>
              <w:top w:val="nil"/>
              <w:left w:val="nil"/>
              <w:bottom w:val="single" w:sz="4" w:space="0" w:color="auto"/>
              <w:right w:val="single" w:sz="4" w:space="0" w:color="auto"/>
            </w:tcBorders>
            <w:shd w:val="clear" w:color="000000" w:fill="FFFFFF"/>
            <w:noWrap/>
            <w:vAlign w:val="center"/>
            <w:hideMark/>
          </w:tcPr>
          <w:p w14:paraId="209ADC5C"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(38,163)</w:t>
            </w:r>
          </w:p>
        </w:tc>
      </w:tr>
      <w:tr w:rsidR="00D54977" w:rsidRPr="00D54977" w14:paraId="4A219D83" w14:textId="77777777" w:rsidTr="00D54977">
        <w:trPr>
          <w:trHeight w:val="300"/>
        </w:trPr>
        <w:tc>
          <w:tcPr>
            <w:tcW w:w="1056" w:type="dxa"/>
            <w:tcBorders>
              <w:top w:val="nil"/>
              <w:left w:val="nil"/>
              <w:bottom w:val="nil"/>
              <w:right w:val="nil"/>
            </w:tcBorders>
            <w:shd w:val="clear" w:color="000000" w:fill="FFFFFF"/>
            <w:noWrap/>
            <w:vAlign w:val="center"/>
            <w:hideMark/>
          </w:tcPr>
          <w:p w14:paraId="7638BA34"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center"/>
            <w:hideMark/>
          </w:tcPr>
          <w:p w14:paraId="794C57FF"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00D8BC44"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15BB1C1A"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4631C90B"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7EFA87CB"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6C386257"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r>
      <w:tr w:rsidR="00D54977" w:rsidRPr="00D54977" w14:paraId="46958EE2" w14:textId="77777777" w:rsidTr="00D54977">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A498D0"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w:t>
            </w:r>
          </w:p>
        </w:tc>
        <w:tc>
          <w:tcPr>
            <w:tcW w:w="3508" w:type="dxa"/>
            <w:tcBorders>
              <w:top w:val="single" w:sz="4" w:space="0" w:color="auto"/>
              <w:left w:val="nil"/>
              <w:bottom w:val="single" w:sz="4" w:space="0" w:color="auto"/>
              <w:right w:val="single" w:sz="4" w:space="0" w:color="auto"/>
            </w:tcBorders>
            <w:shd w:val="clear" w:color="000000" w:fill="FFFFFF"/>
            <w:noWrap/>
            <w:vAlign w:val="center"/>
            <w:hideMark/>
          </w:tcPr>
          <w:p w14:paraId="73871E74" w14:textId="77777777" w:rsidR="00D54977" w:rsidRPr="00D54977" w:rsidRDefault="00D54977" w:rsidP="00D54977">
            <w:pPr>
              <w:spacing w:line="240" w:lineRule="auto"/>
              <w:rPr>
                <w:rFonts w:eastAsia="Times New Roman" w:cs="Calibri"/>
                <w:b/>
                <w:bCs/>
                <w:color w:val="000000"/>
                <w:sz w:val="20"/>
                <w:szCs w:val="20"/>
                <w:lang w:eastAsia="en-GB"/>
              </w:rPr>
            </w:pPr>
            <w:r w:rsidRPr="00D54977">
              <w:rPr>
                <w:rFonts w:eastAsia="Times New Roman" w:cs="Calibri"/>
                <w:b/>
                <w:bCs/>
                <w:color w:val="000000"/>
                <w:sz w:val="20"/>
                <w:szCs w:val="20"/>
                <w:lang w:eastAsia="en-GB"/>
              </w:rPr>
              <w:t>FUNDING (SURPLUS) / DEFICIT</w:t>
            </w:r>
          </w:p>
        </w:tc>
        <w:tc>
          <w:tcPr>
            <w:tcW w:w="1040" w:type="dxa"/>
            <w:tcBorders>
              <w:top w:val="single" w:sz="4" w:space="0" w:color="auto"/>
              <w:left w:val="nil"/>
              <w:bottom w:val="single" w:sz="4" w:space="0" w:color="auto"/>
              <w:right w:val="single" w:sz="4" w:space="0" w:color="auto"/>
            </w:tcBorders>
            <w:shd w:val="clear" w:color="000000" w:fill="FFDDDD"/>
            <w:noWrap/>
            <w:vAlign w:val="center"/>
            <w:hideMark/>
          </w:tcPr>
          <w:p w14:paraId="21A83F81" w14:textId="73BC8315" w:rsidR="00D54977" w:rsidRPr="00D54977" w:rsidRDefault="00FE20FA" w:rsidP="00D54977">
            <w:pPr>
              <w:spacing w:line="240" w:lineRule="auto"/>
              <w:jc w:val="right"/>
              <w:rPr>
                <w:rFonts w:eastAsia="Times New Roman" w:cs="Calibri"/>
                <w:b/>
                <w:bCs/>
                <w:color w:val="000000"/>
                <w:sz w:val="20"/>
                <w:szCs w:val="20"/>
                <w:lang w:eastAsia="en-GB"/>
              </w:rPr>
            </w:pPr>
            <w:r>
              <w:rPr>
                <w:rFonts w:eastAsia="Times New Roman" w:cs="Calibri"/>
                <w:b/>
                <w:bCs/>
                <w:color w:val="000000"/>
                <w:sz w:val="20"/>
                <w:szCs w:val="20"/>
                <w:lang w:eastAsia="en-GB"/>
              </w:rPr>
              <w:t>-</w:t>
            </w:r>
          </w:p>
        </w:tc>
        <w:tc>
          <w:tcPr>
            <w:tcW w:w="1040" w:type="dxa"/>
            <w:tcBorders>
              <w:top w:val="single" w:sz="4" w:space="0" w:color="auto"/>
              <w:left w:val="nil"/>
              <w:bottom w:val="single" w:sz="4" w:space="0" w:color="auto"/>
              <w:right w:val="single" w:sz="4" w:space="0" w:color="auto"/>
            </w:tcBorders>
            <w:shd w:val="clear" w:color="000000" w:fill="FFDDDD"/>
            <w:noWrap/>
            <w:vAlign w:val="center"/>
            <w:hideMark/>
          </w:tcPr>
          <w:p w14:paraId="4E98F8FA"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1,536</w:t>
            </w:r>
          </w:p>
        </w:tc>
        <w:tc>
          <w:tcPr>
            <w:tcW w:w="1040" w:type="dxa"/>
            <w:tcBorders>
              <w:top w:val="single" w:sz="4" w:space="0" w:color="auto"/>
              <w:left w:val="nil"/>
              <w:bottom w:val="single" w:sz="4" w:space="0" w:color="auto"/>
              <w:right w:val="single" w:sz="4" w:space="0" w:color="auto"/>
            </w:tcBorders>
            <w:shd w:val="clear" w:color="000000" w:fill="FFDDDD"/>
            <w:noWrap/>
            <w:vAlign w:val="center"/>
            <w:hideMark/>
          </w:tcPr>
          <w:p w14:paraId="5D9462BD"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2,228</w:t>
            </w:r>
          </w:p>
        </w:tc>
        <w:tc>
          <w:tcPr>
            <w:tcW w:w="1040" w:type="dxa"/>
            <w:tcBorders>
              <w:top w:val="single" w:sz="4" w:space="0" w:color="auto"/>
              <w:left w:val="nil"/>
              <w:bottom w:val="single" w:sz="4" w:space="0" w:color="auto"/>
              <w:right w:val="single" w:sz="4" w:space="0" w:color="auto"/>
            </w:tcBorders>
            <w:shd w:val="clear" w:color="000000" w:fill="FFDDDD"/>
            <w:noWrap/>
            <w:vAlign w:val="center"/>
            <w:hideMark/>
          </w:tcPr>
          <w:p w14:paraId="209CD749"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2,303</w:t>
            </w:r>
          </w:p>
        </w:tc>
        <w:tc>
          <w:tcPr>
            <w:tcW w:w="1040" w:type="dxa"/>
            <w:tcBorders>
              <w:top w:val="single" w:sz="4" w:space="0" w:color="auto"/>
              <w:left w:val="nil"/>
              <w:bottom w:val="single" w:sz="4" w:space="0" w:color="auto"/>
              <w:right w:val="single" w:sz="4" w:space="0" w:color="auto"/>
            </w:tcBorders>
            <w:shd w:val="clear" w:color="000000" w:fill="FFDDDD"/>
            <w:noWrap/>
            <w:vAlign w:val="center"/>
            <w:hideMark/>
          </w:tcPr>
          <w:p w14:paraId="3BFBD134" w14:textId="77777777" w:rsidR="00D54977" w:rsidRPr="00D54977" w:rsidRDefault="00D54977" w:rsidP="00D54977">
            <w:pPr>
              <w:spacing w:line="240" w:lineRule="auto"/>
              <w:jc w:val="right"/>
              <w:rPr>
                <w:rFonts w:eastAsia="Times New Roman" w:cs="Calibri"/>
                <w:b/>
                <w:bCs/>
                <w:color w:val="000000"/>
                <w:sz w:val="20"/>
                <w:szCs w:val="20"/>
                <w:lang w:eastAsia="en-GB"/>
              </w:rPr>
            </w:pPr>
            <w:r w:rsidRPr="00D54977">
              <w:rPr>
                <w:rFonts w:eastAsia="Times New Roman" w:cs="Calibri"/>
                <w:b/>
                <w:bCs/>
                <w:color w:val="000000"/>
                <w:sz w:val="20"/>
                <w:szCs w:val="20"/>
                <w:lang w:eastAsia="en-GB"/>
              </w:rPr>
              <w:t>1,435</w:t>
            </w:r>
          </w:p>
        </w:tc>
      </w:tr>
      <w:tr w:rsidR="00D54977" w:rsidRPr="00D54977" w14:paraId="0548FA07" w14:textId="77777777" w:rsidTr="00D54977">
        <w:trPr>
          <w:trHeight w:val="435"/>
        </w:trPr>
        <w:tc>
          <w:tcPr>
            <w:tcW w:w="1056" w:type="dxa"/>
            <w:tcBorders>
              <w:top w:val="nil"/>
              <w:left w:val="nil"/>
              <w:bottom w:val="single" w:sz="4" w:space="0" w:color="auto"/>
              <w:right w:val="nil"/>
            </w:tcBorders>
            <w:shd w:val="clear" w:color="000000" w:fill="FFFFFF"/>
            <w:noWrap/>
            <w:vAlign w:val="center"/>
            <w:hideMark/>
          </w:tcPr>
          <w:p w14:paraId="72974984"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center"/>
            <w:hideMark/>
          </w:tcPr>
          <w:p w14:paraId="30EC4FDB" w14:textId="77777777" w:rsidR="00D54977" w:rsidRPr="00D54977" w:rsidRDefault="00D54977" w:rsidP="00D54977">
            <w:pPr>
              <w:spacing w:line="240" w:lineRule="auto"/>
              <w:rPr>
                <w:rFonts w:eastAsia="Times New Roman" w:cs="Calibri"/>
                <w:b/>
                <w:bCs/>
                <w:color w:val="000000"/>
                <w:sz w:val="20"/>
                <w:szCs w:val="20"/>
                <w:lang w:eastAsia="en-GB"/>
              </w:rPr>
            </w:pPr>
            <w:r w:rsidRPr="00D54977">
              <w:rPr>
                <w:rFonts w:eastAsia="Times New Roman" w:cs="Calibri"/>
                <w:b/>
                <w:bCs/>
                <w:color w:val="000000"/>
                <w:sz w:val="20"/>
                <w:szCs w:val="20"/>
                <w:lang w:eastAsia="en-GB"/>
              </w:rPr>
              <w:t>PRECEPT</w:t>
            </w:r>
          </w:p>
        </w:tc>
        <w:tc>
          <w:tcPr>
            <w:tcW w:w="1040" w:type="dxa"/>
            <w:tcBorders>
              <w:top w:val="nil"/>
              <w:left w:val="nil"/>
              <w:bottom w:val="single" w:sz="4" w:space="0" w:color="auto"/>
              <w:right w:val="nil"/>
            </w:tcBorders>
            <w:shd w:val="clear" w:color="000000" w:fill="FFFFFF"/>
            <w:noWrap/>
            <w:vAlign w:val="center"/>
            <w:hideMark/>
          </w:tcPr>
          <w:p w14:paraId="74C0449F"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single" w:sz="4" w:space="0" w:color="auto"/>
              <w:right w:val="nil"/>
            </w:tcBorders>
            <w:shd w:val="clear" w:color="000000" w:fill="FFFFFF"/>
            <w:noWrap/>
            <w:vAlign w:val="center"/>
            <w:hideMark/>
          </w:tcPr>
          <w:p w14:paraId="0F156D38"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single" w:sz="4" w:space="0" w:color="auto"/>
              <w:right w:val="nil"/>
            </w:tcBorders>
            <w:shd w:val="clear" w:color="000000" w:fill="FFFFFF"/>
            <w:noWrap/>
            <w:vAlign w:val="center"/>
            <w:hideMark/>
          </w:tcPr>
          <w:p w14:paraId="440BAEB9"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single" w:sz="4" w:space="0" w:color="auto"/>
              <w:right w:val="nil"/>
            </w:tcBorders>
            <w:shd w:val="clear" w:color="000000" w:fill="FFFFFF"/>
            <w:noWrap/>
            <w:vAlign w:val="center"/>
            <w:hideMark/>
          </w:tcPr>
          <w:p w14:paraId="0F3ABD96"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single" w:sz="4" w:space="0" w:color="auto"/>
              <w:right w:val="nil"/>
            </w:tcBorders>
            <w:shd w:val="clear" w:color="000000" w:fill="FFFFFF"/>
            <w:noWrap/>
            <w:vAlign w:val="center"/>
            <w:hideMark/>
          </w:tcPr>
          <w:p w14:paraId="5B87D6D1"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r>
      <w:tr w:rsidR="00D54977" w:rsidRPr="00D54977" w14:paraId="6E05F2D1" w14:textId="77777777" w:rsidTr="00D54977">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AC99C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£75.39</w:t>
            </w:r>
          </w:p>
        </w:tc>
        <w:tc>
          <w:tcPr>
            <w:tcW w:w="3508" w:type="dxa"/>
            <w:tcBorders>
              <w:top w:val="single" w:sz="4" w:space="0" w:color="auto"/>
              <w:left w:val="nil"/>
              <w:bottom w:val="single" w:sz="4" w:space="0" w:color="auto"/>
              <w:right w:val="single" w:sz="4" w:space="0" w:color="auto"/>
            </w:tcBorders>
            <w:shd w:val="clear" w:color="000000" w:fill="FFFFFF"/>
            <w:noWrap/>
            <w:vAlign w:val="center"/>
            <w:hideMark/>
          </w:tcPr>
          <w:p w14:paraId="07958E0B"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Band D Council Tax</w:t>
            </w:r>
          </w:p>
        </w:tc>
        <w:tc>
          <w:tcPr>
            <w:tcW w:w="1040" w:type="dxa"/>
            <w:tcBorders>
              <w:top w:val="single" w:sz="4" w:space="0" w:color="auto"/>
              <w:left w:val="nil"/>
              <w:bottom w:val="single" w:sz="4" w:space="0" w:color="auto"/>
              <w:right w:val="single" w:sz="4" w:space="0" w:color="auto"/>
            </w:tcBorders>
            <w:shd w:val="clear" w:color="000000" w:fill="FFFFFF"/>
            <w:noWrap/>
            <w:vAlign w:val="center"/>
            <w:hideMark/>
          </w:tcPr>
          <w:p w14:paraId="0F76E86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£80.39</w:t>
            </w:r>
          </w:p>
        </w:tc>
        <w:tc>
          <w:tcPr>
            <w:tcW w:w="1040" w:type="dxa"/>
            <w:tcBorders>
              <w:top w:val="single" w:sz="4" w:space="0" w:color="auto"/>
              <w:left w:val="nil"/>
              <w:bottom w:val="single" w:sz="4" w:space="0" w:color="auto"/>
              <w:right w:val="single" w:sz="4" w:space="0" w:color="auto"/>
            </w:tcBorders>
            <w:shd w:val="clear" w:color="000000" w:fill="FFFFFF"/>
            <w:noWrap/>
            <w:vAlign w:val="center"/>
            <w:hideMark/>
          </w:tcPr>
          <w:p w14:paraId="5FBF92C9"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£82.89</w:t>
            </w:r>
          </w:p>
        </w:tc>
        <w:tc>
          <w:tcPr>
            <w:tcW w:w="1040" w:type="dxa"/>
            <w:tcBorders>
              <w:top w:val="single" w:sz="4" w:space="0" w:color="auto"/>
              <w:left w:val="nil"/>
              <w:bottom w:val="single" w:sz="4" w:space="0" w:color="auto"/>
              <w:right w:val="single" w:sz="4" w:space="0" w:color="auto"/>
            </w:tcBorders>
            <w:shd w:val="clear" w:color="000000" w:fill="FFFFFF"/>
            <w:noWrap/>
            <w:vAlign w:val="center"/>
            <w:hideMark/>
          </w:tcPr>
          <w:p w14:paraId="536F0628"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£85.39</w:t>
            </w:r>
          </w:p>
        </w:tc>
        <w:tc>
          <w:tcPr>
            <w:tcW w:w="1040" w:type="dxa"/>
            <w:tcBorders>
              <w:top w:val="single" w:sz="4" w:space="0" w:color="auto"/>
              <w:left w:val="nil"/>
              <w:bottom w:val="single" w:sz="4" w:space="0" w:color="auto"/>
              <w:right w:val="single" w:sz="4" w:space="0" w:color="auto"/>
            </w:tcBorders>
            <w:shd w:val="clear" w:color="000000" w:fill="FFFFFF"/>
            <w:noWrap/>
            <w:vAlign w:val="center"/>
            <w:hideMark/>
          </w:tcPr>
          <w:p w14:paraId="654BFDE7"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£87.89</w:t>
            </w:r>
          </w:p>
        </w:tc>
        <w:tc>
          <w:tcPr>
            <w:tcW w:w="1040" w:type="dxa"/>
            <w:tcBorders>
              <w:top w:val="single" w:sz="4" w:space="0" w:color="auto"/>
              <w:left w:val="nil"/>
              <w:bottom w:val="single" w:sz="4" w:space="0" w:color="auto"/>
              <w:right w:val="single" w:sz="4" w:space="0" w:color="auto"/>
            </w:tcBorders>
            <w:shd w:val="clear" w:color="000000" w:fill="FFFFFF"/>
            <w:noWrap/>
            <w:vAlign w:val="center"/>
            <w:hideMark/>
          </w:tcPr>
          <w:p w14:paraId="2F586AC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£90.39</w:t>
            </w:r>
          </w:p>
        </w:tc>
      </w:tr>
      <w:tr w:rsidR="00D54977" w:rsidRPr="00D54977" w14:paraId="2EF5D877" w14:textId="77777777" w:rsidTr="00D54977">
        <w:trPr>
          <w:trHeight w:val="300"/>
        </w:trPr>
        <w:tc>
          <w:tcPr>
            <w:tcW w:w="1056" w:type="dxa"/>
            <w:tcBorders>
              <w:top w:val="nil"/>
              <w:left w:val="single" w:sz="4" w:space="0" w:color="auto"/>
              <w:bottom w:val="single" w:sz="4" w:space="0" w:color="auto"/>
              <w:right w:val="single" w:sz="4" w:space="0" w:color="auto"/>
            </w:tcBorders>
            <w:shd w:val="clear" w:color="000000" w:fill="FFFFFF"/>
            <w:noWrap/>
            <w:vAlign w:val="center"/>
            <w:hideMark/>
          </w:tcPr>
          <w:p w14:paraId="75412C8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258,512</w:t>
            </w:r>
          </w:p>
        </w:tc>
        <w:tc>
          <w:tcPr>
            <w:tcW w:w="3508" w:type="dxa"/>
            <w:tcBorders>
              <w:top w:val="nil"/>
              <w:left w:val="nil"/>
              <w:bottom w:val="single" w:sz="4" w:space="0" w:color="auto"/>
              <w:right w:val="single" w:sz="4" w:space="0" w:color="auto"/>
            </w:tcBorders>
            <w:shd w:val="clear" w:color="000000" w:fill="FFFFFF"/>
            <w:noWrap/>
            <w:vAlign w:val="center"/>
            <w:hideMark/>
          </w:tcPr>
          <w:p w14:paraId="6056AAA2"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Tax Base</w:t>
            </w:r>
          </w:p>
        </w:tc>
        <w:tc>
          <w:tcPr>
            <w:tcW w:w="1040" w:type="dxa"/>
            <w:tcBorders>
              <w:top w:val="nil"/>
              <w:left w:val="nil"/>
              <w:bottom w:val="single" w:sz="4" w:space="0" w:color="auto"/>
              <w:right w:val="single" w:sz="4" w:space="0" w:color="auto"/>
            </w:tcBorders>
            <w:shd w:val="clear" w:color="000000" w:fill="FFFFFF"/>
            <w:noWrap/>
            <w:vAlign w:val="center"/>
            <w:hideMark/>
          </w:tcPr>
          <w:p w14:paraId="77DCF678"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263,735</w:t>
            </w:r>
          </w:p>
        </w:tc>
        <w:tc>
          <w:tcPr>
            <w:tcW w:w="1040" w:type="dxa"/>
            <w:tcBorders>
              <w:top w:val="nil"/>
              <w:left w:val="nil"/>
              <w:bottom w:val="single" w:sz="4" w:space="0" w:color="auto"/>
              <w:right w:val="single" w:sz="4" w:space="0" w:color="auto"/>
            </w:tcBorders>
            <w:shd w:val="clear" w:color="000000" w:fill="FFFFFF"/>
            <w:noWrap/>
            <w:vAlign w:val="center"/>
            <w:hideMark/>
          </w:tcPr>
          <w:p w14:paraId="72E84FD4"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267,691</w:t>
            </w:r>
          </w:p>
        </w:tc>
        <w:tc>
          <w:tcPr>
            <w:tcW w:w="1040" w:type="dxa"/>
            <w:tcBorders>
              <w:top w:val="nil"/>
              <w:left w:val="nil"/>
              <w:bottom w:val="single" w:sz="4" w:space="0" w:color="auto"/>
              <w:right w:val="single" w:sz="4" w:space="0" w:color="auto"/>
            </w:tcBorders>
            <w:shd w:val="clear" w:color="000000" w:fill="FFFFFF"/>
            <w:noWrap/>
            <w:vAlign w:val="center"/>
            <w:hideMark/>
          </w:tcPr>
          <w:p w14:paraId="554B6A21"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271,707</w:t>
            </w:r>
          </w:p>
        </w:tc>
        <w:tc>
          <w:tcPr>
            <w:tcW w:w="1040" w:type="dxa"/>
            <w:tcBorders>
              <w:top w:val="nil"/>
              <w:left w:val="nil"/>
              <w:bottom w:val="single" w:sz="4" w:space="0" w:color="auto"/>
              <w:right w:val="single" w:sz="4" w:space="0" w:color="auto"/>
            </w:tcBorders>
            <w:shd w:val="clear" w:color="000000" w:fill="FFFFFF"/>
            <w:noWrap/>
            <w:vAlign w:val="center"/>
            <w:hideMark/>
          </w:tcPr>
          <w:p w14:paraId="49336667"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275,782</w:t>
            </w:r>
          </w:p>
        </w:tc>
        <w:tc>
          <w:tcPr>
            <w:tcW w:w="1040" w:type="dxa"/>
            <w:tcBorders>
              <w:top w:val="nil"/>
              <w:left w:val="nil"/>
              <w:bottom w:val="single" w:sz="4" w:space="0" w:color="auto"/>
              <w:right w:val="single" w:sz="4" w:space="0" w:color="auto"/>
            </w:tcBorders>
            <w:shd w:val="clear" w:color="000000" w:fill="FFFFFF"/>
            <w:noWrap/>
            <w:vAlign w:val="center"/>
            <w:hideMark/>
          </w:tcPr>
          <w:p w14:paraId="53EC654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279,919</w:t>
            </w:r>
          </w:p>
        </w:tc>
      </w:tr>
      <w:tr w:rsidR="00D54977" w:rsidRPr="00D54977" w14:paraId="11387CCF" w14:textId="77777777" w:rsidTr="00D54977">
        <w:trPr>
          <w:trHeight w:val="300"/>
        </w:trPr>
        <w:tc>
          <w:tcPr>
            <w:tcW w:w="1056" w:type="dxa"/>
            <w:tcBorders>
              <w:top w:val="nil"/>
              <w:left w:val="nil"/>
              <w:bottom w:val="nil"/>
              <w:right w:val="nil"/>
            </w:tcBorders>
            <w:shd w:val="clear" w:color="000000" w:fill="FFFFFF"/>
            <w:noWrap/>
            <w:vAlign w:val="center"/>
            <w:hideMark/>
          </w:tcPr>
          <w:p w14:paraId="287E2340"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center"/>
            <w:hideMark/>
          </w:tcPr>
          <w:p w14:paraId="0A1B15CF"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4C206B95"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12CC149D"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3A3F8A93"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32B40471"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nil"/>
              <w:right w:val="nil"/>
            </w:tcBorders>
            <w:shd w:val="clear" w:color="000000" w:fill="FFFFFF"/>
            <w:noWrap/>
            <w:vAlign w:val="center"/>
            <w:hideMark/>
          </w:tcPr>
          <w:p w14:paraId="3F1B3120"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r>
      <w:tr w:rsidR="00D54977" w:rsidRPr="00D54977" w14:paraId="3CDE5991" w14:textId="77777777" w:rsidTr="00D54977">
        <w:trPr>
          <w:trHeight w:val="300"/>
        </w:trPr>
        <w:tc>
          <w:tcPr>
            <w:tcW w:w="1056" w:type="dxa"/>
            <w:tcBorders>
              <w:top w:val="nil"/>
              <w:left w:val="nil"/>
              <w:bottom w:val="nil"/>
              <w:right w:val="nil"/>
            </w:tcBorders>
            <w:shd w:val="clear" w:color="000000" w:fill="FFFFFF"/>
            <w:noWrap/>
            <w:vAlign w:val="center"/>
            <w:hideMark/>
          </w:tcPr>
          <w:p w14:paraId="3F18BF0E"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center"/>
            <w:hideMark/>
          </w:tcPr>
          <w:p w14:paraId="33665C38" w14:textId="77777777" w:rsidR="00D54977" w:rsidRPr="00D54977" w:rsidRDefault="00D54977" w:rsidP="00D54977">
            <w:pPr>
              <w:spacing w:line="240" w:lineRule="auto"/>
              <w:rPr>
                <w:rFonts w:eastAsia="Times New Roman" w:cs="Calibri"/>
                <w:b/>
                <w:bCs/>
                <w:color w:val="000000"/>
                <w:sz w:val="20"/>
                <w:szCs w:val="20"/>
                <w:lang w:eastAsia="en-GB"/>
              </w:rPr>
            </w:pPr>
            <w:r w:rsidRPr="00D54977">
              <w:rPr>
                <w:rFonts w:eastAsia="Times New Roman" w:cs="Calibri"/>
                <w:b/>
                <w:bCs/>
                <w:color w:val="000000"/>
                <w:sz w:val="20"/>
                <w:szCs w:val="20"/>
                <w:lang w:eastAsia="en-GB"/>
              </w:rPr>
              <w:t>ASSUMPTIONS</w:t>
            </w:r>
          </w:p>
        </w:tc>
        <w:tc>
          <w:tcPr>
            <w:tcW w:w="1040" w:type="dxa"/>
            <w:tcBorders>
              <w:top w:val="nil"/>
              <w:left w:val="nil"/>
              <w:bottom w:val="single" w:sz="4" w:space="0" w:color="auto"/>
              <w:right w:val="nil"/>
            </w:tcBorders>
            <w:shd w:val="clear" w:color="000000" w:fill="FFFFFF"/>
            <w:noWrap/>
            <w:vAlign w:val="center"/>
            <w:hideMark/>
          </w:tcPr>
          <w:p w14:paraId="78ECABE7"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single" w:sz="4" w:space="0" w:color="auto"/>
              <w:right w:val="nil"/>
            </w:tcBorders>
            <w:shd w:val="clear" w:color="000000" w:fill="FFFFFF"/>
            <w:noWrap/>
            <w:vAlign w:val="center"/>
            <w:hideMark/>
          </w:tcPr>
          <w:p w14:paraId="2A8BBBC6"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single" w:sz="4" w:space="0" w:color="auto"/>
              <w:right w:val="nil"/>
            </w:tcBorders>
            <w:shd w:val="clear" w:color="000000" w:fill="FFFFFF"/>
            <w:noWrap/>
            <w:vAlign w:val="center"/>
            <w:hideMark/>
          </w:tcPr>
          <w:p w14:paraId="4DAF6256"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single" w:sz="4" w:space="0" w:color="auto"/>
              <w:right w:val="nil"/>
            </w:tcBorders>
            <w:shd w:val="clear" w:color="000000" w:fill="FFFFFF"/>
            <w:noWrap/>
            <w:vAlign w:val="center"/>
            <w:hideMark/>
          </w:tcPr>
          <w:p w14:paraId="5C5C5B0D"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1040" w:type="dxa"/>
            <w:tcBorders>
              <w:top w:val="nil"/>
              <w:left w:val="nil"/>
              <w:bottom w:val="single" w:sz="4" w:space="0" w:color="auto"/>
              <w:right w:val="nil"/>
            </w:tcBorders>
            <w:shd w:val="clear" w:color="000000" w:fill="FFFFFF"/>
            <w:noWrap/>
            <w:vAlign w:val="center"/>
            <w:hideMark/>
          </w:tcPr>
          <w:p w14:paraId="5E1DEB72"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r>
      <w:tr w:rsidR="00D54977" w:rsidRPr="00D54977" w14:paraId="40E63625" w14:textId="77777777" w:rsidTr="00D54977">
        <w:trPr>
          <w:trHeight w:val="300"/>
        </w:trPr>
        <w:tc>
          <w:tcPr>
            <w:tcW w:w="1056" w:type="dxa"/>
            <w:tcBorders>
              <w:top w:val="nil"/>
              <w:left w:val="nil"/>
              <w:bottom w:val="nil"/>
              <w:right w:val="nil"/>
            </w:tcBorders>
            <w:shd w:val="clear" w:color="000000" w:fill="FFFFFF"/>
            <w:noWrap/>
            <w:vAlign w:val="center"/>
            <w:hideMark/>
          </w:tcPr>
          <w:p w14:paraId="391EF1C2"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single" w:sz="4" w:space="0" w:color="auto"/>
              <w:left w:val="single" w:sz="4" w:space="0" w:color="auto"/>
              <w:bottom w:val="nil"/>
              <w:right w:val="single" w:sz="4" w:space="0" w:color="auto"/>
            </w:tcBorders>
            <w:shd w:val="clear" w:color="000000" w:fill="FFFFFF"/>
            <w:noWrap/>
            <w:vAlign w:val="center"/>
            <w:hideMark/>
          </w:tcPr>
          <w:p w14:paraId="732D7065"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Other Grants</w:t>
            </w:r>
          </w:p>
        </w:tc>
        <w:tc>
          <w:tcPr>
            <w:tcW w:w="1040" w:type="dxa"/>
            <w:tcBorders>
              <w:top w:val="single" w:sz="4" w:space="0" w:color="auto"/>
              <w:left w:val="nil"/>
              <w:bottom w:val="nil"/>
              <w:right w:val="single" w:sz="4" w:space="0" w:color="auto"/>
            </w:tcBorders>
            <w:shd w:val="clear" w:color="000000" w:fill="FFFFFF"/>
            <w:noWrap/>
            <w:vAlign w:val="center"/>
            <w:hideMark/>
          </w:tcPr>
          <w:p w14:paraId="313DD97D"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0.00%</w:t>
            </w:r>
          </w:p>
        </w:tc>
        <w:tc>
          <w:tcPr>
            <w:tcW w:w="1040" w:type="dxa"/>
            <w:tcBorders>
              <w:top w:val="single" w:sz="4" w:space="0" w:color="auto"/>
              <w:left w:val="nil"/>
              <w:bottom w:val="nil"/>
              <w:right w:val="single" w:sz="4" w:space="0" w:color="auto"/>
            </w:tcBorders>
            <w:shd w:val="clear" w:color="000000" w:fill="FFFFFF"/>
            <w:noWrap/>
            <w:vAlign w:val="center"/>
            <w:hideMark/>
          </w:tcPr>
          <w:p w14:paraId="2CCD618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0.00%</w:t>
            </w:r>
          </w:p>
        </w:tc>
        <w:tc>
          <w:tcPr>
            <w:tcW w:w="1040" w:type="dxa"/>
            <w:tcBorders>
              <w:top w:val="single" w:sz="4" w:space="0" w:color="auto"/>
              <w:left w:val="nil"/>
              <w:bottom w:val="nil"/>
              <w:right w:val="single" w:sz="4" w:space="0" w:color="auto"/>
            </w:tcBorders>
            <w:shd w:val="clear" w:color="000000" w:fill="FFFFFF"/>
            <w:noWrap/>
            <w:vAlign w:val="center"/>
            <w:hideMark/>
          </w:tcPr>
          <w:p w14:paraId="5E2479E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0.00%</w:t>
            </w:r>
          </w:p>
        </w:tc>
        <w:tc>
          <w:tcPr>
            <w:tcW w:w="1040" w:type="dxa"/>
            <w:tcBorders>
              <w:top w:val="single" w:sz="4" w:space="0" w:color="auto"/>
              <w:left w:val="nil"/>
              <w:bottom w:val="nil"/>
              <w:right w:val="single" w:sz="4" w:space="0" w:color="auto"/>
            </w:tcBorders>
            <w:shd w:val="clear" w:color="000000" w:fill="FFFFFF"/>
            <w:noWrap/>
            <w:vAlign w:val="center"/>
            <w:hideMark/>
          </w:tcPr>
          <w:p w14:paraId="38663DC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0.00%</w:t>
            </w:r>
          </w:p>
        </w:tc>
        <w:tc>
          <w:tcPr>
            <w:tcW w:w="1040" w:type="dxa"/>
            <w:tcBorders>
              <w:top w:val="single" w:sz="4" w:space="0" w:color="auto"/>
              <w:left w:val="nil"/>
              <w:bottom w:val="nil"/>
              <w:right w:val="single" w:sz="4" w:space="0" w:color="auto"/>
            </w:tcBorders>
            <w:shd w:val="clear" w:color="000000" w:fill="FFFFFF"/>
            <w:noWrap/>
            <w:vAlign w:val="center"/>
            <w:hideMark/>
          </w:tcPr>
          <w:p w14:paraId="455DF754"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0.00%</w:t>
            </w:r>
          </w:p>
        </w:tc>
      </w:tr>
      <w:tr w:rsidR="00D54977" w:rsidRPr="00D54977" w14:paraId="3F45138B" w14:textId="77777777" w:rsidTr="00D54977">
        <w:trPr>
          <w:trHeight w:val="300"/>
        </w:trPr>
        <w:tc>
          <w:tcPr>
            <w:tcW w:w="1056" w:type="dxa"/>
            <w:tcBorders>
              <w:top w:val="nil"/>
              <w:left w:val="nil"/>
              <w:bottom w:val="nil"/>
              <w:right w:val="nil"/>
            </w:tcBorders>
            <w:shd w:val="clear" w:color="000000" w:fill="FFFFFF"/>
            <w:noWrap/>
            <w:vAlign w:val="center"/>
            <w:hideMark/>
          </w:tcPr>
          <w:p w14:paraId="5AB8011B"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single" w:sz="4" w:space="0" w:color="auto"/>
              <w:bottom w:val="nil"/>
              <w:right w:val="single" w:sz="4" w:space="0" w:color="auto"/>
            </w:tcBorders>
            <w:shd w:val="clear" w:color="000000" w:fill="FFFFFF"/>
            <w:noWrap/>
            <w:vAlign w:val="center"/>
            <w:hideMark/>
          </w:tcPr>
          <w:p w14:paraId="600F5694"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Revenue Support Grant</w:t>
            </w:r>
          </w:p>
        </w:tc>
        <w:tc>
          <w:tcPr>
            <w:tcW w:w="1040" w:type="dxa"/>
            <w:tcBorders>
              <w:top w:val="nil"/>
              <w:left w:val="nil"/>
              <w:bottom w:val="nil"/>
              <w:right w:val="single" w:sz="4" w:space="0" w:color="auto"/>
            </w:tcBorders>
            <w:shd w:val="clear" w:color="000000" w:fill="FFFFFF"/>
            <w:noWrap/>
            <w:vAlign w:val="center"/>
            <w:hideMark/>
          </w:tcPr>
          <w:p w14:paraId="4779499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1.70%</w:t>
            </w:r>
          </w:p>
        </w:tc>
        <w:tc>
          <w:tcPr>
            <w:tcW w:w="1040" w:type="dxa"/>
            <w:tcBorders>
              <w:top w:val="nil"/>
              <w:left w:val="nil"/>
              <w:bottom w:val="nil"/>
              <w:right w:val="single" w:sz="4" w:space="0" w:color="auto"/>
            </w:tcBorders>
            <w:shd w:val="clear" w:color="000000" w:fill="FFFFFF"/>
            <w:noWrap/>
            <w:vAlign w:val="center"/>
            <w:hideMark/>
          </w:tcPr>
          <w:p w14:paraId="13087621"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nil"/>
              <w:right w:val="single" w:sz="4" w:space="0" w:color="auto"/>
            </w:tcBorders>
            <w:shd w:val="clear" w:color="000000" w:fill="FFFFFF"/>
            <w:noWrap/>
            <w:vAlign w:val="center"/>
            <w:hideMark/>
          </w:tcPr>
          <w:p w14:paraId="46A88EC7"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nil"/>
              <w:right w:val="single" w:sz="4" w:space="0" w:color="auto"/>
            </w:tcBorders>
            <w:shd w:val="clear" w:color="000000" w:fill="FFFFFF"/>
            <w:noWrap/>
            <w:vAlign w:val="center"/>
            <w:hideMark/>
          </w:tcPr>
          <w:p w14:paraId="4B7A4A60"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nil"/>
              <w:right w:val="single" w:sz="4" w:space="0" w:color="auto"/>
            </w:tcBorders>
            <w:shd w:val="clear" w:color="000000" w:fill="FFFFFF"/>
            <w:noWrap/>
            <w:vAlign w:val="center"/>
            <w:hideMark/>
          </w:tcPr>
          <w:p w14:paraId="2D8415CD"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r>
      <w:tr w:rsidR="00D54977" w:rsidRPr="00D54977" w14:paraId="48CEEF75" w14:textId="77777777" w:rsidTr="00D54977">
        <w:trPr>
          <w:trHeight w:val="300"/>
        </w:trPr>
        <w:tc>
          <w:tcPr>
            <w:tcW w:w="1056" w:type="dxa"/>
            <w:tcBorders>
              <w:top w:val="nil"/>
              <w:left w:val="nil"/>
              <w:bottom w:val="nil"/>
              <w:right w:val="nil"/>
            </w:tcBorders>
            <w:shd w:val="clear" w:color="000000" w:fill="FFFFFF"/>
            <w:noWrap/>
            <w:vAlign w:val="center"/>
            <w:hideMark/>
          </w:tcPr>
          <w:p w14:paraId="580B8C91"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single" w:sz="4" w:space="0" w:color="auto"/>
              <w:bottom w:val="nil"/>
              <w:right w:val="single" w:sz="4" w:space="0" w:color="auto"/>
            </w:tcBorders>
            <w:shd w:val="clear" w:color="000000" w:fill="FFFFFF"/>
            <w:noWrap/>
            <w:vAlign w:val="center"/>
            <w:hideMark/>
          </w:tcPr>
          <w:p w14:paraId="4E1C850B"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Business Rates</w:t>
            </w:r>
          </w:p>
        </w:tc>
        <w:tc>
          <w:tcPr>
            <w:tcW w:w="1040" w:type="dxa"/>
            <w:tcBorders>
              <w:top w:val="nil"/>
              <w:left w:val="nil"/>
              <w:bottom w:val="nil"/>
              <w:right w:val="single" w:sz="4" w:space="0" w:color="auto"/>
            </w:tcBorders>
            <w:shd w:val="clear" w:color="000000" w:fill="FFFFFF"/>
            <w:noWrap/>
            <w:vAlign w:val="center"/>
            <w:hideMark/>
          </w:tcPr>
          <w:p w14:paraId="3728E631"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1.70%</w:t>
            </w:r>
          </w:p>
        </w:tc>
        <w:tc>
          <w:tcPr>
            <w:tcW w:w="1040" w:type="dxa"/>
            <w:tcBorders>
              <w:top w:val="nil"/>
              <w:left w:val="nil"/>
              <w:bottom w:val="nil"/>
              <w:right w:val="single" w:sz="4" w:space="0" w:color="auto"/>
            </w:tcBorders>
            <w:shd w:val="clear" w:color="000000" w:fill="FFFFFF"/>
            <w:noWrap/>
            <w:vAlign w:val="center"/>
            <w:hideMark/>
          </w:tcPr>
          <w:p w14:paraId="3713AE8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nil"/>
              <w:right w:val="single" w:sz="4" w:space="0" w:color="auto"/>
            </w:tcBorders>
            <w:shd w:val="clear" w:color="000000" w:fill="FFFFFF"/>
            <w:noWrap/>
            <w:vAlign w:val="center"/>
            <w:hideMark/>
          </w:tcPr>
          <w:p w14:paraId="091C65BD"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nil"/>
              <w:right w:val="single" w:sz="4" w:space="0" w:color="auto"/>
            </w:tcBorders>
            <w:shd w:val="clear" w:color="000000" w:fill="FFFFFF"/>
            <w:noWrap/>
            <w:vAlign w:val="center"/>
            <w:hideMark/>
          </w:tcPr>
          <w:p w14:paraId="2177C992"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nil"/>
              <w:right w:val="single" w:sz="4" w:space="0" w:color="auto"/>
            </w:tcBorders>
            <w:shd w:val="clear" w:color="000000" w:fill="FFFFFF"/>
            <w:noWrap/>
            <w:vAlign w:val="center"/>
            <w:hideMark/>
          </w:tcPr>
          <w:p w14:paraId="0B7CAB93"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r>
      <w:tr w:rsidR="00D54977" w:rsidRPr="00D54977" w14:paraId="26B328B4" w14:textId="77777777" w:rsidTr="00D54977">
        <w:trPr>
          <w:trHeight w:val="300"/>
        </w:trPr>
        <w:tc>
          <w:tcPr>
            <w:tcW w:w="1056" w:type="dxa"/>
            <w:tcBorders>
              <w:top w:val="nil"/>
              <w:left w:val="nil"/>
              <w:bottom w:val="nil"/>
              <w:right w:val="nil"/>
            </w:tcBorders>
            <w:shd w:val="clear" w:color="000000" w:fill="FFFFFF"/>
            <w:noWrap/>
            <w:vAlign w:val="center"/>
            <w:hideMark/>
          </w:tcPr>
          <w:p w14:paraId="45C5392A"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single" w:sz="4" w:space="0" w:color="auto"/>
              <w:bottom w:val="nil"/>
              <w:right w:val="single" w:sz="4" w:space="0" w:color="auto"/>
            </w:tcBorders>
            <w:shd w:val="clear" w:color="000000" w:fill="FFFFFF"/>
            <w:noWrap/>
            <w:vAlign w:val="center"/>
            <w:hideMark/>
          </w:tcPr>
          <w:p w14:paraId="3A2EDC0C"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Precept (%)</w:t>
            </w:r>
          </w:p>
        </w:tc>
        <w:tc>
          <w:tcPr>
            <w:tcW w:w="1040" w:type="dxa"/>
            <w:tcBorders>
              <w:top w:val="nil"/>
              <w:left w:val="nil"/>
              <w:bottom w:val="nil"/>
              <w:right w:val="single" w:sz="4" w:space="0" w:color="auto"/>
            </w:tcBorders>
            <w:shd w:val="clear" w:color="000000" w:fill="FFFFFF"/>
            <w:noWrap/>
            <w:vAlign w:val="center"/>
            <w:hideMark/>
          </w:tcPr>
          <w:p w14:paraId="32BC7F64"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6.63%</w:t>
            </w:r>
          </w:p>
        </w:tc>
        <w:tc>
          <w:tcPr>
            <w:tcW w:w="1040" w:type="dxa"/>
            <w:tcBorders>
              <w:top w:val="nil"/>
              <w:left w:val="nil"/>
              <w:bottom w:val="nil"/>
              <w:right w:val="single" w:sz="4" w:space="0" w:color="auto"/>
            </w:tcBorders>
            <w:shd w:val="clear" w:color="000000" w:fill="FFFFFF"/>
            <w:noWrap/>
            <w:vAlign w:val="center"/>
            <w:hideMark/>
          </w:tcPr>
          <w:p w14:paraId="047000A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3.11%</w:t>
            </w:r>
          </w:p>
        </w:tc>
        <w:tc>
          <w:tcPr>
            <w:tcW w:w="1040" w:type="dxa"/>
            <w:tcBorders>
              <w:top w:val="nil"/>
              <w:left w:val="nil"/>
              <w:bottom w:val="nil"/>
              <w:right w:val="single" w:sz="4" w:space="0" w:color="auto"/>
            </w:tcBorders>
            <w:shd w:val="clear" w:color="000000" w:fill="FFFFFF"/>
            <w:noWrap/>
            <w:vAlign w:val="center"/>
            <w:hideMark/>
          </w:tcPr>
          <w:p w14:paraId="57D62B5C"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3.02%</w:t>
            </w:r>
          </w:p>
        </w:tc>
        <w:tc>
          <w:tcPr>
            <w:tcW w:w="1040" w:type="dxa"/>
            <w:tcBorders>
              <w:top w:val="nil"/>
              <w:left w:val="nil"/>
              <w:bottom w:val="nil"/>
              <w:right w:val="single" w:sz="4" w:space="0" w:color="auto"/>
            </w:tcBorders>
            <w:shd w:val="clear" w:color="000000" w:fill="FFFFFF"/>
            <w:noWrap/>
            <w:vAlign w:val="center"/>
            <w:hideMark/>
          </w:tcPr>
          <w:p w14:paraId="4E4A4BB4"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2.93%</w:t>
            </w:r>
          </w:p>
        </w:tc>
        <w:tc>
          <w:tcPr>
            <w:tcW w:w="1040" w:type="dxa"/>
            <w:tcBorders>
              <w:top w:val="nil"/>
              <w:left w:val="nil"/>
              <w:bottom w:val="nil"/>
              <w:right w:val="single" w:sz="4" w:space="0" w:color="auto"/>
            </w:tcBorders>
            <w:shd w:val="clear" w:color="000000" w:fill="FFFFFF"/>
            <w:noWrap/>
            <w:vAlign w:val="center"/>
            <w:hideMark/>
          </w:tcPr>
          <w:p w14:paraId="134705B8"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2.84%</w:t>
            </w:r>
          </w:p>
        </w:tc>
      </w:tr>
      <w:tr w:rsidR="00D54977" w:rsidRPr="00D54977" w14:paraId="7E0EC008" w14:textId="77777777" w:rsidTr="00D54977">
        <w:trPr>
          <w:trHeight w:val="300"/>
        </w:trPr>
        <w:tc>
          <w:tcPr>
            <w:tcW w:w="1056" w:type="dxa"/>
            <w:tcBorders>
              <w:top w:val="nil"/>
              <w:left w:val="nil"/>
              <w:bottom w:val="nil"/>
              <w:right w:val="nil"/>
            </w:tcBorders>
            <w:shd w:val="clear" w:color="000000" w:fill="FFFFFF"/>
            <w:noWrap/>
            <w:vAlign w:val="center"/>
            <w:hideMark/>
          </w:tcPr>
          <w:p w14:paraId="422D5875"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single" w:sz="4" w:space="0" w:color="auto"/>
              <w:bottom w:val="nil"/>
              <w:right w:val="single" w:sz="4" w:space="0" w:color="auto"/>
            </w:tcBorders>
            <w:shd w:val="clear" w:color="000000" w:fill="FFFFFF"/>
            <w:noWrap/>
            <w:vAlign w:val="center"/>
            <w:hideMark/>
          </w:tcPr>
          <w:p w14:paraId="60A75CE4"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Precept (£)</w:t>
            </w:r>
          </w:p>
        </w:tc>
        <w:tc>
          <w:tcPr>
            <w:tcW w:w="1040" w:type="dxa"/>
            <w:tcBorders>
              <w:top w:val="nil"/>
              <w:left w:val="nil"/>
              <w:bottom w:val="nil"/>
              <w:right w:val="single" w:sz="4" w:space="0" w:color="auto"/>
            </w:tcBorders>
            <w:shd w:val="clear" w:color="000000" w:fill="FFFFFF"/>
            <w:noWrap/>
            <w:vAlign w:val="center"/>
            <w:hideMark/>
          </w:tcPr>
          <w:p w14:paraId="0FA36F3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£5.00</w:t>
            </w:r>
          </w:p>
        </w:tc>
        <w:tc>
          <w:tcPr>
            <w:tcW w:w="1040" w:type="dxa"/>
            <w:tcBorders>
              <w:top w:val="nil"/>
              <w:left w:val="nil"/>
              <w:bottom w:val="nil"/>
              <w:right w:val="single" w:sz="4" w:space="0" w:color="auto"/>
            </w:tcBorders>
            <w:shd w:val="clear" w:color="000000" w:fill="FFFFFF"/>
            <w:noWrap/>
            <w:vAlign w:val="center"/>
            <w:hideMark/>
          </w:tcPr>
          <w:p w14:paraId="0BEF8441"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£2.50</w:t>
            </w:r>
          </w:p>
        </w:tc>
        <w:tc>
          <w:tcPr>
            <w:tcW w:w="1040" w:type="dxa"/>
            <w:tcBorders>
              <w:top w:val="nil"/>
              <w:left w:val="nil"/>
              <w:bottom w:val="nil"/>
              <w:right w:val="single" w:sz="4" w:space="0" w:color="auto"/>
            </w:tcBorders>
            <w:shd w:val="clear" w:color="000000" w:fill="FFFFFF"/>
            <w:noWrap/>
            <w:vAlign w:val="center"/>
            <w:hideMark/>
          </w:tcPr>
          <w:p w14:paraId="7EB1663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£2.50</w:t>
            </w:r>
          </w:p>
        </w:tc>
        <w:tc>
          <w:tcPr>
            <w:tcW w:w="1040" w:type="dxa"/>
            <w:tcBorders>
              <w:top w:val="nil"/>
              <w:left w:val="nil"/>
              <w:bottom w:val="nil"/>
              <w:right w:val="single" w:sz="4" w:space="0" w:color="auto"/>
            </w:tcBorders>
            <w:shd w:val="clear" w:color="000000" w:fill="FFFFFF"/>
            <w:noWrap/>
            <w:vAlign w:val="center"/>
            <w:hideMark/>
          </w:tcPr>
          <w:p w14:paraId="76AB131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£2.50</w:t>
            </w:r>
          </w:p>
        </w:tc>
        <w:tc>
          <w:tcPr>
            <w:tcW w:w="1040" w:type="dxa"/>
            <w:tcBorders>
              <w:top w:val="nil"/>
              <w:left w:val="nil"/>
              <w:bottom w:val="nil"/>
              <w:right w:val="single" w:sz="4" w:space="0" w:color="auto"/>
            </w:tcBorders>
            <w:shd w:val="clear" w:color="000000" w:fill="FFFFFF"/>
            <w:noWrap/>
            <w:vAlign w:val="center"/>
            <w:hideMark/>
          </w:tcPr>
          <w:p w14:paraId="1C081B5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£2.50</w:t>
            </w:r>
          </w:p>
        </w:tc>
      </w:tr>
      <w:tr w:rsidR="00D54977" w:rsidRPr="00D54977" w14:paraId="047FEAB6" w14:textId="77777777" w:rsidTr="00D54977">
        <w:trPr>
          <w:trHeight w:val="300"/>
        </w:trPr>
        <w:tc>
          <w:tcPr>
            <w:tcW w:w="1056" w:type="dxa"/>
            <w:tcBorders>
              <w:top w:val="nil"/>
              <w:left w:val="nil"/>
              <w:bottom w:val="nil"/>
              <w:right w:val="nil"/>
            </w:tcBorders>
            <w:shd w:val="clear" w:color="000000" w:fill="FFFFFF"/>
            <w:noWrap/>
            <w:vAlign w:val="center"/>
            <w:hideMark/>
          </w:tcPr>
          <w:p w14:paraId="16E9FFC6"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single" w:sz="4" w:space="0" w:color="auto"/>
              <w:bottom w:val="nil"/>
              <w:right w:val="single" w:sz="4" w:space="0" w:color="auto"/>
            </w:tcBorders>
            <w:shd w:val="clear" w:color="000000" w:fill="FFFFFF"/>
            <w:noWrap/>
            <w:vAlign w:val="center"/>
            <w:hideMark/>
          </w:tcPr>
          <w:p w14:paraId="2A0614FD"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Tax Base Increase</w:t>
            </w:r>
          </w:p>
        </w:tc>
        <w:tc>
          <w:tcPr>
            <w:tcW w:w="1040" w:type="dxa"/>
            <w:tcBorders>
              <w:top w:val="nil"/>
              <w:left w:val="nil"/>
              <w:bottom w:val="nil"/>
              <w:right w:val="single" w:sz="4" w:space="0" w:color="auto"/>
            </w:tcBorders>
            <w:shd w:val="clear" w:color="000000" w:fill="FFFFFF"/>
            <w:noWrap/>
            <w:vAlign w:val="center"/>
            <w:hideMark/>
          </w:tcPr>
          <w:p w14:paraId="46600161"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1.96%</w:t>
            </w:r>
          </w:p>
        </w:tc>
        <w:tc>
          <w:tcPr>
            <w:tcW w:w="1040" w:type="dxa"/>
            <w:tcBorders>
              <w:top w:val="nil"/>
              <w:left w:val="nil"/>
              <w:bottom w:val="nil"/>
              <w:right w:val="single" w:sz="4" w:space="0" w:color="auto"/>
            </w:tcBorders>
            <w:shd w:val="clear" w:color="000000" w:fill="FFFFFF"/>
            <w:noWrap/>
            <w:vAlign w:val="center"/>
            <w:hideMark/>
          </w:tcPr>
          <w:p w14:paraId="6C21CD6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1.50%</w:t>
            </w:r>
          </w:p>
        </w:tc>
        <w:tc>
          <w:tcPr>
            <w:tcW w:w="1040" w:type="dxa"/>
            <w:tcBorders>
              <w:top w:val="nil"/>
              <w:left w:val="nil"/>
              <w:bottom w:val="nil"/>
              <w:right w:val="single" w:sz="4" w:space="0" w:color="auto"/>
            </w:tcBorders>
            <w:shd w:val="clear" w:color="000000" w:fill="FFFFFF"/>
            <w:noWrap/>
            <w:vAlign w:val="center"/>
            <w:hideMark/>
          </w:tcPr>
          <w:p w14:paraId="67D239E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1.50%</w:t>
            </w:r>
          </w:p>
        </w:tc>
        <w:tc>
          <w:tcPr>
            <w:tcW w:w="1040" w:type="dxa"/>
            <w:tcBorders>
              <w:top w:val="nil"/>
              <w:left w:val="nil"/>
              <w:bottom w:val="nil"/>
              <w:right w:val="single" w:sz="4" w:space="0" w:color="auto"/>
            </w:tcBorders>
            <w:shd w:val="clear" w:color="000000" w:fill="FFFFFF"/>
            <w:noWrap/>
            <w:vAlign w:val="center"/>
            <w:hideMark/>
          </w:tcPr>
          <w:p w14:paraId="0704C11E"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1.50%</w:t>
            </w:r>
          </w:p>
        </w:tc>
        <w:tc>
          <w:tcPr>
            <w:tcW w:w="1040" w:type="dxa"/>
            <w:tcBorders>
              <w:top w:val="nil"/>
              <w:left w:val="nil"/>
              <w:bottom w:val="nil"/>
              <w:right w:val="single" w:sz="4" w:space="0" w:color="auto"/>
            </w:tcBorders>
            <w:shd w:val="clear" w:color="000000" w:fill="FFFFFF"/>
            <w:noWrap/>
            <w:vAlign w:val="center"/>
            <w:hideMark/>
          </w:tcPr>
          <w:p w14:paraId="5C716015"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1.50%</w:t>
            </w:r>
          </w:p>
        </w:tc>
      </w:tr>
      <w:tr w:rsidR="00D54977" w:rsidRPr="00D54977" w14:paraId="336BE34E" w14:textId="77777777" w:rsidTr="00D54977">
        <w:trPr>
          <w:trHeight w:val="300"/>
        </w:trPr>
        <w:tc>
          <w:tcPr>
            <w:tcW w:w="1056" w:type="dxa"/>
            <w:tcBorders>
              <w:top w:val="nil"/>
              <w:left w:val="nil"/>
              <w:bottom w:val="nil"/>
              <w:right w:val="nil"/>
            </w:tcBorders>
            <w:shd w:val="clear" w:color="000000" w:fill="FFFFFF"/>
            <w:noWrap/>
            <w:vAlign w:val="center"/>
            <w:hideMark/>
          </w:tcPr>
          <w:p w14:paraId="3A5BFCDE"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single" w:sz="4" w:space="0" w:color="auto"/>
              <w:bottom w:val="nil"/>
              <w:right w:val="single" w:sz="4" w:space="0" w:color="auto"/>
            </w:tcBorders>
            <w:shd w:val="clear" w:color="000000" w:fill="FFFFFF"/>
            <w:noWrap/>
            <w:vAlign w:val="center"/>
            <w:hideMark/>
          </w:tcPr>
          <w:p w14:paraId="7600A5B0"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Pay Awards</w:t>
            </w:r>
          </w:p>
        </w:tc>
        <w:tc>
          <w:tcPr>
            <w:tcW w:w="1040" w:type="dxa"/>
            <w:tcBorders>
              <w:top w:val="nil"/>
              <w:left w:val="nil"/>
              <w:bottom w:val="nil"/>
              <w:right w:val="single" w:sz="4" w:space="0" w:color="auto"/>
            </w:tcBorders>
            <w:shd w:val="clear" w:color="000000" w:fill="FFFFFF"/>
            <w:noWrap/>
            <w:vAlign w:val="center"/>
            <w:hideMark/>
          </w:tcPr>
          <w:p w14:paraId="11E1575D"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2.00%</w:t>
            </w:r>
          </w:p>
        </w:tc>
        <w:tc>
          <w:tcPr>
            <w:tcW w:w="1040" w:type="dxa"/>
            <w:tcBorders>
              <w:top w:val="nil"/>
              <w:left w:val="nil"/>
              <w:bottom w:val="nil"/>
              <w:right w:val="single" w:sz="4" w:space="0" w:color="auto"/>
            </w:tcBorders>
            <w:shd w:val="clear" w:color="000000" w:fill="FFFFFF"/>
            <w:noWrap/>
            <w:vAlign w:val="center"/>
            <w:hideMark/>
          </w:tcPr>
          <w:p w14:paraId="0CE1392B"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2.00%</w:t>
            </w:r>
          </w:p>
        </w:tc>
        <w:tc>
          <w:tcPr>
            <w:tcW w:w="1040" w:type="dxa"/>
            <w:tcBorders>
              <w:top w:val="nil"/>
              <w:left w:val="nil"/>
              <w:bottom w:val="nil"/>
              <w:right w:val="single" w:sz="4" w:space="0" w:color="auto"/>
            </w:tcBorders>
            <w:shd w:val="clear" w:color="000000" w:fill="FFFFFF"/>
            <w:noWrap/>
            <w:vAlign w:val="center"/>
            <w:hideMark/>
          </w:tcPr>
          <w:p w14:paraId="375AEAC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2.00%</w:t>
            </w:r>
          </w:p>
        </w:tc>
        <w:tc>
          <w:tcPr>
            <w:tcW w:w="1040" w:type="dxa"/>
            <w:tcBorders>
              <w:top w:val="nil"/>
              <w:left w:val="nil"/>
              <w:bottom w:val="nil"/>
              <w:right w:val="single" w:sz="4" w:space="0" w:color="auto"/>
            </w:tcBorders>
            <w:shd w:val="clear" w:color="000000" w:fill="FFFFFF"/>
            <w:noWrap/>
            <w:vAlign w:val="center"/>
            <w:hideMark/>
          </w:tcPr>
          <w:p w14:paraId="35EEC5EA"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nil"/>
              <w:right w:val="single" w:sz="4" w:space="0" w:color="auto"/>
            </w:tcBorders>
            <w:shd w:val="clear" w:color="000000" w:fill="FFFFFF"/>
            <w:noWrap/>
            <w:vAlign w:val="center"/>
            <w:hideMark/>
          </w:tcPr>
          <w:p w14:paraId="242B7D1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r>
      <w:tr w:rsidR="00D54977" w:rsidRPr="00D54977" w14:paraId="10911997" w14:textId="77777777" w:rsidTr="00D54977">
        <w:trPr>
          <w:trHeight w:val="300"/>
        </w:trPr>
        <w:tc>
          <w:tcPr>
            <w:tcW w:w="1056" w:type="dxa"/>
            <w:tcBorders>
              <w:top w:val="nil"/>
              <w:left w:val="nil"/>
              <w:bottom w:val="nil"/>
              <w:right w:val="nil"/>
            </w:tcBorders>
            <w:shd w:val="clear" w:color="000000" w:fill="FFFFFF"/>
            <w:noWrap/>
            <w:vAlign w:val="center"/>
            <w:hideMark/>
          </w:tcPr>
          <w:p w14:paraId="4CFC0765"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 </w:t>
            </w:r>
          </w:p>
        </w:tc>
        <w:tc>
          <w:tcPr>
            <w:tcW w:w="3508" w:type="dxa"/>
            <w:tcBorders>
              <w:top w:val="nil"/>
              <w:left w:val="single" w:sz="4" w:space="0" w:color="auto"/>
              <w:bottom w:val="single" w:sz="4" w:space="0" w:color="auto"/>
              <w:right w:val="single" w:sz="4" w:space="0" w:color="auto"/>
            </w:tcBorders>
            <w:shd w:val="clear" w:color="000000" w:fill="FFFFFF"/>
            <w:noWrap/>
            <w:vAlign w:val="center"/>
            <w:hideMark/>
          </w:tcPr>
          <w:p w14:paraId="7BB48248" w14:textId="77777777" w:rsidR="00D54977" w:rsidRPr="00D54977" w:rsidRDefault="00D54977" w:rsidP="00D54977">
            <w:pPr>
              <w:spacing w:line="240" w:lineRule="auto"/>
              <w:rPr>
                <w:rFonts w:eastAsia="Times New Roman" w:cs="Calibri"/>
                <w:color w:val="000000"/>
                <w:sz w:val="20"/>
                <w:szCs w:val="20"/>
                <w:lang w:eastAsia="en-GB"/>
              </w:rPr>
            </w:pPr>
            <w:r w:rsidRPr="00D54977">
              <w:rPr>
                <w:rFonts w:eastAsia="Times New Roman" w:cs="Calibri"/>
                <w:color w:val="000000"/>
                <w:sz w:val="20"/>
                <w:szCs w:val="20"/>
                <w:lang w:eastAsia="en-GB"/>
              </w:rPr>
              <w:t>Inflation Contingency</w:t>
            </w:r>
          </w:p>
        </w:tc>
        <w:tc>
          <w:tcPr>
            <w:tcW w:w="1040" w:type="dxa"/>
            <w:tcBorders>
              <w:top w:val="nil"/>
              <w:left w:val="nil"/>
              <w:bottom w:val="single" w:sz="4" w:space="0" w:color="auto"/>
              <w:right w:val="single" w:sz="4" w:space="0" w:color="auto"/>
            </w:tcBorders>
            <w:shd w:val="clear" w:color="000000" w:fill="FFFFFF"/>
            <w:noWrap/>
            <w:vAlign w:val="center"/>
            <w:hideMark/>
          </w:tcPr>
          <w:p w14:paraId="56F70721"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single" w:sz="4" w:space="0" w:color="auto"/>
              <w:right w:val="single" w:sz="4" w:space="0" w:color="auto"/>
            </w:tcBorders>
            <w:shd w:val="clear" w:color="000000" w:fill="FFFFFF"/>
            <w:noWrap/>
            <w:vAlign w:val="center"/>
            <w:hideMark/>
          </w:tcPr>
          <w:p w14:paraId="5DD96A4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single" w:sz="4" w:space="0" w:color="auto"/>
              <w:right w:val="single" w:sz="4" w:space="0" w:color="auto"/>
            </w:tcBorders>
            <w:shd w:val="clear" w:color="000000" w:fill="FFFFFF"/>
            <w:noWrap/>
            <w:vAlign w:val="center"/>
            <w:hideMark/>
          </w:tcPr>
          <w:p w14:paraId="78D0330F"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single" w:sz="4" w:space="0" w:color="auto"/>
              <w:right w:val="single" w:sz="4" w:space="0" w:color="auto"/>
            </w:tcBorders>
            <w:shd w:val="clear" w:color="000000" w:fill="FFFFFF"/>
            <w:noWrap/>
            <w:vAlign w:val="center"/>
            <w:hideMark/>
          </w:tcPr>
          <w:p w14:paraId="6643C8E6"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c>
          <w:tcPr>
            <w:tcW w:w="1040" w:type="dxa"/>
            <w:tcBorders>
              <w:top w:val="nil"/>
              <w:left w:val="nil"/>
              <w:bottom w:val="single" w:sz="4" w:space="0" w:color="auto"/>
              <w:right w:val="single" w:sz="4" w:space="0" w:color="auto"/>
            </w:tcBorders>
            <w:shd w:val="clear" w:color="000000" w:fill="FFFFFF"/>
            <w:noWrap/>
            <w:vAlign w:val="center"/>
            <w:hideMark/>
          </w:tcPr>
          <w:p w14:paraId="517F0289" w14:textId="77777777" w:rsidR="00D54977" w:rsidRPr="00D54977" w:rsidRDefault="00D54977" w:rsidP="00D54977">
            <w:pPr>
              <w:spacing w:line="240" w:lineRule="auto"/>
              <w:jc w:val="right"/>
              <w:rPr>
                <w:rFonts w:eastAsia="Times New Roman" w:cs="Calibri"/>
                <w:color w:val="000000"/>
                <w:sz w:val="20"/>
                <w:szCs w:val="20"/>
                <w:lang w:eastAsia="en-GB"/>
              </w:rPr>
            </w:pPr>
            <w:r w:rsidRPr="00D54977">
              <w:rPr>
                <w:rFonts w:eastAsia="Times New Roman" w:cs="Calibri"/>
                <w:color w:val="000000"/>
                <w:sz w:val="20"/>
                <w:szCs w:val="20"/>
                <w:lang w:eastAsia="en-GB"/>
              </w:rPr>
              <w:t>1.00%</w:t>
            </w:r>
          </w:p>
        </w:tc>
      </w:tr>
    </w:tbl>
    <w:p w14:paraId="0C329926" w14:textId="77777777" w:rsidR="00D54977" w:rsidRDefault="00D54977" w:rsidP="001066CF">
      <w:pPr>
        <w:rPr>
          <w:rFonts w:ascii="Arial" w:hAnsi="Arial" w:cs="Arial"/>
          <w:bCs/>
          <w:i/>
          <w:iCs/>
          <w:sz w:val="20"/>
          <w:szCs w:val="20"/>
        </w:rPr>
      </w:pPr>
    </w:p>
    <w:p w14:paraId="17119CAD" w14:textId="3088D3D0" w:rsidR="009E48A8" w:rsidRPr="001066CF" w:rsidRDefault="00BA2FE9" w:rsidP="001066CF">
      <w:pPr>
        <w:rPr>
          <w:rFonts w:ascii="Arial" w:hAnsi="Arial" w:cs="Arial"/>
          <w:bCs/>
          <w:i/>
          <w:iCs/>
          <w:sz w:val="20"/>
          <w:szCs w:val="20"/>
        </w:rPr>
      </w:pPr>
      <w:r w:rsidRPr="001066CF">
        <w:rPr>
          <w:rFonts w:ascii="Arial" w:hAnsi="Arial" w:cs="Arial"/>
          <w:bCs/>
          <w:i/>
          <w:iCs/>
          <w:sz w:val="20"/>
          <w:szCs w:val="20"/>
        </w:rPr>
        <w:t>Note: Totals may not sum due to rounding</w:t>
      </w:r>
    </w:p>
    <w:p w14:paraId="19B44A87" w14:textId="77777777" w:rsidR="00BA2FE9" w:rsidRPr="00450555" w:rsidRDefault="00BA2FE9">
      <w:pPr>
        <w:spacing w:line="240" w:lineRule="auto"/>
        <w:rPr>
          <w:rFonts w:ascii="Arial" w:hAnsi="Arial" w:cs="Arial"/>
          <w:b/>
          <w:i/>
          <w:iCs/>
          <w:sz w:val="16"/>
          <w:szCs w:val="16"/>
          <w:highlight w:val="yellow"/>
        </w:rPr>
      </w:pPr>
    </w:p>
    <w:p w14:paraId="349BE0EE" w14:textId="77777777" w:rsidR="00BA2FE9" w:rsidRPr="00450555" w:rsidRDefault="00BA2FE9">
      <w:pPr>
        <w:spacing w:line="240" w:lineRule="auto"/>
        <w:rPr>
          <w:rFonts w:ascii="Arial" w:hAnsi="Arial" w:cs="Arial"/>
          <w:b/>
          <w:i/>
          <w:iCs/>
          <w:sz w:val="16"/>
          <w:szCs w:val="16"/>
          <w:highlight w:val="yellow"/>
        </w:rPr>
      </w:pPr>
    </w:p>
    <w:p w14:paraId="5B10D3AA" w14:textId="77777777" w:rsidR="00BA2FE9" w:rsidRPr="00450555" w:rsidRDefault="00BA2FE9">
      <w:pPr>
        <w:spacing w:line="240" w:lineRule="auto"/>
        <w:rPr>
          <w:rFonts w:ascii="Arial" w:hAnsi="Arial" w:cs="Arial"/>
          <w:b/>
          <w:i/>
          <w:iCs/>
          <w:sz w:val="16"/>
          <w:szCs w:val="16"/>
          <w:highlight w:val="yellow"/>
        </w:rPr>
      </w:pPr>
    </w:p>
    <w:p w14:paraId="05FA417B" w14:textId="67B85283" w:rsidR="000C2930" w:rsidRPr="00450555" w:rsidRDefault="000C2930">
      <w:pPr>
        <w:spacing w:line="240" w:lineRule="auto"/>
        <w:rPr>
          <w:rFonts w:ascii="Arial" w:hAnsi="Arial" w:cs="Arial"/>
          <w:b/>
          <w:i/>
          <w:iCs/>
          <w:sz w:val="16"/>
          <w:szCs w:val="16"/>
          <w:highlight w:val="yellow"/>
        </w:rPr>
      </w:pPr>
    </w:p>
    <w:p w14:paraId="15E9D874" w14:textId="77777777" w:rsidR="009428A9" w:rsidRPr="00450555" w:rsidRDefault="009428A9">
      <w:pPr>
        <w:spacing w:line="240" w:lineRule="auto"/>
        <w:rPr>
          <w:rFonts w:asciiTheme="minorHAnsi" w:hAnsiTheme="minorHAnsi" w:cs="Arial"/>
          <w:b/>
          <w:sz w:val="24"/>
          <w:szCs w:val="24"/>
          <w:highlight w:val="yellow"/>
        </w:rPr>
      </w:pPr>
      <w:r w:rsidRPr="00450555">
        <w:rPr>
          <w:rFonts w:asciiTheme="minorHAnsi" w:hAnsiTheme="minorHAnsi" w:cs="Arial"/>
          <w:b/>
          <w:sz w:val="24"/>
          <w:szCs w:val="24"/>
          <w:highlight w:val="yellow"/>
        </w:rPr>
        <w:br w:type="page"/>
      </w:r>
    </w:p>
    <w:p w14:paraId="7DCACA1A" w14:textId="7BB24A67" w:rsidR="00BA2FE9" w:rsidRPr="00C36A86" w:rsidRDefault="00DE422B" w:rsidP="00D953AE">
      <w:pPr>
        <w:spacing w:line="240" w:lineRule="auto"/>
        <w:rPr>
          <w:rFonts w:asciiTheme="minorHAnsi" w:hAnsiTheme="minorHAnsi" w:cs="Arial"/>
          <w:b/>
          <w:sz w:val="24"/>
          <w:szCs w:val="24"/>
        </w:rPr>
      </w:pPr>
      <w:r w:rsidRPr="00C36A86">
        <w:rPr>
          <w:rFonts w:asciiTheme="minorHAnsi" w:hAnsiTheme="minorHAnsi" w:cs="Arial"/>
          <w:b/>
          <w:sz w:val="24"/>
          <w:szCs w:val="24"/>
        </w:rPr>
        <w:lastRenderedPageBreak/>
        <w:t>APPENDIX C</w:t>
      </w:r>
    </w:p>
    <w:p w14:paraId="7B58E3E0" w14:textId="0761F95E" w:rsidR="000C2930" w:rsidRPr="00DE422B" w:rsidRDefault="00DE422B" w:rsidP="00DE422B">
      <w:pPr>
        <w:pStyle w:val="PanelHeading"/>
      </w:pPr>
      <w:r w:rsidRPr="00C42C32">
        <w:t xml:space="preserve">Section 25 Report of the </w:t>
      </w:r>
      <w:r>
        <w:t>NCFRA</w:t>
      </w:r>
      <w:r w:rsidRPr="00C42C32">
        <w:t xml:space="preserve"> Section 151 Chief Finance Officer </w:t>
      </w:r>
    </w:p>
    <w:p w14:paraId="23982734" w14:textId="676ED45B" w:rsidR="00D953AE" w:rsidRPr="00C36A86" w:rsidRDefault="00D953AE" w:rsidP="00D953AE">
      <w:pPr>
        <w:spacing w:line="240" w:lineRule="auto"/>
        <w:jc w:val="both"/>
        <w:rPr>
          <w:rFonts w:asciiTheme="minorHAnsi" w:hAnsiTheme="minorHAnsi" w:cs="Arial"/>
          <w:i/>
          <w:sz w:val="24"/>
          <w:szCs w:val="24"/>
        </w:rPr>
      </w:pPr>
      <w:r w:rsidRPr="00C36A86">
        <w:rPr>
          <w:rFonts w:asciiTheme="minorHAnsi" w:hAnsiTheme="minorHAnsi" w:cs="Arial"/>
          <w:i/>
          <w:sz w:val="24"/>
          <w:szCs w:val="24"/>
        </w:rPr>
        <w:t xml:space="preserve">“I have worked closely with the Joint Finance Team and </w:t>
      </w:r>
      <w:r w:rsidR="00A05ED1">
        <w:rPr>
          <w:rFonts w:asciiTheme="minorHAnsi" w:hAnsiTheme="minorHAnsi" w:cs="Arial"/>
          <w:i/>
          <w:sz w:val="24"/>
          <w:szCs w:val="24"/>
        </w:rPr>
        <w:t>am</w:t>
      </w:r>
      <w:r w:rsidRPr="00C36A86">
        <w:rPr>
          <w:rFonts w:asciiTheme="minorHAnsi" w:hAnsiTheme="minorHAnsi" w:cs="Arial"/>
          <w:i/>
          <w:sz w:val="24"/>
          <w:szCs w:val="24"/>
        </w:rPr>
        <w:t xml:space="preserve"> assured by their robust and diligent approach to the 202</w:t>
      </w:r>
      <w:r w:rsidR="00C36A86" w:rsidRPr="00C36A86">
        <w:rPr>
          <w:rFonts w:asciiTheme="minorHAnsi" w:hAnsiTheme="minorHAnsi" w:cs="Arial"/>
          <w:i/>
          <w:sz w:val="24"/>
          <w:szCs w:val="24"/>
        </w:rPr>
        <w:t>5</w:t>
      </w:r>
      <w:r w:rsidRPr="00C36A86">
        <w:rPr>
          <w:rFonts w:asciiTheme="minorHAnsi" w:hAnsiTheme="minorHAnsi" w:cs="Arial"/>
          <w:i/>
          <w:sz w:val="24"/>
          <w:szCs w:val="24"/>
        </w:rPr>
        <w:t>/2</w:t>
      </w:r>
      <w:r w:rsidR="00C36A86" w:rsidRPr="00C36A86">
        <w:rPr>
          <w:rFonts w:asciiTheme="minorHAnsi" w:hAnsiTheme="minorHAnsi" w:cs="Arial"/>
          <w:i/>
          <w:sz w:val="24"/>
          <w:szCs w:val="24"/>
        </w:rPr>
        <w:t>6</w:t>
      </w:r>
      <w:r w:rsidRPr="00C36A86">
        <w:rPr>
          <w:rFonts w:asciiTheme="minorHAnsi" w:hAnsiTheme="minorHAnsi" w:cs="Arial"/>
          <w:i/>
          <w:sz w:val="24"/>
          <w:szCs w:val="24"/>
        </w:rPr>
        <w:t xml:space="preserve"> budget setting process.  I am grateful for their hard work, scrutiny and challenge throughout, and am impressed by how they continue to take ownership and make improvements every year.</w:t>
      </w:r>
    </w:p>
    <w:p w14:paraId="1F24C431" w14:textId="77777777" w:rsidR="00D953AE" w:rsidRPr="00C36A86" w:rsidRDefault="00D953AE" w:rsidP="00D953AE">
      <w:pPr>
        <w:spacing w:line="240" w:lineRule="auto"/>
        <w:jc w:val="both"/>
        <w:rPr>
          <w:rFonts w:asciiTheme="minorHAnsi" w:hAnsiTheme="minorHAnsi" w:cs="Arial"/>
          <w:i/>
          <w:sz w:val="24"/>
          <w:szCs w:val="24"/>
        </w:rPr>
      </w:pPr>
    </w:p>
    <w:p w14:paraId="60875E85" w14:textId="4C3CDE44" w:rsidR="00D953AE" w:rsidRPr="00C36A86" w:rsidRDefault="00D953AE" w:rsidP="00D953AE">
      <w:pPr>
        <w:spacing w:line="240" w:lineRule="auto"/>
        <w:jc w:val="both"/>
        <w:rPr>
          <w:rFonts w:asciiTheme="minorHAnsi" w:hAnsiTheme="minorHAnsi" w:cs="Arial"/>
          <w:i/>
          <w:sz w:val="24"/>
          <w:szCs w:val="24"/>
        </w:rPr>
      </w:pPr>
      <w:r w:rsidRPr="00C36A86">
        <w:rPr>
          <w:rFonts w:asciiTheme="minorHAnsi" w:hAnsiTheme="minorHAnsi" w:cs="Arial"/>
          <w:i/>
          <w:sz w:val="24"/>
          <w:szCs w:val="24"/>
        </w:rPr>
        <w:t xml:space="preserve">I have been fully briefed on the progress of the budget prior to and throughout the budget process and development of the capital programme, ensuring I have been party to all key assumptions and decisions.  Prudent evidence-based estimates and assumptions included have been based on professional estimates, peer knowledge and benchmarking.  Where possible, these </w:t>
      </w:r>
      <w:r w:rsidR="001066CF">
        <w:rPr>
          <w:rFonts w:asciiTheme="minorHAnsi" w:hAnsiTheme="minorHAnsi" w:cs="Arial"/>
          <w:i/>
          <w:sz w:val="24"/>
          <w:szCs w:val="24"/>
        </w:rPr>
        <w:t xml:space="preserve">are aligned </w:t>
      </w:r>
      <w:r w:rsidRPr="00C36A86">
        <w:rPr>
          <w:rFonts w:asciiTheme="minorHAnsi" w:hAnsiTheme="minorHAnsi" w:cs="Arial"/>
          <w:i/>
          <w:sz w:val="24"/>
          <w:szCs w:val="24"/>
        </w:rPr>
        <w:t xml:space="preserve">with national </w:t>
      </w:r>
      <w:r w:rsidR="00FD7D37">
        <w:rPr>
          <w:rFonts w:asciiTheme="minorHAnsi" w:hAnsiTheme="minorHAnsi" w:cs="Arial"/>
          <w:i/>
          <w:sz w:val="24"/>
          <w:szCs w:val="24"/>
        </w:rPr>
        <w:t>f</w:t>
      </w:r>
      <w:r w:rsidRPr="00C36A86">
        <w:rPr>
          <w:rFonts w:asciiTheme="minorHAnsi" w:hAnsiTheme="minorHAnsi" w:cs="Arial"/>
          <w:i/>
          <w:sz w:val="24"/>
          <w:szCs w:val="24"/>
        </w:rPr>
        <w:t xml:space="preserve">ire, </w:t>
      </w:r>
      <w:r w:rsidR="00FD7D37">
        <w:rPr>
          <w:rFonts w:asciiTheme="minorHAnsi" w:hAnsiTheme="minorHAnsi" w:cs="Arial"/>
          <w:i/>
          <w:sz w:val="24"/>
          <w:szCs w:val="24"/>
        </w:rPr>
        <w:t>p</w:t>
      </w:r>
      <w:r w:rsidRPr="00C36A86">
        <w:rPr>
          <w:rFonts w:asciiTheme="minorHAnsi" w:hAnsiTheme="minorHAnsi" w:cs="Arial"/>
          <w:i/>
          <w:sz w:val="24"/>
          <w:szCs w:val="24"/>
        </w:rPr>
        <w:t xml:space="preserve">olice, local authority and national technical team colleagues. </w:t>
      </w:r>
    </w:p>
    <w:p w14:paraId="44420289" w14:textId="77777777" w:rsidR="00D953AE" w:rsidRPr="00C36A86" w:rsidRDefault="00D953AE" w:rsidP="00D953AE">
      <w:pPr>
        <w:spacing w:line="240" w:lineRule="auto"/>
        <w:jc w:val="both"/>
        <w:rPr>
          <w:rFonts w:asciiTheme="minorHAnsi" w:hAnsiTheme="minorHAnsi" w:cs="Arial"/>
          <w:i/>
          <w:sz w:val="24"/>
          <w:szCs w:val="24"/>
        </w:rPr>
      </w:pPr>
    </w:p>
    <w:p w14:paraId="33682307" w14:textId="282E17AC" w:rsidR="00D953AE" w:rsidRPr="00C36A86" w:rsidRDefault="00D953AE" w:rsidP="00D953AE">
      <w:pPr>
        <w:spacing w:line="240" w:lineRule="auto"/>
        <w:jc w:val="both"/>
        <w:rPr>
          <w:rFonts w:asciiTheme="minorHAnsi" w:hAnsiTheme="minorHAnsi" w:cs="Arial"/>
          <w:i/>
          <w:sz w:val="24"/>
          <w:szCs w:val="24"/>
        </w:rPr>
      </w:pPr>
      <w:r w:rsidRPr="00C36A86">
        <w:rPr>
          <w:rFonts w:asciiTheme="minorHAnsi" w:hAnsiTheme="minorHAnsi" w:cs="Arial"/>
          <w:i/>
          <w:sz w:val="24"/>
          <w:szCs w:val="24"/>
        </w:rPr>
        <w:t xml:space="preserve">I have reviewed the detailed calculations in arriving at the budget requirement and Council Tax precept and find these to be robust. </w:t>
      </w:r>
      <w:r w:rsidR="00C36A86" w:rsidRPr="00C36A86">
        <w:rPr>
          <w:rFonts w:asciiTheme="minorHAnsi" w:hAnsiTheme="minorHAnsi" w:cs="Arial"/>
          <w:i/>
          <w:sz w:val="24"/>
          <w:szCs w:val="24"/>
        </w:rPr>
        <w:t xml:space="preserve"> </w:t>
      </w:r>
      <w:r w:rsidRPr="00C36A86">
        <w:rPr>
          <w:rFonts w:asciiTheme="minorHAnsi" w:hAnsiTheme="minorHAnsi" w:cs="Arial"/>
          <w:i/>
          <w:sz w:val="24"/>
          <w:szCs w:val="24"/>
        </w:rPr>
        <w:t xml:space="preserve">I also have sought and received authorisations from billing authorities in relation to taxbase and Council Tax surplus/deficits and I am grateful to all partners for their support in doing so.  </w:t>
      </w:r>
    </w:p>
    <w:p w14:paraId="3D14948A" w14:textId="77777777" w:rsidR="00D953AE" w:rsidRPr="00C36A86" w:rsidRDefault="00D953AE" w:rsidP="00D953AE">
      <w:pPr>
        <w:spacing w:line="240" w:lineRule="auto"/>
        <w:jc w:val="both"/>
        <w:rPr>
          <w:rFonts w:asciiTheme="minorHAnsi" w:hAnsiTheme="minorHAnsi" w:cs="Arial"/>
          <w:i/>
          <w:sz w:val="24"/>
          <w:szCs w:val="24"/>
        </w:rPr>
      </w:pPr>
    </w:p>
    <w:p w14:paraId="0E208F5A" w14:textId="77777777" w:rsidR="00A05ED1" w:rsidRDefault="00A05ED1" w:rsidP="00A05ED1">
      <w:pPr>
        <w:spacing w:line="240" w:lineRule="auto"/>
        <w:jc w:val="both"/>
        <w:rPr>
          <w:rFonts w:asciiTheme="minorHAnsi" w:hAnsiTheme="minorHAnsi" w:cs="Arial"/>
          <w:i/>
          <w:sz w:val="24"/>
          <w:szCs w:val="24"/>
        </w:rPr>
      </w:pPr>
      <w:r w:rsidRPr="00C36A86">
        <w:rPr>
          <w:rFonts w:asciiTheme="minorHAnsi" w:hAnsiTheme="minorHAnsi" w:cs="Arial"/>
          <w:i/>
          <w:sz w:val="24"/>
          <w:szCs w:val="24"/>
        </w:rPr>
        <w:t>The Chief Fire Officer and Senior Leadership Team have been fully involved in the budget discussions and have worked hard to propose a balanced budget for 2025/26 to the PFCC.  I am grateful for their engagement and commitment in this process.</w:t>
      </w:r>
    </w:p>
    <w:p w14:paraId="43218755" w14:textId="77777777" w:rsidR="000C2930" w:rsidRDefault="000C2930" w:rsidP="000C2930">
      <w:pPr>
        <w:spacing w:line="240" w:lineRule="auto"/>
        <w:jc w:val="both"/>
        <w:rPr>
          <w:rFonts w:asciiTheme="minorHAnsi" w:hAnsiTheme="minorHAnsi" w:cs="Arial"/>
          <w:i/>
          <w:sz w:val="24"/>
          <w:szCs w:val="24"/>
        </w:rPr>
      </w:pPr>
    </w:p>
    <w:p w14:paraId="26CBED49" w14:textId="0481A50D" w:rsidR="00A05ED1" w:rsidRDefault="00A05ED1" w:rsidP="000C2930">
      <w:pPr>
        <w:spacing w:line="240" w:lineRule="auto"/>
        <w:jc w:val="both"/>
        <w:rPr>
          <w:rFonts w:asciiTheme="minorHAnsi" w:hAnsiTheme="minorHAnsi" w:cstheme="minorHAnsi"/>
          <w:i/>
          <w:sz w:val="24"/>
          <w:szCs w:val="24"/>
        </w:rPr>
      </w:pPr>
      <w:r w:rsidRPr="00E7492D">
        <w:rPr>
          <w:rFonts w:asciiTheme="minorHAnsi" w:hAnsiTheme="minorHAnsi" w:cstheme="minorHAnsi"/>
          <w:i/>
          <w:sz w:val="24"/>
          <w:szCs w:val="24"/>
        </w:rPr>
        <w:t xml:space="preserve">In preparing the MTFP, working </w:t>
      </w:r>
      <w:r>
        <w:rPr>
          <w:rFonts w:asciiTheme="minorHAnsi" w:hAnsiTheme="minorHAnsi" w:cstheme="minorHAnsi"/>
          <w:i/>
          <w:sz w:val="24"/>
          <w:szCs w:val="24"/>
        </w:rPr>
        <w:t>alongside</w:t>
      </w:r>
      <w:r w:rsidRPr="00E7492D">
        <w:rPr>
          <w:rFonts w:asciiTheme="minorHAnsi" w:hAnsiTheme="minorHAnsi" w:cstheme="minorHAnsi"/>
          <w:i/>
          <w:sz w:val="24"/>
          <w:szCs w:val="24"/>
        </w:rPr>
        <w:t xml:space="preserve"> the Force s151 Officer, we modelled scenarios across council taxbase assumptions and precept increases ranging from £</w:t>
      </w:r>
      <w:r>
        <w:rPr>
          <w:rFonts w:asciiTheme="minorHAnsi" w:hAnsiTheme="minorHAnsi" w:cstheme="minorHAnsi"/>
          <w:i/>
          <w:sz w:val="24"/>
          <w:szCs w:val="24"/>
        </w:rPr>
        <w:t>0</w:t>
      </w:r>
      <w:r w:rsidRPr="00E7492D">
        <w:rPr>
          <w:rFonts w:asciiTheme="minorHAnsi" w:hAnsiTheme="minorHAnsi" w:cstheme="minorHAnsi"/>
          <w:i/>
          <w:sz w:val="24"/>
          <w:szCs w:val="24"/>
        </w:rPr>
        <w:t xml:space="preserve"> to £</w:t>
      </w:r>
      <w:r>
        <w:rPr>
          <w:rFonts w:asciiTheme="minorHAnsi" w:hAnsiTheme="minorHAnsi" w:cstheme="minorHAnsi"/>
          <w:i/>
          <w:sz w:val="24"/>
          <w:szCs w:val="24"/>
        </w:rPr>
        <w:t>1</w:t>
      </w:r>
      <w:r w:rsidRPr="00E7492D">
        <w:rPr>
          <w:rFonts w:asciiTheme="minorHAnsi" w:hAnsiTheme="minorHAnsi" w:cstheme="minorHAnsi"/>
          <w:i/>
          <w:sz w:val="24"/>
          <w:szCs w:val="24"/>
        </w:rPr>
        <w:t>0 to help inform the PFCC considerations in determining h</w:t>
      </w:r>
      <w:r>
        <w:rPr>
          <w:rFonts w:asciiTheme="minorHAnsi" w:hAnsiTheme="minorHAnsi" w:cstheme="minorHAnsi"/>
          <w:i/>
          <w:sz w:val="24"/>
          <w:szCs w:val="24"/>
        </w:rPr>
        <w:t>er</w:t>
      </w:r>
      <w:r w:rsidRPr="00E7492D">
        <w:rPr>
          <w:rFonts w:asciiTheme="minorHAnsi" w:hAnsiTheme="minorHAnsi" w:cstheme="minorHAnsi"/>
          <w:i/>
          <w:sz w:val="24"/>
          <w:szCs w:val="24"/>
        </w:rPr>
        <w:t xml:space="preserve"> precept proposal for 2025/26.  As the information from the settlement and taxbase became clearer, we continued to review and refine the MTFP.</w:t>
      </w:r>
    </w:p>
    <w:p w14:paraId="5BCBAA71" w14:textId="77777777" w:rsidR="00A05ED1" w:rsidRDefault="00A05ED1" w:rsidP="000C2930">
      <w:pPr>
        <w:spacing w:line="240" w:lineRule="auto"/>
        <w:jc w:val="both"/>
        <w:rPr>
          <w:rFonts w:asciiTheme="minorHAnsi" w:hAnsiTheme="minorHAnsi" w:cstheme="minorHAnsi"/>
          <w:i/>
          <w:sz w:val="24"/>
          <w:szCs w:val="24"/>
        </w:rPr>
      </w:pPr>
    </w:p>
    <w:p w14:paraId="56A5A95D" w14:textId="77777777" w:rsidR="00A05ED1" w:rsidRPr="00C36A86" w:rsidRDefault="00A05ED1" w:rsidP="00A05ED1">
      <w:pPr>
        <w:spacing w:line="240" w:lineRule="auto"/>
        <w:jc w:val="both"/>
        <w:rPr>
          <w:rFonts w:asciiTheme="minorHAnsi" w:hAnsiTheme="minorHAnsi" w:cs="Arial"/>
          <w:i/>
          <w:sz w:val="24"/>
          <w:szCs w:val="24"/>
        </w:rPr>
      </w:pPr>
      <w:r w:rsidRPr="00C36A86">
        <w:rPr>
          <w:rFonts w:asciiTheme="minorHAnsi" w:hAnsiTheme="minorHAnsi" w:cs="Arial"/>
          <w:i/>
          <w:sz w:val="24"/>
          <w:szCs w:val="24"/>
        </w:rPr>
        <w:t>The PFCC’s precept intention of £5 takes into account public consultation alongside prudent assumptions based on the best information available, the MTFP and the reserves position, and still enables an element to be ring-fenced for investment.</w:t>
      </w:r>
    </w:p>
    <w:p w14:paraId="75590BB5" w14:textId="77777777" w:rsidR="00A05ED1" w:rsidRPr="00C36A86" w:rsidRDefault="00A05ED1" w:rsidP="000C2930">
      <w:pPr>
        <w:spacing w:line="240" w:lineRule="auto"/>
        <w:jc w:val="both"/>
        <w:rPr>
          <w:rFonts w:asciiTheme="minorHAnsi" w:hAnsiTheme="minorHAnsi" w:cs="Arial"/>
          <w:i/>
          <w:sz w:val="24"/>
          <w:szCs w:val="24"/>
        </w:rPr>
      </w:pPr>
    </w:p>
    <w:p w14:paraId="7851A131" w14:textId="3FF0B78D" w:rsidR="000C2930" w:rsidRPr="00C36A86" w:rsidRDefault="000C2930" w:rsidP="000C2930">
      <w:pPr>
        <w:spacing w:line="240" w:lineRule="auto"/>
        <w:jc w:val="both"/>
        <w:rPr>
          <w:rFonts w:asciiTheme="minorHAnsi" w:hAnsiTheme="minorHAnsi" w:cs="Arial"/>
          <w:i/>
          <w:sz w:val="24"/>
          <w:szCs w:val="24"/>
        </w:rPr>
      </w:pPr>
      <w:r w:rsidRPr="00C36A86">
        <w:rPr>
          <w:rFonts w:asciiTheme="minorHAnsi" w:hAnsiTheme="minorHAnsi" w:cs="Arial"/>
          <w:i/>
          <w:sz w:val="24"/>
          <w:szCs w:val="24"/>
        </w:rPr>
        <w:t xml:space="preserve">It is my recommendation that </w:t>
      </w:r>
      <w:r w:rsidR="002A7A12" w:rsidRPr="00C36A86">
        <w:rPr>
          <w:rFonts w:asciiTheme="minorHAnsi" w:hAnsiTheme="minorHAnsi" w:cs="Arial"/>
          <w:i/>
          <w:sz w:val="24"/>
          <w:szCs w:val="24"/>
        </w:rPr>
        <w:t xml:space="preserve">financially </w:t>
      </w:r>
      <w:r w:rsidRPr="00C36A86">
        <w:rPr>
          <w:rFonts w:asciiTheme="minorHAnsi" w:hAnsiTheme="minorHAnsi" w:cs="Arial"/>
          <w:i/>
          <w:sz w:val="24"/>
          <w:szCs w:val="24"/>
        </w:rPr>
        <w:t xml:space="preserve">it is essential to </w:t>
      </w:r>
      <w:r w:rsidR="00C36A86" w:rsidRPr="00C36A86">
        <w:rPr>
          <w:rFonts w:asciiTheme="minorHAnsi" w:hAnsiTheme="minorHAnsi" w:cs="Arial"/>
          <w:i/>
          <w:sz w:val="24"/>
          <w:szCs w:val="24"/>
        </w:rPr>
        <w:t>maximise</w:t>
      </w:r>
      <w:r w:rsidRPr="00C36A86">
        <w:rPr>
          <w:rFonts w:asciiTheme="minorHAnsi" w:hAnsiTheme="minorHAnsi" w:cs="Arial"/>
          <w:i/>
          <w:sz w:val="24"/>
          <w:szCs w:val="24"/>
        </w:rPr>
        <w:t xml:space="preserve"> the </w:t>
      </w:r>
      <w:r w:rsidR="00C36A86" w:rsidRPr="00C36A86">
        <w:rPr>
          <w:rFonts w:asciiTheme="minorHAnsi" w:hAnsiTheme="minorHAnsi" w:cs="Arial"/>
          <w:i/>
          <w:sz w:val="24"/>
          <w:szCs w:val="24"/>
        </w:rPr>
        <w:t>£5</w:t>
      </w:r>
      <w:r w:rsidRPr="00C36A86">
        <w:rPr>
          <w:rFonts w:asciiTheme="minorHAnsi" w:hAnsiTheme="minorHAnsi" w:cs="Arial"/>
          <w:i/>
          <w:sz w:val="24"/>
          <w:szCs w:val="24"/>
        </w:rPr>
        <w:t xml:space="preserve"> precept flexibility afforded to Northamptonshire for </w:t>
      </w:r>
      <w:r w:rsidR="008C38F1" w:rsidRPr="00C36A86">
        <w:rPr>
          <w:rFonts w:asciiTheme="minorHAnsi" w:hAnsiTheme="minorHAnsi" w:cs="Arial"/>
          <w:i/>
          <w:sz w:val="24"/>
          <w:szCs w:val="24"/>
        </w:rPr>
        <w:t>202</w:t>
      </w:r>
      <w:r w:rsidR="00C36A86" w:rsidRPr="00C36A86">
        <w:rPr>
          <w:rFonts w:asciiTheme="minorHAnsi" w:hAnsiTheme="minorHAnsi" w:cs="Arial"/>
          <w:i/>
          <w:sz w:val="24"/>
          <w:szCs w:val="24"/>
        </w:rPr>
        <w:t>5</w:t>
      </w:r>
      <w:r w:rsidR="008C38F1" w:rsidRPr="00C36A86">
        <w:rPr>
          <w:rFonts w:asciiTheme="minorHAnsi" w:hAnsiTheme="minorHAnsi" w:cs="Arial"/>
          <w:i/>
          <w:sz w:val="24"/>
          <w:szCs w:val="24"/>
        </w:rPr>
        <w:t>/2</w:t>
      </w:r>
      <w:r w:rsidR="00C36A86" w:rsidRPr="00C36A86">
        <w:rPr>
          <w:rFonts w:asciiTheme="minorHAnsi" w:hAnsiTheme="minorHAnsi" w:cs="Arial"/>
          <w:i/>
          <w:sz w:val="24"/>
          <w:szCs w:val="24"/>
        </w:rPr>
        <w:t>6</w:t>
      </w:r>
      <w:r w:rsidRPr="00C36A86">
        <w:rPr>
          <w:rFonts w:asciiTheme="minorHAnsi" w:hAnsiTheme="minorHAnsi" w:cs="Arial"/>
          <w:i/>
          <w:sz w:val="24"/>
          <w:szCs w:val="24"/>
        </w:rPr>
        <w:t xml:space="preserve">. </w:t>
      </w:r>
      <w:r w:rsidR="00D953AE" w:rsidRPr="00C36A86">
        <w:rPr>
          <w:rFonts w:asciiTheme="minorHAnsi" w:hAnsiTheme="minorHAnsi" w:cs="Arial"/>
          <w:i/>
          <w:sz w:val="24"/>
          <w:szCs w:val="24"/>
        </w:rPr>
        <w:t xml:space="preserve"> </w:t>
      </w:r>
      <w:r w:rsidRPr="00C36A86">
        <w:rPr>
          <w:rFonts w:asciiTheme="minorHAnsi" w:hAnsiTheme="minorHAnsi" w:cs="Arial"/>
          <w:i/>
          <w:sz w:val="24"/>
          <w:szCs w:val="24"/>
        </w:rPr>
        <w:t>This will be built into the base budget and help provide a resilient position for the medium term.</w:t>
      </w:r>
    </w:p>
    <w:p w14:paraId="6EA1C26B" w14:textId="77777777" w:rsidR="000C2930" w:rsidRPr="00C36A86" w:rsidRDefault="000C2930" w:rsidP="000C2930">
      <w:pPr>
        <w:spacing w:line="240" w:lineRule="auto"/>
        <w:jc w:val="both"/>
        <w:rPr>
          <w:rFonts w:asciiTheme="minorHAnsi" w:hAnsiTheme="minorHAnsi" w:cs="Arial"/>
          <w:i/>
          <w:sz w:val="24"/>
          <w:szCs w:val="24"/>
        </w:rPr>
      </w:pPr>
    </w:p>
    <w:p w14:paraId="7CC29126" w14:textId="0CD34DE1" w:rsidR="00CA6836" w:rsidRPr="00C36A86" w:rsidRDefault="001066CF" w:rsidP="000C2930">
      <w:pPr>
        <w:spacing w:line="240" w:lineRule="auto"/>
        <w:jc w:val="both"/>
        <w:rPr>
          <w:rFonts w:asciiTheme="minorHAnsi" w:hAnsiTheme="minorHAnsi" w:cs="Arial"/>
          <w:i/>
          <w:sz w:val="24"/>
          <w:szCs w:val="24"/>
        </w:rPr>
      </w:pPr>
      <w:r>
        <w:rPr>
          <w:rFonts w:asciiTheme="minorHAnsi" w:hAnsiTheme="minorHAnsi" w:cs="Arial"/>
          <w:i/>
          <w:sz w:val="24"/>
          <w:szCs w:val="24"/>
        </w:rPr>
        <w:t>T</w:t>
      </w:r>
      <w:r w:rsidR="00CA6836" w:rsidRPr="00C36A86">
        <w:rPr>
          <w:rFonts w:asciiTheme="minorHAnsi" w:hAnsiTheme="minorHAnsi" w:cs="Arial"/>
          <w:i/>
          <w:sz w:val="24"/>
          <w:szCs w:val="24"/>
        </w:rPr>
        <w:t xml:space="preserve">he Chief Fire Officer </w:t>
      </w:r>
      <w:r w:rsidR="00C36A86" w:rsidRPr="00C36A86">
        <w:rPr>
          <w:rFonts w:asciiTheme="minorHAnsi" w:hAnsiTheme="minorHAnsi" w:cs="Arial"/>
          <w:i/>
          <w:sz w:val="24"/>
          <w:szCs w:val="24"/>
        </w:rPr>
        <w:t>should continue</w:t>
      </w:r>
      <w:r w:rsidR="006B2D15" w:rsidRPr="00C36A86">
        <w:rPr>
          <w:rFonts w:asciiTheme="minorHAnsi" w:hAnsiTheme="minorHAnsi" w:cs="Arial"/>
          <w:i/>
          <w:sz w:val="24"/>
          <w:szCs w:val="24"/>
        </w:rPr>
        <w:t xml:space="preserve"> to </w:t>
      </w:r>
      <w:r w:rsidR="00CA6836" w:rsidRPr="00C36A86">
        <w:rPr>
          <w:rFonts w:asciiTheme="minorHAnsi" w:hAnsiTheme="minorHAnsi" w:cs="Arial"/>
          <w:i/>
          <w:sz w:val="24"/>
          <w:szCs w:val="24"/>
        </w:rPr>
        <w:t xml:space="preserve">review </w:t>
      </w:r>
      <w:r w:rsidR="00D953AE" w:rsidRPr="00C36A86">
        <w:rPr>
          <w:rFonts w:asciiTheme="minorHAnsi" w:hAnsiTheme="minorHAnsi" w:cs="Arial"/>
          <w:i/>
          <w:sz w:val="24"/>
          <w:szCs w:val="24"/>
        </w:rPr>
        <w:t>their</w:t>
      </w:r>
      <w:r w:rsidR="00CA6836" w:rsidRPr="00C36A86">
        <w:rPr>
          <w:rFonts w:asciiTheme="minorHAnsi" w:hAnsiTheme="minorHAnsi" w:cs="Arial"/>
          <w:i/>
          <w:sz w:val="24"/>
          <w:szCs w:val="24"/>
        </w:rPr>
        <w:t xml:space="preserve"> operational requirements and </w:t>
      </w:r>
      <w:r>
        <w:rPr>
          <w:rFonts w:asciiTheme="minorHAnsi" w:hAnsiTheme="minorHAnsi" w:cs="Arial"/>
          <w:i/>
          <w:sz w:val="24"/>
          <w:szCs w:val="24"/>
        </w:rPr>
        <w:t>build</w:t>
      </w:r>
      <w:r w:rsidR="00CA6836" w:rsidRPr="00C36A86">
        <w:rPr>
          <w:rFonts w:asciiTheme="minorHAnsi" w:hAnsiTheme="minorHAnsi" w:cs="Arial"/>
          <w:i/>
          <w:sz w:val="24"/>
          <w:szCs w:val="24"/>
        </w:rPr>
        <w:t xml:space="preserve"> essential and transformative investment into plans and strategies as the work progresses. </w:t>
      </w:r>
      <w:r w:rsidR="00D953AE" w:rsidRPr="00C36A86">
        <w:rPr>
          <w:rFonts w:asciiTheme="minorHAnsi" w:hAnsiTheme="minorHAnsi" w:cs="Arial"/>
          <w:i/>
          <w:sz w:val="24"/>
          <w:szCs w:val="24"/>
        </w:rPr>
        <w:t xml:space="preserve"> </w:t>
      </w:r>
      <w:r>
        <w:rPr>
          <w:rFonts w:asciiTheme="minorHAnsi" w:hAnsiTheme="minorHAnsi" w:cs="Arial"/>
          <w:i/>
          <w:sz w:val="24"/>
          <w:szCs w:val="24"/>
        </w:rPr>
        <w:t>E</w:t>
      </w:r>
      <w:r w:rsidR="000C2930" w:rsidRPr="00C36A86">
        <w:rPr>
          <w:rFonts w:asciiTheme="minorHAnsi" w:hAnsiTheme="minorHAnsi" w:cs="Arial"/>
          <w:i/>
          <w:sz w:val="24"/>
          <w:szCs w:val="24"/>
        </w:rPr>
        <w:t xml:space="preserve">fficiency savings </w:t>
      </w:r>
      <w:r w:rsidR="00C36A86" w:rsidRPr="00C36A86">
        <w:rPr>
          <w:rFonts w:asciiTheme="minorHAnsi" w:hAnsiTheme="minorHAnsi" w:cs="Arial"/>
          <w:i/>
          <w:sz w:val="24"/>
          <w:szCs w:val="24"/>
        </w:rPr>
        <w:t xml:space="preserve">are </w:t>
      </w:r>
      <w:r w:rsidR="000C2930" w:rsidRPr="00C36A86">
        <w:rPr>
          <w:rFonts w:asciiTheme="minorHAnsi" w:hAnsiTheme="minorHAnsi" w:cs="Arial"/>
          <w:i/>
          <w:sz w:val="24"/>
          <w:szCs w:val="24"/>
        </w:rPr>
        <w:t xml:space="preserve">needed to </w:t>
      </w:r>
      <w:r>
        <w:rPr>
          <w:rFonts w:asciiTheme="minorHAnsi" w:hAnsiTheme="minorHAnsi" w:cs="Arial"/>
          <w:i/>
          <w:sz w:val="24"/>
          <w:szCs w:val="24"/>
        </w:rPr>
        <w:t>achieve balanced</w:t>
      </w:r>
      <w:r w:rsidR="000C2930" w:rsidRPr="00C36A86">
        <w:rPr>
          <w:rFonts w:asciiTheme="minorHAnsi" w:hAnsiTheme="minorHAnsi" w:cs="Arial"/>
          <w:i/>
          <w:sz w:val="24"/>
          <w:szCs w:val="24"/>
        </w:rPr>
        <w:t xml:space="preserve"> budget</w:t>
      </w:r>
      <w:r>
        <w:rPr>
          <w:rFonts w:asciiTheme="minorHAnsi" w:hAnsiTheme="minorHAnsi" w:cs="Arial"/>
          <w:i/>
          <w:sz w:val="24"/>
          <w:szCs w:val="24"/>
        </w:rPr>
        <w:t>s</w:t>
      </w:r>
      <w:r w:rsidR="000C2930" w:rsidRPr="00C36A86">
        <w:rPr>
          <w:rFonts w:asciiTheme="minorHAnsi" w:hAnsiTheme="minorHAnsi" w:cs="Arial"/>
          <w:i/>
          <w:sz w:val="24"/>
          <w:szCs w:val="24"/>
        </w:rPr>
        <w:t xml:space="preserve"> and any investment requirements will need to be considered within the </w:t>
      </w:r>
      <w:r w:rsidR="00D953AE" w:rsidRPr="00C36A86">
        <w:rPr>
          <w:rFonts w:asciiTheme="minorHAnsi" w:hAnsiTheme="minorHAnsi" w:cs="Arial"/>
          <w:i/>
          <w:sz w:val="24"/>
          <w:szCs w:val="24"/>
        </w:rPr>
        <w:t>medium term financial plan</w:t>
      </w:r>
      <w:r w:rsidR="000C2930" w:rsidRPr="00C36A86">
        <w:rPr>
          <w:rFonts w:asciiTheme="minorHAnsi" w:hAnsiTheme="minorHAnsi" w:cs="Arial"/>
          <w:i/>
          <w:sz w:val="24"/>
          <w:szCs w:val="24"/>
        </w:rPr>
        <w:t xml:space="preserve">. </w:t>
      </w:r>
      <w:r w:rsidR="00D953AE" w:rsidRPr="00C36A86">
        <w:rPr>
          <w:rFonts w:asciiTheme="minorHAnsi" w:hAnsiTheme="minorHAnsi" w:cs="Arial"/>
          <w:i/>
          <w:sz w:val="24"/>
          <w:szCs w:val="24"/>
        </w:rPr>
        <w:t xml:space="preserve"> </w:t>
      </w:r>
      <w:r w:rsidR="00CA6836" w:rsidRPr="00C36A86">
        <w:rPr>
          <w:rFonts w:asciiTheme="minorHAnsi" w:hAnsiTheme="minorHAnsi" w:cs="Arial"/>
          <w:i/>
          <w:sz w:val="24"/>
          <w:szCs w:val="24"/>
        </w:rPr>
        <w:t>It is essential that significant operational changes and investment proposals are fully costed and considered prior to implementation to consider</w:t>
      </w:r>
      <w:r w:rsidR="00310079" w:rsidRPr="00C36A86">
        <w:rPr>
          <w:rFonts w:asciiTheme="minorHAnsi" w:hAnsiTheme="minorHAnsi" w:cs="Arial"/>
          <w:i/>
          <w:sz w:val="24"/>
          <w:szCs w:val="24"/>
        </w:rPr>
        <w:t xml:space="preserve"> affordability and </w:t>
      </w:r>
      <w:r w:rsidR="00CA6836" w:rsidRPr="00C36A86">
        <w:rPr>
          <w:rFonts w:asciiTheme="minorHAnsi" w:hAnsiTheme="minorHAnsi" w:cs="Arial"/>
          <w:i/>
          <w:sz w:val="24"/>
          <w:szCs w:val="24"/>
        </w:rPr>
        <w:t>the wider impact</w:t>
      </w:r>
      <w:r w:rsidR="00310079" w:rsidRPr="00C36A86">
        <w:rPr>
          <w:rFonts w:asciiTheme="minorHAnsi" w:hAnsiTheme="minorHAnsi" w:cs="Arial"/>
          <w:i/>
          <w:sz w:val="24"/>
          <w:szCs w:val="24"/>
        </w:rPr>
        <w:t xml:space="preserve"> of any decisions</w:t>
      </w:r>
      <w:r w:rsidR="00D953AE" w:rsidRPr="00C36A86">
        <w:rPr>
          <w:rFonts w:asciiTheme="minorHAnsi" w:hAnsiTheme="minorHAnsi" w:cs="Arial"/>
          <w:i/>
          <w:sz w:val="24"/>
          <w:szCs w:val="24"/>
        </w:rPr>
        <w:t>.</w:t>
      </w:r>
      <w:r w:rsidR="00310079" w:rsidRPr="00C36A86">
        <w:rPr>
          <w:rFonts w:asciiTheme="minorHAnsi" w:hAnsiTheme="minorHAnsi" w:cs="Arial"/>
          <w:i/>
          <w:sz w:val="24"/>
          <w:szCs w:val="24"/>
        </w:rPr>
        <w:t xml:space="preserve"> </w:t>
      </w:r>
      <w:r w:rsidR="00D953AE" w:rsidRPr="00C36A86">
        <w:rPr>
          <w:rFonts w:asciiTheme="minorHAnsi" w:hAnsiTheme="minorHAnsi" w:cs="Arial"/>
          <w:i/>
          <w:sz w:val="24"/>
          <w:szCs w:val="24"/>
        </w:rPr>
        <w:t xml:space="preserve"> </w:t>
      </w:r>
      <w:r w:rsidR="00310079" w:rsidRPr="00C36A86">
        <w:rPr>
          <w:rFonts w:asciiTheme="minorHAnsi" w:hAnsiTheme="minorHAnsi" w:cs="Arial"/>
          <w:i/>
          <w:sz w:val="24"/>
          <w:szCs w:val="24"/>
        </w:rPr>
        <w:t xml:space="preserve">I will continue to work with the Chief Fire </w:t>
      </w:r>
      <w:r w:rsidR="00760581" w:rsidRPr="00C36A86">
        <w:rPr>
          <w:rFonts w:asciiTheme="minorHAnsi" w:hAnsiTheme="minorHAnsi" w:cs="Arial"/>
          <w:i/>
          <w:sz w:val="24"/>
          <w:szCs w:val="24"/>
        </w:rPr>
        <w:t xml:space="preserve">Officer </w:t>
      </w:r>
      <w:r w:rsidR="00310079" w:rsidRPr="00C36A86">
        <w:rPr>
          <w:rFonts w:asciiTheme="minorHAnsi" w:hAnsiTheme="minorHAnsi" w:cs="Arial"/>
          <w:i/>
          <w:sz w:val="24"/>
          <w:szCs w:val="24"/>
        </w:rPr>
        <w:t xml:space="preserve">and Joint Finance </w:t>
      </w:r>
      <w:r w:rsidR="00D953AE" w:rsidRPr="00C36A86">
        <w:rPr>
          <w:rFonts w:asciiTheme="minorHAnsi" w:hAnsiTheme="minorHAnsi" w:cs="Arial"/>
          <w:i/>
          <w:sz w:val="24"/>
          <w:szCs w:val="24"/>
        </w:rPr>
        <w:t xml:space="preserve">Team </w:t>
      </w:r>
      <w:r w:rsidR="00310079" w:rsidRPr="00C36A86">
        <w:rPr>
          <w:rFonts w:asciiTheme="minorHAnsi" w:hAnsiTheme="minorHAnsi" w:cs="Arial"/>
          <w:i/>
          <w:sz w:val="24"/>
          <w:szCs w:val="24"/>
        </w:rPr>
        <w:t>to ensure this is undertaken.</w:t>
      </w:r>
      <w:r w:rsidR="00CA6836" w:rsidRPr="00C36A86">
        <w:rPr>
          <w:rFonts w:asciiTheme="minorHAnsi" w:hAnsiTheme="minorHAnsi" w:cs="Arial"/>
          <w:i/>
          <w:sz w:val="24"/>
          <w:szCs w:val="24"/>
        </w:rPr>
        <w:t xml:space="preserve"> </w:t>
      </w:r>
    </w:p>
    <w:p w14:paraId="1562D295" w14:textId="0B354A57" w:rsidR="00310079" w:rsidRPr="00C36A86" w:rsidRDefault="00310079" w:rsidP="000C2930">
      <w:pPr>
        <w:spacing w:line="240" w:lineRule="auto"/>
        <w:jc w:val="both"/>
        <w:rPr>
          <w:rFonts w:asciiTheme="minorHAnsi" w:hAnsiTheme="minorHAnsi" w:cs="Arial"/>
          <w:i/>
          <w:sz w:val="24"/>
          <w:szCs w:val="24"/>
        </w:rPr>
      </w:pPr>
    </w:p>
    <w:p w14:paraId="222FC4DC" w14:textId="3E9A0724" w:rsidR="00310079" w:rsidRPr="00344718" w:rsidRDefault="00C36A86" w:rsidP="00707BE4">
      <w:pPr>
        <w:spacing w:line="240" w:lineRule="auto"/>
        <w:jc w:val="both"/>
        <w:rPr>
          <w:rFonts w:asciiTheme="minorHAnsi" w:hAnsiTheme="minorHAnsi" w:cs="Arial"/>
          <w:i/>
          <w:sz w:val="24"/>
          <w:szCs w:val="24"/>
        </w:rPr>
      </w:pPr>
      <w:r w:rsidRPr="00344718">
        <w:rPr>
          <w:rFonts w:asciiTheme="minorHAnsi" w:hAnsiTheme="minorHAnsi" w:cs="Arial"/>
          <w:i/>
          <w:sz w:val="24"/>
          <w:szCs w:val="24"/>
        </w:rPr>
        <w:t>Whilst</w:t>
      </w:r>
      <w:r w:rsidR="00760581" w:rsidRPr="00344718">
        <w:rPr>
          <w:rFonts w:asciiTheme="minorHAnsi" w:hAnsiTheme="minorHAnsi" w:cs="Arial"/>
          <w:i/>
          <w:sz w:val="24"/>
          <w:szCs w:val="24"/>
        </w:rPr>
        <w:t xml:space="preserve"> </w:t>
      </w:r>
      <w:r w:rsidR="000C2930" w:rsidRPr="00344718">
        <w:rPr>
          <w:rFonts w:asciiTheme="minorHAnsi" w:hAnsiTheme="minorHAnsi" w:cs="Arial"/>
          <w:i/>
          <w:sz w:val="24"/>
          <w:szCs w:val="24"/>
        </w:rPr>
        <w:t xml:space="preserve">the </w:t>
      </w:r>
      <w:r w:rsidR="00F671CE" w:rsidRPr="00344718">
        <w:rPr>
          <w:rFonts w:asciiTheme="minorHAnsi" w:hAnsiTheme="minorHAnsi" w:cs="Arial"/>
          <w:i/>
          <w:sz w:val="24"/>
          <w:szCs w:val="24"/>
        </w:rPr>
        <w:t>capital programme</w:t>
      </w:r>
      <w:r w:rsidR="000C2930" w:rsidRPr="00344718">
        <w:rPr>
          <w:rFonts w:asciiTheme="minorHAnsi" w:hAnsiTheme="minorHAnsi" w:cs="Arial"/>
          <w:i/>
          <w:sz w:val="24"/>
          <w:szCs w:val="24"/>
        </w:rPr>
        <w:t xml:space="preserve"> is approved and funded,</w:t>
      </w:r>
      <w:r w:rsidR="00741D4E" w:rsidRPr="00344718">
        <w:rPr>
          <w:rFonts w:asciiTheme="minorHAnsi" w:hAnsiTheme="minorHAnsi" w:cs="Arial"/>
          <w:i/>
          <w:sz w:val="24"/>
          <w:szCs w:val="24"/>
        </w:rPr>
        <w:t xml:space="preserve"> </w:t>
      </w:r>
      <w:r w:rsidR="001066CF">
        <w:rPr>
          <w:rFonts w:asciiTheme="minorHAnsi" w:hAnsiTheme="minorHAnsi" w:cs="Arial"/>
          <w:i/>
          <w:sz w:val="24"/>
          <w:szCs w:val="24"/>
        </w:rPr>
        <w:t>it is ambitious and</w:t>
      </w:r>
      <w:r w:rsidR="000C2930" w:rsidRPr="00344718">
        <w:rPr>
          <w:rFonts w:asciiTheme="minorHAnsi" w:hAnsiTheme="minorHAnsi" w:cs="Arial"/>
          <w:i/>
          <w:sz w:val="24"/>
          <w:szCs w:val="24"/>
        </w:rPr>
        <w:t xml:space="preserve"> </w:t>
      </w:r>
      <w:r w:rsidRPr="00344718">
        <w:rPr>
          <w:rFonts w:asciiTheme="minorHAnsi" w:hAnsiTheme="minorHAnsi" w:cs="Arial"/>
          <w:i/>
          <w:sz w:val="24"/>
          <w:szCs w:val="24"/>
        </w:rPr>
        <w:t>of</w:t>
      </w:r>
      <w:r w:rsidR="000C2930" w:rsidRPr="00344718">
        <w:rPr>
          <w:rFonts w:asciiTheme="minorHAnsi" w:hAnsiTheme="minorHAnsi" w:cs="Arial"/>
          <w:i/>
          <w:sz w:val="24"/>
          <w:szCs w:val="24"/>
        </w:rPr>
        <w:t xml:space="preserve"> significant value</w:t>
      </w:r>
      <w:r w:rsidRPr="00344718">
        <w:rPr>
          <w:rFonts w:asciiTheme="minorHAnsi" w:hAnsiTheme="minorHAnsi" w:cs="Arial"/>
          <w:i/>
          <w:sz w:val="24"/>
          <w:szCs w:val="24"/>
        </w:rPr>
        <w:t xml:space="preserve"> and</w:t>
      </w:r>
      <w:r w:rsidR="00760581" w:rsidRPr="00344718">
        <w:rPr>
          <w:rFonts w:asciiTheme="minorHAnsi" w:hAnsiTheme="minorHAnsi" w:cs="Arial"/>
          <w:i/>
          <w:sz w:val="24"/>
          <w:szCs w:val="24"/>
        </w:rPr>
        <w:t xml:space="preserve"> </w:t>
      </w:r>
      <w:r w:rsidR="002A7A12" w:rsidRPr="00344718">
        <w:rPr>
          <w:rFonts w:asciiTheme="minorHAnsi" w:hAnsiTheme="minorHAnsi" w:cs="Arial"/>
          <w:i/>
          <w:sz w:val="24"/>
          <w:szCs w:val="24"/>
        </w:rPr>
        <w:t xml:space="preserve">there is an </w:t>
      </w:r>
      <w:r w:rsidR="00707BE4" w:rsidRPr="00344718">
        <w:rPr>
          <w:rFonts w:asciiTheme="minorHAnsi" w:hAnsiTheme="minorHAnsi" w:cs="Arial"/>
          <w:i/>
          <w:sz w:val="24"/>
          <w:szCs w:val="24"/>
        </w:rPr>
        <w:t xml:space="preserve">impact of both deliverability and financial cost on the revenue budget. </w:t>
      </w:r>
      <w:r w:rsidR="00D953AE" w:rsidRPr="00344718">
        <w:rPr>
          <w:rFonts w:asciiTheme="minorHAnsi" w:hAnsiTheme="minorHAnsi" w:cs="Arial"/>
          <w:i/>
          <w:sz w:val="24"/>
          <w:szCs w:val="24"/>
        </w:rPr>
        <w:t xml:space="preserve"> </w:t>
      </w:r>
      <w:r w:rsidRPr="00344718">
        <w:rPr>
          <w:rFonts w:asciiTheme="minorHAnsi" w:hAnsiTheme="minorHAnsi" w:cs="Arial"/>
          <w:i/>
          <w:sz w:val="24"/>
          <w:szCs w:val="24"/>
        </w:rPr>
        <w:t>These</w:t>
      </w:r>
      <w:r w:rsidR="00707BE4" w:rsidRPr="00344718">
        <w:rPr>
          <w:rFonts w:asciiTheme="minorHAnsi" w:hAnsiTheme="minorHAnsi" w:cs="Arial"/>
          <w:i/>
          <w:sz w:val="24"/>
          <w:szCs w:val="24"/>
        </w:rPr>
        <w:t xml:space="preserve"> costs are included in the MTFP, </w:t>
      </w:r>
      <w:r w:rsidRPr="00344718">
        <w:rPr>
          <w:rFonts w:asciiTheme="minorHAnsi" w:hAnsiTheme="minorHAnsi" w:cs="Arial"/>
          <w:i/>
          <w:sz w:val="24"/>
          <w:szCs w:val="24"/>
        </w:rPr>
        <w:t xml:space="preserve">but </w:t>
      </w:r>
      <w:r w:rsidR="00707BE4" w:rsidRPr="00344718">
        <w:rPr>
          <w:rFonts w:asciiTheme="minorHAnsi" w:hAnsiTheme="minorHAnsi" w:cs="Arial"/>
          <w:i/>
          <w:sz w:val="24"/>
          <w:szCs w:val="24"/>
        </w:rPr>
        <w:t xml:space="preserve">any changes in specifications or slippage in timescales </w:t>
      </w:r>
      <w:r w:rsidR="002A7A12" w:rsidRPr="00344718">
        <w:rPr>
          <w:rFonts w:asciiTheme="minorHAnsi" w:hAnsiTheme="minorHAnsi" w:cs="Arial"/>
          <w:i/>
          <w:sz w:val="24"/>
          <w:szCs w:val="24"/>
        </w:rPr>
        <w:t>could</w:t>
      </w:r>
      <w:r w:rsidR="00707BE4" w:rsidRPr="00344718">
        <w:rPr>
          <w:rFonts w:asciiTheme="minorHAnsi" w:hAnsiTheme="minorHAnsi" w:cs="Arial"/>
          <w:i/>
          <w:sz w:val="24"/>
          <w:szCs w:val="24"/>
        </w:rPr>
        <w:t xml:space="preserve"> affect the deliverability of other priorities within the programme. </w:t>
      </w:r>
    </w:p>
    <w:p w14:paraId="1AF38A97" w14:textId="77777777" w:rsidR="00310079" w:rsidRPr="00344718" w:rsidRDefault="00310079" w:rsidP="00707BE4">
      <w:pPr>
        <w:spacing w:line="240" w:lineRule="auto"/>
        <w:jc w:val="both"/>
        <w:rPr>
          <w:rFonts w:asciiTheme="minorHAnsi" w:hAnsiTheme="minorHAnsi" w:cs="Arial"/>
          <w:i/>
          <w:sz w:val="24"/>
          <w:szCs w:val="24"/>
        </w:rPr>
      </w:pPr>
    </w:p>
    <w:p w14:paraId="213A1113" w14:textId="55B686DD" w:rsidR="00707BE4" w:rsidRPr="00344718" w:rsidRDefault="001066CF" w:rsidP="00707BE4">
      <w:pPr>
        <w:spacing w:line="240" w:lineRule="auto"/>
        <w:jc w:val="both"/>
        <w:rPr>
          <w:rFonts w:asciiTheme="minorHAnsi" w:hAnsiTheme="minorHAnsi" w:cs="Arial"/>
          <w:i/>
          <w:sz w:val="24"/>
          <w:szCs w:val="24"/>
        </w:rPr>
      </w:pPr>
      <w:r w:rsidRPr="00344718">
        <w:rPr>
          <w:rFonts w:asciiTheme="minorHAnsi" w:hAnsiTheme="minorHAnsi" w:cs="Arial"/>
          <w:i/>
          <w:sz w:val="24"/>
          <w:szCs w:val="24"/>
        </w:rPr>
        <w:lastRenderedPageBreak/>
        <w:t>The capital programme is based on approved investments and best professional assumptions of realistic delivery timescales.</w:t>
      </w:r>
      <w:r w:rsidR="00707BE4" w:rsidRPr="00344718">
        <w:rPr>
          <w:rFonts w:asciiTheme="minorHAnsi" w:hAnsiTheme="minorHAnsi" w:cs="Arial"/>
          <w:i/>
          <w:sz w:val="24"/>
          <w:szCs w:val="24"/>
        </w:rPr>
        <w:t xml:space="preserve"> </w:t>
      </w:r>
      <w:r>
        <w:rPr>
          <w:rFonts w:asciiTheme="minorHAnsi" w:hAnsiTheme="minorHAnsi" w:cs="Arial"/>
          <w:i/>
          <w:sz w:val="24"/>
          <w:szCs w:val="24"/>
        </w:rPr>
        <w:t xml:space="preserve"> I</w:t>
      </w:r>
      <w:r w:rsidR="00707BE4" w:rsidRPr="00344718">
        <w:rPr>
          <w:rFonts w:asciiTheme="minorHAnsi" w:hAnsiTheme="minorHAnsi" w:cs="Arial"/>
          <w:i/>
          <w:sz w:val="24"/>
          <w:szCs w:val="24"/>
        </w:rPr>
        <w:t xml:space="preserve">t is essential </w:t>
      </w:r>
      <w:r w:rsidR="00310079" w:rsidRPr="00344718">
        <w:rPr>
          <w:rFonts w:asciiTheme="minorHAnsi" w:hAnsiTheme="minorHAnsi" w:cs="Arial"/>
          <w:i/>
          <w:sz w:val="24"/>
          <w:szCs w:val="24"/>
        </w:rPr>
        <w:t>that disposals and activities are undertaken in a timely manner to enable benefits and savings to be realised.</w:t>
      </w:r>
      <w:r w:rsidR="00D953AE" w:rsidRPr="00344718">
        <w:rPr>
          <w:rFonts w:asciiTheme="minorHAnsi" w:hAnsiTheme="minorHAnsi" w:cs="Arial"/>
          <w:i/>
          <w:sz w:val="24"/>
          <w:szCs w:val="24"/>
        </w:rPr>
        <w:t xml:space="preserve"> </w:t>
      </w:r>
      <w:r w:rsidR="00310079" w:rsidRPr="00344718">
        <w:rPr>
          <w:rFonts w:asciiTheme="minorHAnsi" w:hAnsiTheme="minorHAnsi" w:cs="Arial"/>
          <w:i/>
          <w:sz w:val="24"/>
          <w:szCs w:val="24"/>
        </w:rPr>
        <w:t xml:space="preserve"> I am assured by the arrangements put in place that the </w:t>
      </w:r>
      <w:r w:rsidR="00707BE4" w:rsidRPr="00344718">
        <w:rPr>
          <w:rFonts w:asciiTheme="minorHAnsi" w:hAnsiTheme="minorHAnsi" w:cs="Arial"/>
          <w:i/>
          <w:sz w:val="24"/>
          <w:szCs w:val="24"/>
        </w:rPr>
        <w:t>programme is regularly reviewed</w:t>
      </w:r>
      <w:r w:rsidR="00310079" w:rsidRPr="00344718">
        <w:rPr>
          <w:rFonts w:asciiTheme="minorHAnsi" w:hAnsiTheme="minorHAnsi" w:cs="Arial"/>
          <w:i/>
          <w:sz w:val="24"/>
          <w:szCs w:val="24"/>
        </w:rPr>
        <w:t xml:space="preserve">. </w:t>
      </w:r>
      <w:r w:rsidR="00D953AE" w:rsidRPr="00344718">
        <w:rPr>
          <w:rFonts w:asciiTheme="minorHAnsi" w:hAnsiTheme="minorHAnsi" w:cs="Arial"/>
          <w:i/>
          <w:sz w:val="24"/>
          <w:szCs w:val="24"/>
        </w:rPr>
        <w:t xml:space="preserve"> </w:t>
      </w:r>
      <w:r w:rsidR="00310079" w:rsidRPr="00344718">
        <w:rPr>
          <w:rFonts w:asciiTheme="minorHAnsi" w:hAnsiTheme="minorHAnsi" w:cs="Arial"/>
          <w:i/>
          <w:sz w:val="24"/>
          <w:szCs w:val="24"/>
        </w:rPr>
        <w:t xml:space="preserve">Under the oversight of the </w:t>
      </w:r>
      <w:r w:rsidR="00344718" w:rsidRPr="00344718">
        <w:rPr>
          <w:rFonts w:asciiTheme="minorHAnsi" w:hAnsiTheme="minorHAnsi" w:cs="Arial"/>
          <w:i/>
          <w:sz w:val="24"/>
          <w:szCs w:val="24"/>
        </w:rPr>
        <w:t xml:space="preserve">Joint </w:t>
      </w:r>
      <w:r w:rsidR="00310079" w:rsidRPr="00344718">
        <w:rPr>
          <w:rFonts w:asciiTheme="minorHAnsi" w:hAnsiTheme="minorHAnsi" w:cs="Arial"/>
          <w:i/>
          <w:sz w:val="24"/>
          <w:szCs w:val="24"/>
        </w:rPr>
        <w:t xml:space="preserve">Assistant Chief Officer for Enabling Services, </w:t>
      </w:r>
      <w:r w:rsidR="00707BE4" w:rsidRPr="00344718">
        <w:rPr>
          <w:rFonts w:asciiTheme="minorHAnsi" w:hAnsiTheme="minorHAnsi" w:cs="Arial"/>
          <w:i/>
          <w:sz w:val="24"/>
          <w:szCs w:val="24"/>
        </w:rPr>
        <w:t>proposed expenditure is taken forward on the basis of evidence</w:t>
      </w:r>
      <w:r w:rsidR="00344718" w:rsidRPr="00344718">
        <w:rPr>
          <w:rFonts w:asciiTheme="minorHAnsi" w:hAnsiTheme="minorHAnsi" w:cs="Arial"/>
          <w:i/>
          <w:sz w:val="24"/>
          <w:szCs w:val="24"/>
        </w:rPr>
        <w:t>-</w:t>
      </w:r>
      <w:r w:rsidR="00707BE4" w:rsidRPr="00344718">
        <w:rPr>
          <w:rFonts w:asciiTheme="minorHAnsi" w:hAnsiTheme="minorHAnsi" w:cs="Arial"/>
          <w:i/>
          <w:sz w:val="24"/>
          <w:szCs w:val="24"/>
        </w:rPr>
        <w:t>based business cases, in full recognition of other competing priorities.</w:t>
      </w:r>
      <w:r w:rsidR="00D953AE" w:rsidRPr="00344718">
        <w:rPr>
          <w:rFonts w:asciiTheme="minorHAnsi" w:hAnsiTheme="minorHAnsi" w:cs="Arial"/>
          <w:i/>
          <w:sz w:val="24"/>
          <w:szCs w:val="24"/>
        </w:rPr>
        <w:t xml:space="preserve"> </w:t>
      </w:r>
      <w:r w:rsidR="00707BE4" w:rsidRPr="00344718">
        <w:rPr>
          <w:rFonts w:asciiTheme="minorHAnsi" w:hAnsiTheme="minorHAnsi" w:cs="Arial"/>
          <w:i/>
          <w:sz w:val="24"/>
          <w:szCs w:val="24"/>
        </w:rPr>
        <w:t xml:space="preserve"> </w:t>
      </w:r>
    </w:p>
    <w:p w14:paraId="6B5F17F6" w14:textId="77777777" w:rsidR="000C2930" w:rsidRPr="00344718" w:rsidRDefault="000C2930" w:rsidP="000C2930">
      <w:pPr>
        <w:spacing w:line="240" w:lineRule="auto"/>
        <w:jc w:val="both"/>
        <w:rPr>
          <w:rFonts w:asciiTheme="minorHAnsi" w:hAnsiTheme="minorHAnsi" w:cs="Arial"/>
          <w:i/>
          <w:sz w:val="24"/>
          <w:szCs w:val="24"/>
        </w:rPr>
      </w:pPr>
    </w:p>
    <w:p w14:paraId="3A271787" w14:textId="590ABAAB" w:rsidR="000C2930" w:rsidRPr="00344718" w:rsidRDefault="000C2930" w:rsidP="000C2930">
      <w:pPr>
        <w:spacing w:line="240" w:lineRule="auto"/>
        <w:jc w:val="both"/>
        <w:rPr>
          <w:rFonts w:asciiTheme="minorHAnsi" w:hAnsiTheme="minorHAnsi" w:cs="Arial"/>
          <w:i/>
          <w:sz w:val="24"/>
          <w:szCs w:val="24"/>
        </w:rPr>
      </w:pPr>
      <w:r w:rsidRPr="00344718">
        <w:rPr>
          <w:rFonts w:asciiTheme="minorHAnsi" w:hAnsiTheme="minorHAnsi" w:cs="Arial"/>
          <w:i/>
          <w:sz w:val="24"/>
          <w:szCs w:val="24"/>
        </w:rPr>
        <w:t xml:space="preserve">I have highlighted </w:t>
      </w:r>
      <w:r w:rsidR="001D2C10" w:rsidRPr="00344718">
        <w:rPr>
          <w:rFonts w:asciiTheme="minorHAnsi" w:hAnsiTheme="minorHAnsi" w:cs="Arial"/>
          <w:i/>
          <w:sz w:val="24"/>
          <w:szCs w:val="24"/>
        </w:rPr>
        <w:t xml:space="preserve">some </w:t>
      </w:r>
      <w:r w:rsidRPr="00344718">
        <w:rPr>
          <w:rFonts w:asciiTheme="minorHAnsi" w:hAnsiTheme="minorHAnsi" w:cs="Arial"/>
          <w:i/>
          <w:sz w:val="24"/>
          <w:szCs w:val="24"/>
        </w:rPr>
        <w:t>uncertaint</w:t>
      </w:r>
      <w:r w:rsidR="001D2C10" w:rsidRPr="00344718">
        <w:rPr>
          <w:rFonts w:asciiTheme="minorHAnsi" w:hAnsiTheme="minorHAnsi" w:cs="Arial"/>
          <w:i/>
          <w:sz w:val="24"/>
          <w:szCs w:val="24"/>
        </w:rPr>
        <w:t>ies</w:t>
      </w:r>
      <w:r w:rsidRPr="00344718">
        <w:rPr>
          <w:rFonts w:asciiTheme="minorHAnsi" w:hAnsiTheme="minorHAnsi" w:cs="Arial"/>
          <w:i/>
          <w:sz w:val="24"/>
          <w:szCs w:val="24"/>
        </w:rPr>
        <w:t xml:space="preserve"> </w:t>
      </w:r>
      <w:r w:rsidR="00344718" w:rsidRPr="00344718">
        <w:rPr>
          <w:rFonts w:asciiTheme="minorHAnsi" w:hAnsiTheme="minorHAnsi" w:cs="Arial"/>
          <w:i/>
          <w:sz w:val="24"/>
          <w:szCs w:val="24"/>
        </w:rPr>
        <w:t xml:space="preserve">to the PFCC and </w:t>
      </w:r>
      <w:r w:rsidRPr="00344718">
        <w:rPr>
          <w:rFonts w:asciiTheme="minorHAnsi" w:hAnsiTheme="minorHAnsi" w:cs="Arial"/>
          <w:i/>
          <w:sz w:val="24"/>
          <w:szCs w:val="24"/>
        </w:rPr>
        <w:t>within this report</w:t>
      </w:r>
      <w:r w:rsidR="00344718" w:rsidRPr="00344718">
        <w:rPr>
          <w:rFonts w:asciiTheme="minorHAnsi" w:hAnsiTheme="minorHAnsi" w:cs="Arial"/>
          <w:i/>
          <w:sz w:val="24"/>
          <w:szCs w:val="24"/>
        </w:rPr>
        <w:t xml:space="preserve">, </w:t>
      </w:r>
      <w:r w:rsidRPr="00344718">
        <w:rPr>
          <w:rFonts w:asciiTheme="minorHAnsi" w:hAnsiTheme="minorHAnsi" w:cs="Arial"/>
          <w:i/>
          <w:sz w:val="24"/>
          <w:szCs w:val="24"/>
        </w:rPr>
        <w:t>and as such</w:t>
      </w:r>
      <w:r w:rsidR="00344718" w:rsidRPr="00344718">
        <w:rPr>
          <w:rFonts w:asciiTheme="minorHAnsi" w:hAnsiTheme="minorHAnsi" w:cs="Arial"/>
          <w:i/>
          <w:sz w:val="24"/>
          <w:szCs w:val="24"/>
        </w:rPr>
        <w:t>,</w:t>
      </w:r>
      <w:r w:rsidRPr="00344718">
        <w:rPr>
          <w:rFonts w:asciiTheme="minorHAnsi" w:hAnsiTheme="minorHAnsi" w:cs="Arial"/>
          <w:i/>
          <w:sz w:val="24"/>
          <w:szCs w:val="24"/>
        </w:rPr>
        <w:t xml:space="preserve"> contingenc</w:t>
      </w:r>
      <w:r w:rsidR="00310079" w:rsidRPr="00344718">
        <w:rPr>
          <w:rFonts w:asciiTheme="minorHAnsi" w:hAnsiTheme="minorHAnsi" w:cs="Arial"/>
          <w:i/>
          <w:sz w:val="24"/>
          <w:szCs w:val="24"/>
        </w:rPr>
        <w:t>ies</w:t>
      </w:r>
      <w:r w:rsidRPr="00344718">
        <w:rPr>
          <w:rFonts w:asciiTheme="minorHAnsi" w:hAnsiTheme="minorHAnsi" w:cs="Arial"/>
          <w:i/>
          <w:sz w:val="24"/>
          <w:szCs w:val="24"/>
        </w:rPr>
        <w:t xml:space="preserve"> </w:t>
      </w:r>
      <w:r w:rsidR="00344718" w:rsidRPr="00344718">
        <w:rPr>
          <w:rFonts w:asciiTheme="minorHAnsi" w:hAnsiTheme="minorHAnsi" w:cs="Arial"/>
          <w:i/>
          <w:sz w:val="24"/>
          <w:szCs w:val="24"/>
        </w:rPr>
        <w:t xml:space="preserve">have been ring-fenced </w:t>
      </w:r>
      <w:r w:rsidRPr="00344718">
        <w:rPr>
          <w:rFonts w:asciiTheme="minorHAnsi" w:hAnsiTheme="minorHAnsi" w:cs="Arial"/>
          <w:i/>
          <w:sz w:val="24"/>
          <w:szCs w:val="24"/>
        </w:rPr>
        <w:t>within the revenue budget to mitigate risk.</w:t>
      </w:r>
      <w:r w:rsidR="00D953AE" w:rsidRPr="00344718">
        <w:rPr>
          <w:rFonts w:asciiTheme="minorHAnsi" w:hAnsiTheme="minorHAnsi" w:cs="Arial"/>
          <w:i/>
          <w:sz w:val="24"/>
          <w:szCs w:val="24"/>
        </w:rPr>
        <w:t xml:space="preserve"> </w:t>
      </w:r>
      <w:r w:rsidRPr="00344718">
        <w:rPr>
          <w:rFonts w:asciiTheme="minorHAnsi" w:hAnsiTheme="minorHAnsi" w:cs="Arial"/>
          <w:i/>
          <w:sz w:val="24"/>
          <w:szCs w:val="24"/>
        </w:rPr>
        <w:t xml:space="preserve"> The PFCC has </w:t>
      </w:r>
      <w:r w:rsidR="002A7A12" w:rsidRPr="00344718">
        <w:rPr>
          <w:rFonts w:asciiTheme="minorHAnsi" w:hAnsiTheme="minorHAnsi" w:cs="Arial"/>
          <w:i/>
          <w:sz w:val="24"/>
          <w:szCs w:val="24"/>
        </w:rPr>
        <w:t>adequate</w:t>
      </w:r>
      <w:r w:rsidRPr="00344718">
        <w:rPr>
          <w:rFonts w:asciiTheme="minorHAnsi" w:hAnsiTheme="minorHAnsi" w:cs="Arial"/>
          <w:i/>
          <w:sz w:val="24"/>
          <w:szCs w:val="24"/>
        </w:rPr>
        <w:t xml:space="preserve"> levels of general and </w:t>
      </w:r>
      <w:r w:rsidR="0081263C" w:rsidRPr="00344718">
        <w:rPr>
          <w:rFonts w:asciiTheme="minorHAnsi" w:hAnsiTheme="minorHAnsi" w:cs="Arial"/>
          <w:i/>
          <w:sz w:val="24"/>
          <w:szCs w:val="24"/>
        </w:rPr>
        <w:t>earmarked</w:t>
      </w:r>
      <w:r w:rsidR="00344718" w:rsidRPr="00344718">
        <w:rPr>
          <w:rFonts w:asciiTheme="minorHAnsi" w:hAnsiTheme="minorHAnsi" w:cs="Arial"/>
          <w:i/>
          <w:sz w:val="24"/>
          <w:szCs w:val="24"/>
        </w:rPr>
        <w:t xml:space="preserve"> reserves</w:t>
      </w:r>
      <w:r w:rsidR="0081263C" w:rsidRPr="00344718">
        <w:rPr>
          <w:rFonts w:asciiTheme="minorHAnsi" w:hAnsiTheme="minorHAnsi" w:cs="Arial"/>
          <w:i/>
          <w:sz w:val="24"/>
          <w:szCs w:val="24"/>
        </w:rPr>
        <w:t xml:space="preserve"> </w:t>
      </w:r>
      <w:r w:rsidRPr="00344718">
        <w:rPr>
          <w:rFonts w:asciiTheme="minorHAnsi" w:hAnsiTheme="minorHAnsi" w:cs="Arial"/>
          <w:i/>
          <w:sz w:val="24"/>
          <w:szCs w:val="24"/>
        </w:rPr>
        <w:t xml:space="preserve">to mitigate </w:t>
      </w:r>
      <w:r w:rsidR="001066CF">
        <w:rPr>
          <w:rFonts w:asciiTheme="minorHAnsi" w:hAnsiTheme="minorHAnsi" w:cs="Arial"/>
          <w:i/>
          <w:sz w:val="24"/>
          <w:szCs w:val="24"/>
        </w:rPr>
        <w:t>a</w:t>
      </w:r>
      <w:r w:rsidRPr="00344718">
        <w:rPr>
          <w:rFonts w:asciiTheme="minorHAnsi" w:hAnsiTheme="minorHAnsi" w:cs="Arial"/>
          <w:i/>
          <w:sz w:val="24"/>
          <w:szCs w:val="24"/>
        </w:rPr>
        <w:t xml:space="preserve"> </w:t>
      </w:r>
      <w:r w:rsidR="00A05ED1">
        <w:rPr>
          <w:rFonts w:asciiTheme="minorHAnsi" w:hAnsiTheme="minorHAnsi" w:cs="Arial"/>
          <w:i/>
          <w:sz w:val="24"/>
          <w:szCs w:val="24"/>
        </w:rPr>
        <w:t xml:space="preserve">likely level of </w:t>
      </w:r>
      <w:r w:rsidRPr="00344718">
        <w:rPr>
          <w:rFonts w:asciiTheme="minorHAnsi" w:hAnsiTheme="minorHAnsi" w:cs="Arial"/>
          <w:i/>
          <w:sz w:val="24"/>
          <w:szCs w:val="24"/>
        </w:rPr>
        <w:t>in</w:t>
      </w:r>
      <w:r w:rsidR="00344718" w:rsidRPr="00344718">
        <w:rPr>
          <w:rFonts w:asciiTheme="minorHAnsi" w:hAnsiTheme="minorHAnsi" w:cs="Arial"/>
          <w:i/>
          <w:sz w:val="24"/>
          <w:szCs w:val="24"/>
        </w:rPr>
        <w:t>-</w:t>
      </w:r>
      <w:r w:rsidRPr="00344718">
        <w:rPr>
          <w:rFonts w:asciiTheme="minorHAnsi" w:hAnsiTheme="minorHAnsi" w:cs="Arial"/>
          <w:i/>
          <w:sz w:val="24"/>
          <w:szCs w:val="24"/>
        </w:rPr>
        <w:t xml:space="preserve">year or medium term unforeseen financial pressures. </w:t>
      </w:r>
    </w:p>
    <w:p w14:paraId="1344BB9C" w14:textId="77777777" w:rsidR="00325C81" w:rsidRPr="00344718" w:rsidRDefault="00325C81" w:rsidP="006500AF">
      <w:pPr>
        <w:spacing w:line="240" w:lineRule="auto"/>
        <w:jc w:val="both"/>
        <w:rPr>
          <w:rFonts w:asciiTheme="minorHAnsi" w:hAnsiTheme="minorHAnsi" w:cs="Arial"/>
          <w:b/>
          <w:bCs/>
          <w:i/>
          <w:sz w:val="24"/>
          <w:szCs w:val="24"/>
        </w:rPr>
      </w:pPr>
    </w:p>
    <w:p w14:paraId="14A5C3DB" w14:textId="65A45F5D" w:rsidR="000C2930" w:rsidRPr="00344718" w:rsidRDefault="000C2930" w:rsidP="000C2930">
      <w:pPr>
        <w:spacing w:line="240" w:lineRule="auto"/>
        <w:ind w:left="567" w:hanging="567"/>
        <w:jc w:val="both"/>
        <w:rPr>
          <w:rFonts w:asciiTheme="minorHAnsi" w:hAnsiTheme="minorHAnsi" w:cs="Arial"/>
          <w:i/>
          <w:sz w:val="24"/>
          <w:szCs w:val="24"/>
        </w:rPr>
      </w:pPr>
      <w:r w:rsidRPr="00344718">
        <w:rPr>
          <w:rFonts w:asciiTheme="minorHAnsi" w:hAnsiTheme="minorHAnsi" w:cs="Arial"/>
          <w:i/>
          <w:sz w:val="24"/>
          <w:szCs w:val="24"/>
        </w:rPr>
        <w:t xml:space="preserve">I conclude, therefore, that the budget for </w:t>
      </w:r>
      <w:r w:rsidR="008C38F1" w:rsidRPr="00344718">
        <w:rPr>
          <w:rFonts w:asciiTheme="minorHAnsi" w:hAnsiTheme="minorHAnsi" w:cs="Arial"/>
          <w:i/>
          <w:sz w:val="24"/>
          <w:szCs w:val="24"/>
        </w:rPr>
        <w:t>202</w:t>
      </w:r>
      <w:r w:rsidR="00344718" w:rsidRPr="00344718">
        <w:rPr>
          <w:rFonts w:asciiTheme="minorHAnsi" w:hAnsiTheme="minorHAnsi" w:cs="Arial"/>
          <w:i/>
          <w:sz w:val="24"/>
          <w:szCs w:val="24"/>
        </w:rPr>
        <w:t>5</w:t>
      </w:r>
      <w:r w:rsidR="008C38F1" w:rsidRPr="00344718">
        <w:rPr>
          <w:rFonts w:asciiTheme="minorHAnsi" w:hAnsiTheme="minorHAnsi" w:cs="Arial"/>
          <w:i/>
          <w:sz w:val="24"/>
          <w:szCs w:val="24"/>
        </w:rPr>
        <w:t>/2</w:t>
      </w:r>
      <w:r w:rsidR="00344718" w:rsidRPr="00344718">
        <w:rPr>
          <w:rFonts w:asciiTheme="minorHAnsi" w:hAnsiTheme="minorHAnsi" w:cs="Arial"/>
          <w:i/>
          <w:sz w:val="24"/>
          <w:szCs w:val="24"/>
        </w:rPr>
        <w:t>6</w:t>
      </w:r>
      <w:r w:rsidRPr="00344718">
        <w:rPr>
          <w:rFonts w:asciiTheme="minorHAnsi" w:hAnsiTheme="minorHAnsi" w:cs="Arial"/>
          <w:i/>
          <w:sz w:val="24"/>
          <w:szCs w:val="24"/>
        </w:rPr>
        <w:t>:</w:t>
      </w:r>
    </w:p>
    <w:p w14:paraId="365763C1" w14:textId="77777777" w:rsidR="000C2930" w:rsidRPr="00344718" w:rsidRDefault="000C2930" w:rsidP="000C2930">
      <w:pPr>
        <w:spacing w:line="240" w:lineRule="auto"/>
        <w:ind w:left="567" w:hanging="567"/>
        <w:jc w:val="both"/>
        <w:rPr>
          <w:rFonts w:asciiTheme="minorHAnsi" w:hAnsiTheme="minorHAnsi" w:cs="Arial"/>
          <w:i/>
          <w:sz w:val="24"/>
          <w:szCs w:val="24"/>
        </w:rPr>
      </w:pPr>
    </w:p>
    <w:p w14:paraId="519AA99F" w14:textId="22872EEA" w:rsidR="000C2930" w:rsidRPr="00344718" w:rsidRDefault="000C2930" w:rsidP="00BD46B3">
      <w:pPr>
        <w:pStyle w:val="ListParagraph"/>
        <w:numPr>
          <w:ilvl w:val="0"/>
          <w:numId w:val="1"/>
        </w:numPr>
        <w:spacing w:line="240" w:lineRule="auto"/>
        <w:ind w:left="567" w:hanging="567"/>
        <w:jc w:val="both"/>
        <w:rPr>
          <w:rFonts w:asciiTheme="minorHAnsi" w:hAnsiTheme="minorHAnsi" w:cs="Arial"/>
          <w:i/>
          <w:sz w:val="24"/>
          <w:szCs w:val="24"/>
        </w:rPr>
      </w:pPr>
      <w:r w:rsidRPr="00344718">
        <w:rPr>
          <w:rFonts w:asciiTheme="minorHAnsi" w:hAnsiTheme="minorHAnsi" w:cs="Arial"/>
          <w:i/>
          <w:sz w:val="24"/>
          <w:szCs w:val="24"/>
        </w:rPr>
        <w:t>Has been prepared on a robust basis</w:t>
      </w:r>
      <w:r w:rsidR="006500AF" w:rsidRPr="00344718">
        <w:rPr>
          <w:rFonts w:asciiTheme="minorHAnsi" w:hAnsiTheme="minorHAnsi" w:cs="Arial"/>
          <w:i/>
          <w:sz w:val="24"/>
          <w:szCs w:val="24"/>
        </w:rPr>
        <w:t>.</w:t>
      </w:r>
    </w:p>
    <w:p w14:paraId="356A0FAE" w14:textId="77777777" w:rsidR="000C2930" w:rsidRPr="00344718" w:rsidRDefault="000C2930" w:rsidP="000C2930">
      <w:pPr>
        <w:spacing w:line="240" w:lineRule="auto"/>
        <w:ind w:left="567" w:hanging="567"/>
        <w:jc w:val="both"/>
        <w:rPr>
          <w:rFonts w:asciiTheme="minorHAnsi" w:hAnsiTheme="minorHAnsi" w:cs="Arial"/>
          <w:i/>
          <w:sz w:val="24"/>
          <w:szCs w:val="24"/>
        </w:rPr>
      </w:pPr>
    </w:p>
    <w:p w14:paraId="2C04B80E" w14:textId="30090D7E" w:rsidR="000C2930" w:rsidRPr="00344718" w:rsidRDefault="000C2930" w:rsidP="00BD46B3">
      <w:pPr>
        <w:pStyle w:val="ListParagraph"/>
        <w:numPr>
          <w:ilvl w:val="0"/>
          <w:numId w:val="1"/>
        </w:numPr>
        <w:spacing w:line="240" w:lineRule="auto"/>
        <w:ind w:left="567" w:hanging="567"/>
        <w:jc w:val="both"/>
        <w:rPr>
          <w:rFonts w:asciiTheme="minorHAnsi" w:hAnsiTheme="minorHAnsi" w:cs="Arial"/>
          <w:i/>
          <w:sz w:val="24"/>
          <w:szCs w:val="24"/>
        </w:rPr>
      </w:pPr>
      <w:r w:rsidRPr="00344718">
        <w:rPr>
          <w:rFonts w:asciiTheme="minorHAnsi" w:hAnsiTheme="minorHAnsi" w:cs="Arial"/>
          <w:i/>
          <w:sz w:val="24"/>
          <w:szCs w:val="24"/>
        </w:rPr>
        <w:t xml:space="preserve">In </w:t>
      </w:r>
      <w:r w:rsidR="008C38F1" w:rsidRPr="00344718">
        <w:rPr>
          <w:rFonts w:asciiTheme="minorHAnsi" w:hAnsiTheme="minorHAnsi" w:cs="Arial"/>
          <w:i/>
          <w:sz w:val="24"/>
          <w:szCs w:val="24"/>
        </w:rPr>
        <w:t>202</w:t>
      </w:r>
      <w:r w:rsidR="00344718" w:rsidRPr="00344718">
        <w:rPr>
          <w:rFonts w:asciiTheme="minorHAnsi" w:hAnsiTheme="minorHAnsi" w:cs="Arial"/>
          <w:i/>
          <w:sz w:val="24"/>
          <w:szCs w:val="24"/>
        </w:rPr>
        <w:t>5</w:t>
      </w:r>
      <w:r w:rsidR="008C38F1" w:rsidRPr="00344718">
        <w:rPr>
          <w:rFonts w:asciiTheme="minorHAnsi" w:hAnsiTheme="minorHAnsi" w:cs="Arial"/>
          <w:i/>
          <w:sz w:val="24"/>
          <w:szCs w:val="24"/>
        </w:rPr>
        <w:t>/2</w:t>
      </w:r>
      <w:r w:rsidR="00344718" w:rsidRPr="00344718">
        <w:rPr>
          <w:rFonts w:asciiTheme="minorHAnsi" w:hAnsiTheme="minorHAnsi" w:cs="Arial"/>
          <w:i/>
          <w:sz w:val="24"/>
          <w:szCs w:val="24"/>
        </w:rPr>
        <w:t>6</w:t>
      </w:r>
      <w:r w:rsidRPr="00344718">
        <w:rPr>
          <w:rFonts w:asciiTheme="minorHAnsi" w:hAnsiTheme="minorHAnsi" w:cs="Arial"/>
          <w:i/>
          <w:sz w:val="24"/>
          <w:szCs w:val="24"/>
        </w:rPr>
        <w:t xml:space="preserve">, the budget is balanced </w:t>
      </w:r>
      <w:r w:rsidR="006B2D15" w:rsidRPr="00344718">
        <w:rPr>
          <w:rFonts w:asciiTheme="minorHAnsi" w:hAnsiTheme="minorHAnsi" w:cs="Arial"/>
          <w:i/>
          <w:sz w:val="24"/>
          <w:szCs w:val="24"/>
        </w:rPr>
        <w:t xml:space="preserve">with </w:t>
      </w:r>
      <w:r w:rsidRPr="00344718">
        <w:rPr>
          <w:rFonts w:asciiTheme="minorHAnsi" w:hAnsiTheme="minorHAnsi" w:cs="Arial"/>
          <w:i/>
          <w:sz w:val="24"/>
          <w:szCs w:val="24"/>
        </w:rPr>
        <w:t>agreed efficienc</w:t>
      </w:r>
      <w:r w:rsidR="00310079" w:rsidRPr="00344718">
        <w:rPr>
          <w:rFonts w:asciiTheme="minorHAnsi" w:hAnsiTheme="minorHAnsi" w:cs="Arial"/>
          <w:i/>
          <w:sz w:val="24"/>
          <w:szCs w:val="24"/>
        </w:rPr>
        <w:t xml:space="preserve">ies </w:t>
      </w:r>
      <w:r w:rsidR="00A50652" w:rsidRPr="00344718">
        <w:rPr>
          <w:rFonts w:asciiTheme="minorHAnsi" w:hAnsiTheme="minorHAnsi" w:cs="Arial"/>
          <w:i/>
          <w:sz w:val="24"/>
          <w:szCs w:val="24"/>
        </w:rPr>
        <w:t xml:space="preserve">which </w:t>
      </w:r>
      <w:r w:rsidR="00310079" w:rsidRPr="00344718">
        <w:rPr>
          <w:rFonts w:asciiTheme="minorHAnsi" w:hAnsiTheme="minorHAnsi" w:cs="Arial"/>
          <w:i/>
          <w:sz w:val="24"/>
          <w:szCs w:val="24"/>
        </w:rPr>
        <w:t>have been identified by the Chief Fire Officer and built into the budget</w:t>
      </w:r>
      <w:r w:rsidR="006500AF" w:rsidRPr="00344718">
        <w:rPr>
          <w:rFonts w:asciiTheme="minorHAnsi" w:hAnsiTheme="minorHAnsi" w:cs="Arial"/>
          <w:i/>
          <w:sz w:val="24"/>
          <w:szCs w:val="24"/>
        </w:rPr>
        <w:t>.</w:t>
      </w:r>
    </w:p>
    <w:p w14:paraId="5C087611" w14:textId="77777777" w:rsidR="00F115BD" w:rsidRPr="00344718" w:rsidRDefault="00F115BD" w:rsidP="00F115BD">
      <w:pPr>
        <w:pStyle w:val="ListParagraph"/>
        <w:spacing w:line="240" w:lineRule="auto"/>
        <w:ind w:left="567"/>
        <w:jc w:val="both"/>
        <w:rPr>
          <w:rFonts w:asciiTheme="minorHAnsi" w:hAnsiTheme="minorHAnsi" w:cs="Arial"/>
          <w:i/>
          <w:sz w:val="24"/>
          <w:szCs w:val="24"/>
        </w:rPr>
      </w:pPr>
    </w:p>
    <w:p w14:paraId="4C15B0B3" w14:textId="1ABF7AB1" w:rsidR="000C2930" w:rsidRPr="00344718" w:rsidRDefault="0081263C" w:rsidP="00BD46B3">
      <w:pPr>
        <w:pStyle w:val="ListParagraph"/>
        <w:numPr>
          <w:ilvl w:val="0"/>
          <w:numId w:val="1"/>
        </w:numPr>
        <w:spacing w:line="240" w:lineRule="auto"/>
        <w:ind w:left="567" w:hanging="567"/>
        <w:jc w:val="both"/>
        <w:rPr>
          <w:rFonts w:asciiTheme="minorHAnsi" w:hAnsiTheme="minorHAnsi" w:cs="Arial"/>
          <w:i/>
          <w:sz w:val="24"/>
          <w:szCs w:val="24"/>
        </w:rPr>
      </w:pPr>
      <w:r w:rsidRPr="00344718">
        <w:rPr>
          <w:rFonts w:asciiTheme="minorHAnsi" w:hAnsiTheme="minorHAnsi" w:cs="Arial"/>
          <w:i/>
          <w:sz w:val="24"/>
          <w:szCs w:val="24"/>
        </w:rPr>
        <w:t>General reserve</w:t>
      </w:r>
      <w:r w:rsidR="000C2930" w:rsidRPr="00344718">
        <w:rPr>
          <w:rFonts w:asciiTheme="minorHAnsi" w:hAnsiTheme="minorHAnsi" w:cs="Arial"/>
          <w:i/>
          <w:sz w:val="24"/>
          <w:szCs w:val="24"/>
        </w:rPr>
        <w:t>s are</w:t>
      </w:r>
      <w:r w:rsidR="00F115BD" w:rsidRPr="00344718">
        <w:rPr>
          <w:rFonts w:asciiTheme="minorHAnsi" w:hAnsiTheme="minorHAnsi" w:cs="Arial"/>
          <w:i/>
          <w:sz w:val="24"/>
          <w:szCs w:val="24"/>
        </w:rPr>
        <w:t xml:space="preserve"> currently </w:t>
      </w:r>
      <w:r w:rsidR="002A7A12" w:rsidRPr="00344718">
        <w:rPr>
          <w:rFonts w:asciiTheme="minorHAnsi" w:hAnsiTheme="minorHAnsi" w:cs="Arial"/>
          <w:i/>
          <w:sz w:val="24"/>
          <w:szCs w:val="24"/>
        </w:rPr>
        <w:t xml:space="preserve">adequate and sufficient </w:t>
      </w:r>
      <w:r w:rsidR="000C2930" w:rsidRPr="00344718">
        <w:rPr>
          <w:rFonts w:asciiTheme="minorHAnsi" w:hAnsiTheme="minorHAnsi" w:cs="Arial"/>
          <w:i/>
          <w:sz w:val="24"/>
          <w:szCs w:val="24"/>
        </w:rPr>
        <w:t>to meet essential risks and challenges</w:t>
      </w:r>
      <w:r w:rsidR="00F115BD" w:rsidRPr="00344718">
        <w:rPr>
          <w:rFonts w:asciiTheme="minorHAnsi" w:hAnsiTheme="minorHAnsi" w:cs="Arial"/>
          <w:i/>
          <w:sz w:val="24"/>
          <w:szCs w:val="24"/>
        </w:rPr>
        <w:t xml:space="preserve">. If </w:t>
      </w:r>
      <w:r w:rsidR="006500AF" w:rsidRPr="00344718">
        <w:rPr>
          <w:rFonts w:asciiTheme="minorHAnsi" w:hAnsiTheme="minorHAnsi" w:cs="Arial"/>
          <w:i/>
          <w:sz w:val="24"/>
          <w:szCs w:val="24"/>
        </w:rPr>
        <w:t>possible</w:t>
      </w:r>
      <w:r w:rsidR="00F115BD" w:rsidRPr="00344718">
        <w:rPr>
          <w:rFonts w:asciiTheme="minorHAnsi" w:hAnsiTheme="minorHAnsi" w:cs="Arial"/>
          <w:i/>
          <w:sz w:val="24"/>
          <w:szCs w:val="24"/>
        </w:rPr>
        <w:t>, general</w:t>
      </w:r>
      <w:r w:rsidR="000C2930" w:rsidRPr="00344718">
        <w:rPr>
          <w:rFonts w:asciiTheme="minorHAnsi" w:hAnsiTheme="minorHAnsi" w:cs="Arial"/>
          <w:i/>
          <w:sz w:val="24"/>
          <w:szCs w:val="24"/>
        </w:rPr>
        <w:t xml:space="preserve"> and </w:t>
      </w:r>
      <w:r w:rsidRPr="00344718">
        <w:rPr>
          <w:rFonts w:asciiTheme="minorHAnsi" w:hAnsiTheme="minorHAnsi" w:cs="Arial"/>
          <w:i/>
          <w:sz w:val="24"/>
          <w:szCs w:val="24"/>
        </w:rPr>
        <w:t>earmarked reserve</w:t>
      </w:r>
      <w:r w:rsidR="000C2930" w:rsidRPr="00344718">
        <w:rPr>
          <w:rFonts w:asciiTheme="minorHAnsi" w:hAnsiTheme="minorHAnsi" w:cs="Arial"/>
          <w:i/>
          <w:sz w:val="24"/>
          <w:szCs w:val="24"/>
        </w:rPr>
        <w:t>s will continue to be built</w:t>
      </w:r>
      <w:r w:rsidR="00344718" w:rsidRPr="00344718">
        <w:rPr>
          <w:rFonts w:asciiTheme="minorHAnsi" w:hAnsiTheme="minorHAnsi" w:cs="Arial"/>
          <w:i/>
          <w:sz w:val="24"/>
          <w:szCs w:val="24"/>
        </w:rPr>
        <w:t xml:space="preserve"> up</w:t>
      </w:r>
      <w:r w:rsidR="000C2930" w:rsidRPr="00344718">
        <w:rPr>
          <w:rFonts w:asciiTheme="minorHAnsi" w:hAnsiTheme="minorHAnsi" w:cs="Arial"/>
          <w:i/>
          <w:sz w:val="24"/>
          <w:szCs w:val="24"/>
        </w:rPr>
        <w:t xml:space="preserve"> where it is appropriate and prudent to do so.</w:t>
      </w:r>
    </w:p>
    <w:p w14:paraId="7728A508" w14:textId="77777777" w:rsidR="000C2930" w:rsidRPr="00344718" w:rsidRDefault="000C2930" w:rsidP="000C2930">
      <w:pPr>
        <w:pStyle w:val="ListParagraph"/>
        <w:ind w:left="1134" w:hanging="283"/>
        <w:jc w:val="both"/>
        <w:rPr>
          <w:rFonts w:asciiTheme="minorHAnsi" w:hAnsiTheme="minorHAnsi" w:cs="Arial"/>
          <w:i/>
          <w:sz w:val="24"/>
          <w:szCs w:val="24"/>
        </w:rPr>
      </w:pPr>
    </w:p>
    <w:p w14:paraId="22009A83" w14:textId="01C440B5" w:rsidR="006500AF" w:rsidRPr="00344718" w:rsidRDefault="000C2930" w:rsidP="00BD46B3">
      <w:pPr>
        <w:pStyle w:val="ListParagraph"/>
        <w:numPr>
          <w:ilvl w:val="0"/>
          <w:numId w:val="1"/>
        </w:numPr>
        <w:spacing w:line="240" w:lineRule="auto"/>
        <w:ind w:left="567" w:hanging="567"/>
        <w:jc w:val="both"/>
        <w:rPr>
          <w:rFonts w:asciiTheme="minorHAnsi" w:hAnsiTheme="minorHAnsi" w:cs="Arial"/>
          <w:i/>
          <w:sz w:val="24"/>
          <w:szCs w:val="24"/>
        </w:rPr>
      </w:pPr>
      <w:r w:rsidRPr="00344718">
        <w:rPr>
          <w:rFonts w:asciiTheme="minorHAnsi" w:hAnsiTheme="minorHAnsi" w:cs="Arial"/>
          <w:i/>
          <w:sz w:val="24"/>
          <w:szCs w:val="24"/>
        </w:rPr>
        <w:t xml:space="preserve">The revenue budget and </w:t>
      </w:r>
      <w:r w:rsidR="0081263C" w:rsidRPr="00344718">
        <w:rPr>
          <w:rFonts w:asciiTheme="minorHAnsi" w:hAnsiTheme="minorHAnsi" w:cs="Arial"/>
          <w:i/>
          <w:sz w:val="24"/>
          <w:szCs w:val="24"/>
        </w:rPr>
        <w:t>reserve</w:t>
      </w:r>
      <w:r w:rsidRPr="00344718">
        <w:rPr>
          <w:rFonts w:asciiTheme="minorHAnsi" w:hAnsiTheme="minorHAnsi" w:cs="Arial"/>
          <w:i/>
          <w:sz w:val="24"/>
          <w:szCs w:val="24"/>
        </w:rPr>
        <w:t>s are resilient</w:t>
      </w:r>
      <w:r w:rsidR="009428A9" w:rsidRPr="00344718">
        <w:rPr>
          <w:rFonts w:asciiTheme="minorHAnsi" w:hAnsiTheme="minorHAnsi" w:cs="Arial"/>
          <w:i/>
          <w:sz w:val="24"/>
          <w:szCs w:val="24"/>
        </w:rPr>
        <w:t>,</w:t>
      </w:r>
      <w:r w:rsidRPr="00344718">
        <w:rPr>
          <w:rFonts w:asciiTheme="minorHAnsi" w:hAnsiTheme="minorHAnsi" w:cs="Arial"/>
          <w:i/>
          <w:sz w:val="24"/>
          <w:szCs w:val="24"/>
        </w:rPr>
        <w:t xml:space="preserve"> and it is important that the budget is managed within the funding envelope each year and </w:t>
      </w:r>
      <w:r w:rsidR="0081263C" w:rsidRPr="00344718">
        <w:rPr>
          <w:rFonts w:asciiTheme="minorHAnsi" w:hAnsiTheme="minorHAnsi" w:cs="Arial"/>
          <w:i/>
          <w:sz w:val="24"/>
          <w:szCs w:val="24"/>
        </w:rPr>
        <w:t>earmarked reserve</w:t>
      </w:r>
      <w:r w:rsidRPr="00344718">
        <w:rPr>
          <w:rFonts w:asciiTheme="minorHAnsi" w:hAnsiTheme="minorHAnsi" w:cs="Arial"/>
          <w:i/>
          <w:sz w:val="24"/>
          <w:szCs w:val="24"/>
        </w:rPr>
        <w:t>s are used where appropriate to support unforeseen issues or additional investment, n</w:t>
      </w:r>
      <w:r w:rsidR="001D2C10" w:rsidRPr="00344718">
        <w:rPr>
          <w:rFonts w:asciiTheme="minorHAnsi" w:hAnsiTheme="minorHAnsi" w:cs="Arial"/>
          <w:i/>
          <w:sz w:val="24"/>
          <w:szCs w:val="24"/>
        </w:rPr>
        <w:t>o</w:t>
      </w:r>
      <w:r w:rsidRPr="00344718">
        <w:rPr>
          <w:rFonts w:asciiTheme="minorHAnsi" w:hAnsiTheme="minorHAnsi" w:cs="Arial"/>
          <w:i/>
          <w:sz w:val="24"/>
          <w:szCs w:val="24"/>
        </w:rPr>
        <w:t>t to balance the annual budget.</w:t>
      </w:r>
    </w:p>
    <w:p w14:paraId="0B2B9505" w14:textId="77777777" w:rsidR="006500AF" w:rsidRPr="00344718" w:rsidRDefault="006500AF" w:rsidP="006500AF">
      <w:pPr>
        <w:pStyle w:val="ListParagraph"/>
        <w:spacing w:line="240" w:lineRule="auto"/>
        <w:ind w:left="567"/>
        <w:jc w:val="both"/>
        <w:rPr>
          <w:rFonts w:asciiTheme="minorHAnsi" w:hAnsiTheme="minorHAnsi" w:cs="Arial"/>
          <w:i/>
          <w:sz w:val="24"/>
          <w:szCs w:val="24"/>
        </w:rPr>
      </w:pPr>
    </w:p>
    <w:p w14:paraId="7F00C1FB" w14:textId="4DA5B5E2" w:rsidR="000C2930" w:rsidRPr="00344718" w:rsidRDefault="000C2930" w:rsidP="00BD46B3">
      <w:pPr>
        <w:pStyle w:val="ListParagraph"/>
        <w:numPr>
          <w:ilvl w:val="0"/>
          <w:numId w:val="1"/>
        </w:numPr>
        <w:spacing w:line="240" w:lineRule="auto"/>
        <w:ind w:left="567" w:hanging="567"/>
        <w:jc w:val="both"/>
        <w:rPr>
          <w:rFonts w:asciiTheme="minorHAnsi" w:hAnsiTheme="minorHAnsi" w:cs="Arial"/>
          <w:i/>
          <w:sz w:val="24"/>
          <w:szCs w:val="24"/>
        </w:rPr>
      </w:pPr>
      <w:r w:rsidRPr="00344718">
        <w:rPr>
          <w:rFonts w:asciiTheme="minorHAnsi" w:hAnsiTheme="minorHAnsi" w:cs="Arial"/>
          <w:i/>
          <w:sz w:val="24"/>
          <w:szCs w:val="24"/>
        </w:rPr>
        <w:t xml:space="preserve">The future financial landscape is uncertain and whilst the MTFP </w:t>
      </w:r>
      <w:r w:rsidR="00A05ED1">
        <w:rPr>
          <w:rFonts w:asciiTheme="minorHAnsi" w:hAnsiTheme="minorHAnsi" w:cs="Arial"/>
          <w:i/>
          <w:sz w:val="24"/>
          <w:szCs w:val="24"/>
        </w:rPr>
        <w:t>can be</w:t>
      </w:r>
      <w:r w:rsidRPr="00344718">
        <w:rPr>
          <w:rFonts w:asciiTheme="minorHAnsi" w:hAnsiTheme="minorHAnsi" w:cs="Arial"/>
          <w:i/>
          <w:sz w:val="24"/>
          <w:szCs w:val="24"/>
        </w:rPr>
        <w:t xml:space="preserve"> balanced for three years, it does require the identified efficiencies to be taken forward.</w:t>
      </w:r>
      <w:r w:rsidR="00344718" w:rsidRPr="00344718">
        <w:rPr>
          <w:rFonts w:asciiTheme="minorHAnsi" w:hAnsiTheme="minorHAnsi" w:cs="Arial"/>
          <w:i/>
          <w:sz w:val="24"/>
          <w:szCs w:val="24"/>
        </w:rPr>
        <w:t xml:space="preserve"> </w:t>
      </w:r>
      <w:r w:rsidRPr="00344718">
        <w:rPr>
          <w:rFonts w:asciiTheme="minorHAnsi" w:hAnsiTheme="minorHAnsi" w:cs="Arial"/>
          <w:i/>
          <w:sz w:val="24"/>
          <w:szCs w:val="24"/>
        </w:rPr>
        <w:t xml:space="preserve"> The MTFP will continue to be kept under regular review as the efficiency savings plan progresses.”</w:t>
      </w:r>
    </w:p>
    <w:p w14:paraId="677FF56F" w14:textId="6E25CDDA" w:rsidR="00375414" w:rsidRPr="00344718" w:rsidRDefault="00375414" w:rsidP="000C2930">
      <w:pPr>
        <w:spacing w:line="240" w:lineRule="auto"/>
        <w:jc w:val="both"/>
        <w:rPr>
          <w:rFonts w:asciiTheme="minorHAnsi" w:hAnsiTheme="minorHAnsi" w:cs="Arial"/>
          <w:b/>
          <w:sz w:val="24"/>
          <w:szCs w:val="24"/>
        </w:rPr>
      </w:pPr>
    </w:p>
    <w:p w14:paraId="3B57114B" w14:textId="77777777" w:rsidR="009428A9" w:rsidRPr="00344718" w:rsidRDefault="009428A9" w:rsidP="000C2930">
      <w:pPr>
        <w:spacing w:line="240" w:lineRule="auto"/>
        <w:jc w:val="both"/>
        <w:rPr>
          <w:rFonts w:asciiTheme="minorHAnsi" w:hAnsiTheme="minorHAnsi" w:cs="Arial"/>
          <w:b/>
          <w:sz w:val="24"/>
          <w:szCs w:val="24"/>
        </w:rPr>
      </w:pPr>
    </w:p>
    <w:p w14:paraId="6029D0A5" w14:textId="77AA110A" w:rsidR="00375414" w:rsidRPr="00344718" w:rsidRDefault="006500AF" w:rsidP="000C2930">
      <w:pPr>
        <w:spacing w:line="240" w:lineRule="auto"/>
        <w:jc w:val="both"/>
        <w:rPr>
          <w:rFonts w:asciiTheme="minorHAnsi" w:hAnsiTheme="minorHAnsi" w:cs="Arial"/>
          <w:b/>
          <w:sz w:val="24"/>
          <w:szCs w:val="24"/>
        </w:rPr>
      </w:pPr>
      <w:r w:rsidRPr="00344718">
        <w:rPr>
          <w:rFonts w:asciiTheme="minorHAnsi" w:hAnsiTheme="minorHAnsi" w:cs="Arial"/>
          <w:b/>
          <w:sz w:val="24"/>
          <w:szCs w:val="24"/>
        </w:rPr>
        <w:t>Vaughan Ashcroft</w:t>
      </w:r>
    </w:p>
    <w:p w14:paraId="017BA3FF" w14:textId="468234F5" w:rsidR="00375414" w:rsidRPr="00344718" w:rsidRDefault="00375414" w:rsidP="000C2930">
      <w:pPr>
        <w:spacing w:line="240" w:lineRule="auto"/>
        <w:jc w:val="both"/>
        <w:rPr>
          <w:rFonts w:asciiTheme="minorHAnsi" w:hAnsiTheme="minorHAnsi" w:cs="Arial"/>
          <w:b/>
          <w:sz w:val="24"/>
          <w:szCs w:val="24"/>
        </w:rPr>
      </w:pPr>
      <w:r w:rsidRPr="00344718">
        <w:rPr>
          <w:rFonts w:asciiTheme="minorHAnsi" w:hAnsiTheme="minorHAnsi" w:cs="Arial"/>
          <w:b/>
          <w:sz w:val="24"/>
          <w:szCs w:val="24"/>
        </w:rPr>
        <w:t>Section</w:t>
      </w:r>
      <w:r w:rsidR="006500AF" w:rsidRPr="00344718">
        <w:rPr>
          <w:rFonts w:asciiTheme="minorHAnsi" w:hAnsiTheme="minorHAnsi" w:cs="Arial"/>
          <w:b/>
          <w:sz w:val="24"/>
          <w:szCs w:val="24"/>
        </w:rPr>
        <w:t xml:space="preserve"> </w:t>
      </w:r>
      <w:r w:rsidR="006B2D15" w:rsidRPr="00344718">
        <w:rPr>
          <w:rFonts w:asciiTheme="minorHAnsi" w:hAnsiTheme="minorHAnsi" w:cs="Arial"/>
          <w:b/>
          <w:sz w:val="24"/>
          <w:szCs w:val="24"/>
        </w:rPr>
        <w:t>1</w:t>
      </w:r>
      <w:r w:rsidRPr="00344718">
        <w:rPr>
          <w:rFonts w:asciiTheme="minorHAnsi" w:hAnsiTheme="minorHAnsi" w:cs="Arial"/>
          <w:b/>
          <w:sz w:val="24"/>
          <w:szCs w:val="24"/>
        </w:rPr>
        <w:t>51 and Chief Finance Officer</w:t>
      </w:r>
    </w:p>
    <w:p w14:paraId="214A00A2" w14:textId="4C4F4677" w:rsidR="00F115BD" w:rsidRPr="00344718" w:rsidRDefault="00375414" w:rsidP="001066CF">
      <w:pPr>
        <w:spacing w:line="240" w:lineRule="auto"/>
        <w:jc w:val="both"/>
        <w:rPr>
          <w:rFonts w:asciiTheme="minorHAnsi" w:hAnsiTheme="minorHAnsi" w:cs="Arial"/>
          <w:b/>
          <w:sz w:val="24"/>
          <w:szCs w:val="24"/>
        </w:rPr>
      </w:pPr>
      <w:r w:rsidRPr="00344718">
        <w:rPr>
          <w:rFonts w:asciiTheme="minorHAnsi" w:hAnsiTheme="minorHAnsi" w:cs="Arial"/>
          <w:b/>
          <w:sz w:val="24"/>
          <w:szCs w:val="24"/>
        </w:rPr>
        <w:t>Northamptonshire Commissioner Fire and Rescue Authority</w:t>
      </w:r>
    </w:p>
    <w:p w14:paraId="420EA6D8" w14:textId="77777777" w:rsidR="00D54977" w:rsidRDefault="00D54977">
      <w:pPr>
        <w:spacing w:line="240" w:lineRule="auto"/>
        <w:rPr>
          <w:b/>
          <w:bCs/>
          <w:sz w:val="24"/>
          <w:szCs w:val="24"/>
        </w:rPr>
      </w:pPr>
      <w:r>
        <w:rPr>
          <w:b/>
          <w:bCs/>
          <w:sz w:val="24"/>
          <w:szCs w:val="24"/>
        </w:rPr>
        <w:br w:type="page"/>
      </w:r>
    </w:p>
    <w:p w14:paraId="4038FD40" w14:textId="0C29FE54" w:rsidR="009428A9" w:rsidRPr="00436912" w:rsidRDefault="00436912" w:rsidP="009428A9">
      <w:pPr>
        <w:pStyle w:val="NoSpacing"/>
        <w:rPr>
          <w:b/>
          <w:bCs/>
          <w:sz w:val="24"/>
          <w:szCs w:val="24"/>
        </w:rPr>
      </w:pPr>
      <w:r w:rsidRPr="00436912">
        <w:rPr>
          <w:b/>
          <w:bCs/>
          <w:sz w:val="24"/>
          <w:szCs w:val="24"/>
        </w:rPr>
        <w:lastRenderedPageBreak/>
        <w:t>APPENDIX D</w:t>
      </w:r>
    </w:p>
    <w:p w14:paraId="6558621B" w14:textId="77777777" w:rsidR="009428A9" w:rsidRPr="00436912" w:rsidRDefault="009428A9" w:rsidP="009428A9">
      <w:pPr>
        <w:pStyle w:val="NoSpacing"/>
        <w:rPr>
          <w:b/>
          <w:bCs/>
          <w:sz w:val="24"/>
          <w:szCs w:val="24"/>
        </w:rPr>
      </w:pPr>
      <w:r w:rsidRPr="00436912">
        <w:rPr>
          <w:b/>
          <w:bCs/>
          <w:sz w:val="24"/>
          <w:szCs w:val="24"/>
        </w:rPr>
        <w:t>Reserves Strategy</w:t>
      </w:r>
    </w:p>
    <w:p w14:paraId="0AB88831" w14:textId="77777777" w:rsidR="009428A9" w:rsidRPr="00436912" w:rsidRDefault="009428A9" w:rsidP="009428A9">
      <w:pPr>
        <w:spacing w:line="240" w:lineRule="auto"/>
        <w:jc w:val="center"/>
        <w:rPr>
          <w:rFonts w:ascii="Arial" w:eastAsia="Times New Roman" w:hAnsi="Arial"/>
          <w:szCs w:val="24"/>
        </w:rPr>
      </w:pPr>
      <w:r w:rsidRPr="00436912">
        <w:rPr>
          <w:rFonts w:ascii="Arial" w:eastAsia="Times New Roman" w:hAnsi="Arial"/>
          <w:noProof/>
          <w:szCs w:val="24"/>
        </w:rPr>
        <w:drawing>
          <wp:inline distT="0" distB="0" distL="0" distR="0" wp14:anchorId="0D237BC0" wp14:editId="254F20F6">
            <wp:extent cx="1781175"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644D863B" w14:textId="77777777" w:rsidR="009428A9" w:rsidRPr="00436912" w:rsidRDefault="009428A9" w:rsidP="009428A9">
      <w:pPr>
        <w:spacing w:line="240" w:lineRule="auto"/>
        <w:rPr>
          <w:rFonts w:ascii="Arial" w:eastAsia="Times New Roman" w:hAnsi="Arial"/>
          <w:szCs w:val="24"/>
        </w:rPr>
      </w:pPr>
    </w:p>
    <w:p w14:paraId="2067C392" w14:textId="1A331153" w:rsidR="00F115BD" w:rsidRDefault="00F115BD" w:rsidP="00F115BD">
      <w:pPr>
        <w:jc w:val="center"/>
        <w:rPr>
          <w:rFonts w:cs="Arial"/>
          <w:b/>
          <w:sz w:val="24"/>
        </w:rPr>
      </w:pPr>
      <w:r w:rsidRPr="00436912">
        <w:rPr>
          <w:rFonts w:cs="Arial"/>
          <w:b/>
          <w:sz w:val="24"/>
        </w:rPr>
        <w:t xml:space="preserve">NORTHAMPTONSHIRE COMMISSIONER FIRE AND RESCUE AUTHORITY </w:t>
      </w:r>
      <w:r w:rsidRPr="00436912">
        <w:rPr>
          <w:rFonts w:cs="Arial"/>
          <w:b/>
          <w:sz w:val="24"/>
        </w:rPr>
        <w:br/>
      </w:r>
      <w:r w:rsidR="0081263C" w:rsidRPr="00436912">
        <w:rPr>
          <w:rFonts w:cs="Arial"/>
          <w:b/>
          <w:sz w:val="24"/>
        </w:rPr>
        <w:t>RESERVE</w:t>
      </w:r>
      <w:r w:rsidR="00F671CE" w:rsidRPr="00436912">
        <w:rPr>
          <w:rFonts w:cs="Arial"/>
          <w:b/>
          <w:sz w:val="24"/>
        </w:rPr>
        <w:t>S STRATEGY</w:t>
      </w:r>
      <w:r w:rsidRPr="00436912">
        <w:rPr>
          <w:rFonts w:cs="Arial"/>
          <w:b/>
          <w:sz w:val="24"/>
        </w:rPr>
        <w:t xml:space="preserve"> </w:t>
      </w:r>
      <w:r w:rsidR="009428A9" w:rsidRPr="00436912">
        <w:rPr>
          <w:rFonts w:cs="Arial"/>
          <w:b/>
          <w:sz w:val="24"/>
        </w:rPr>
        <w:t>(</w:t>
      </w:r>
      <w:r w:rsidR="00D92C2F" w:rsidRPr="00436912">
        <w:rPr>
          <w:rFonts w:cs="Arial"/>
          <w:b/>
          <w:sz w:val="24"/>
        </w:rPr>
        <w:t>REVISED</w:t>
      </w:r>
      <w:r w:rsidR="009428A9" w:rsidRPr="00436912">
        <w:rPr>
          <w:rFonts w:cs="Arial"/>
          <w:b/>
          <w:sz w:val="24"/>
        </w:rPr>
        <w:t xml:space="preserve"> </w:t>
      </w:r>
      <w:r w:rsidRPr="00436912">
        <w:rPr>
          <w:rFonts w:cs="Arial"/>
          <w:b/>
          <w:sz w:val="24"/>
        </w:rPr>
        <w:t>JANUARY 202</w:t>
      </w:r>
      <w:r w:rsidR="00436912">
        <w:rPr>
          <w:rFonts w:cs="Arial"/>
          <w:b/>
          <w:sz w:val="24"/>
        </w:rPr>
        <w:t>5</w:t>
      </w:r>
      <w:r w:rsidR="009428A9" w:rsidRPr="00436912">
        <w:rPr>
          <w:rFonts w:cs="Arial"/>
          <w:b/>
          <w:sz w:val="24"/>
        </w:rPr>
        <w:t>)</w:t>
      </w:r>
    </w:p>
    <w:p w14:paraId="67BA7E9F" w14:textId="77777777" w:rsidR="00436912" w:rsidRPr="00436912" w:rsidRDefault="00436912" w:rsidP="00F115BD">
      <w:pPr>
        <w:jc w:val="center"/>
        <w:rPr>
          <w:rFonts w:cs="Arial"/>
          <w:b/>
          <w:sz w:val="24"/>
        </w:rPr>
      </w:pPr>
    </w:p>
    <w:p w14:paraId="318F0130" w14:textId="77777777" w:rsidR="009428A9" w:rsidRPr="00436912" w:rsidRDefault="009428A9" w:rsidP="009428A9">
      <w:pPr>
        <w:pStyle w:val="ReservesHeading"/>
      </w:pPr>
      <w:r w:rsidRPr="00436912">
        <w:t>Reserves Strategy</w:t>
      </w:r>
    </w:p>
    <w:p w14:paraId="562D6C66" w14:textId="77777777" w:rsidR="009428A9" w:rsidRPr="00436912" w:rsidRDefault="009428A9" w:rsidP="009428A9">
      <w:pPr>
        <w:pStyle w:val="ReservesBody"/>
      </w:pPr>
      <w:r w:rsidRPr="00436912">
        <w:t>Reserves are a key part of medium-term financial planning with other components including revenue spending plans, income forecasts, potential liabilities, capital investment plans, borrowing and council tax levels.  Decisions on these are inter-linked.  Consequently, some organisations will need to maintain reserves at higher levels than others.</w:t>
      </w:r>
    </w:p>
    <w:p w14:paraId="27A4565B" w14:textId="77777777" w:rsidR="009428A9" w:rsidRPr="00436912" w:rsidRDefault="009428A9" w:rsidP="009428A9">
      <w:pPr>
        <w:pStyle w:val="ReservesBody"/>
      </w:pPr>
      <w:r w:rsidRPr="00436912">
        <w:t>All publicly funded organisations should have a reserves strategy to demonstrate transparency and accountability, to comply with best practice financial management and to justify the levels of reserves held.</w:t>
      </w:r>
    </w:p>
    <w:p w14:paraId="6691979B" w14:textId="77777777" w:rsidR="009428A9" w:rsidRPr="00436912" w:rsidRDefault="009428A9" w:rsidP="009428A9">
      <w:pPr>
        <w:pStyle w:val="ReservesBody"/>
      </w:pPr>
      <w:r w:rsidRPr="00436912">
        <w:t>The PFCC maintains reserves to provide a measure of protection against risk.  Without this protection, any unforeseen expenditure would have to be met either by increases in Council Tax or immediate savings (potentially through reductions in service levels).</w:t>
      </w:r>
    </w:p>
    <w:p w14:paraId="7A71F823" w14:textId="77777777" w:rsidR="009428A9" w:rsidRPr="00436912" w:rsidRDefault="009428A9" w:rsidP="009428A9">
      <w:pPr>
        <w:pStyle w:val="ReservesBody"/>
      </w:pPr>
      <w:r w:rsidRPr="00436912">
        <w:t xml:space="preserve">The term "reserves" has a variety of technical and everyday meanings, depending on the context in which it is used.  In this strategy, it is taken to mean funds set-aside at the PFCC’s discretion for general or specific future purposes. </w:t>
      </w:r>
    </w:p>
    <w:p w14:paraId="16329800" w14:textId="77777777" w:rsidR="009428A9" w:rsidRPr="00436912" w:rsidRDefault="009428A9" w:rsidP="009428A9">
      <w:pPr>
        <w:pStyle w:val="ReservesBody"/>
      </w:pPr>
      <w:r w:rsidRPr="00436912">
        <w:t>Reserves are required to protect and enhance the financial viability and in particular:</w:t>
      </w:r>
    </w:p>
    <w:p w14:paraId="2DFDE2C9" w14:textId="77777777" w:rsidR="009428A9" w:rsidRPr="00436912" w:rsidRDefault="009428A9" w:rsidP="009428A9">
      <w:pPr>
        <w:pStyle w:val="Reservesbullet"/>
      </w:pPr>
      <w:r w:rsidRPr="00436912">
        <w:t>To maintain a degree of in-year financial flexibility.</w:t>
      </w:r>
    </w:p>
    <w:p w14:paraId="7FF207FE" w14:textId="77777777" w:rsidR="009428A9" w:rsidRPr="00436912" w:rsidRDefault="009428A9" w:rsidP="009428A9">
      <w:pPr>
        <w:pStyle w:val="Reservesbullet"/>
      </w:pPr>
      <w:r w:rsidRPr="00436912">
        <w:t>To enable the PFCC to deal with unforeseen circumstances and incidents.</w:t>
      </w:r>
    </w:p>
    <w:p w14:paraId="0329865A" w14:textId="77777777" w:rsidR="009428A9" w:rsidRPr="00436912" w:rsidRDefault="009428A9" w:rsidP="009428A9">
      <w:pPr>
        <w:pStyle w:val="Reservesbullet"/>
      </w:pPr>
      <w:r w:rsidRPr="00436912">
        <w:t>To set aside monies to fund major developments in future years.</w:t>
      </w:r>
    </w:p>
    <w:p w14:paraId="6B13CD89" w14:textId="77777777" w:rsidR="009428A9" w:rsidRPr="00436912" w:rsidRDefault="009428A9" w:rsidP="009428A9">
      <w:pPr>
        <w:pStyle w:val="Reservesbullet"/>
      </w:pPr>
      <w:r w:rsidRPr="00436912">
        <w:t>To enable the PFCC to invest to transform and achieve improved service effectiveness and efficiency.</w:t>
      </w:r>
    </w:p>
    <w:p w14:paraId="71C0EC5E" w14:textId="77777777" w:rsidR="009428A9" w:rsidRPr="00436912" w:rsidRDefault="009428A9" w:rsidP="009428A9">
      <w:pPr>
        <w:pStyle w:val="Reservesbullet"/>
      </w:pPr>
      <w:r w:rsidRPr="00436912">
        <w:t>To set aside sums for known and potential liabilities.</w:t>
      </w:r>
    </w:p>
    <w:p w14:paraId="1138BCC6" w14:textId="77777777" w:rsidR="009428A9" w:rsidRPr="00436912" w:rsidRDefault="009428A9" w:rsidP="009428A9">
      <w:pPr>
        <w:pStyle w:val="Reservesbullet"/>
      </w:pPr>
      <w:r w:rsidRPr="00436912">
        <w:t>To provide an operational contingency at service level.</w:t>
      </w:r>
    </w:p>
    <w:p w14:paraId="48AEBDB0" w14:textId="77777777" w:rsidR="009428A9" w:rsidRPr="00436912" w:rsidRDefault="009428A9" w:rsidP="009428A9">
      <w:pPr>
        <w:pStyle w:val="ReservesBody"/>
      </w:pPr>
      <w:r w:rsidRPr="00436912">
        <w:t>Reserves should not be held to fund ongoing revenue expenditure as this is unsustainable in the long term.  However, they may be important in smoothing a major financial imbalance (revenue or capital) over a longer timescale.  CIPFA Bulletin 13 – Local Authority Reserves and Balances (Updated) published March 2023 states:</w:t>
      </w:r>
    </w:p>
    <w:p w14:paraId="53A5B2E5" w14:textId="71A72CC9" w:rsidR="00F115BD" w:rsidRPr="00436912" w:rsidRDefault="009428A9" w:rsidP="009428A9">
      <w:pPr>
        <w:pStyle w:val="ReservesBody"/>
        <w:numPr>
          <w:ilvl w:val="0"/>
          <w:numId w:val="0"/>
        </w:numPr>
        <w:ind w:left="567"/>
        <w:rPr>
          <w:i/>
          <w:iCs/>
        </w:rPr>
      </w:pPr>
      <w:r w:rsidRPr="00436912">
        <w:rPr>
          <w:i/>
          <w:iCs/>
        </w:rPr>
        <w:lastRenderedPageBreak/>
        <w:t xml:space="preserve">“Balancing the annual budget by drawing on general reserves may be viewed as a legitimate short-term option.  However, it is not normally prudent for reserves to be deployed to finance recurrent expenditure.  CIPFA has commented that councils should be particularly wary about using one off </w:t>
      </w:r>
      <w:proofErr w:type="gramStart"/>
      <w:r w:rsidRPr="00436912">
        <w:rPr>
          <w:i/>
          <w:iCs/>
        </w:rPr>
        <w:t>reserves</w:t>
      </w:r>
      <w:proofErr w:type="gramEnd"/>
      <w:r w:rsidRPr="00436912">
        <w:rPr>
          <w:i/>
          <w:iCs/>
        </w:rPr>
        <w:t xml:space="preserve"> to deal with shortfalls in current funding.  Where such action is to be taken, this should be made explicit, and an explanation given as to how such expenditure will be funded in the medium to long term.”</w:t>
      </w:r>
      <w:r w:rsidR="00F115BD" w:rsidRPr="00436912">
        <w:rPr>
          <w:rFonts w:cs="Arial"/>
          <w:i/>
          <w:iCs/>
          <w:color w:val="FF0000"/>
        </w:rPr>
        <w:t xml:space="preserve"> </w:t>
      </w:r>
    </w:p>
    <w:p w14:paraId="4D544BB6" w14:textId="5AD5ABDE" w:rsidR="00F115BD" w:rsidRPr="00436912" w:rsidRDefault="00F115BD" w:rsidP="009428A9">
      <w:pPr>
        <w:pStyle w:val="ReservesBody"/>
      </w:pPr>
      <w:r w:rsidRPr="00436912">
        <w:t>The Northamptonshire Commissioner Fire and Rescue Authority (NCFRA) was established on the 1</w:t>
      </w:r>
      <w:r w:rsidR="00436912" w:rsidRPr="00436912">
        <w:rPr>
          <w:vertAlign w:val="superscript"/>
        </w:rPr>
        <w:t>st</w:t>
      </w:r>
      <w:r w:rsidRPr="00436912">
        <w:t xml:space="preserve"> January 2019 with no transfer of </w:t>
      </w:r>
      <w:r w:rsidR="0081263C" w:rsidRPr="00436912">
        <w:t>reserve</w:t>
      </w:r>
      <w:r w:rsidRPr="00436912">
        <w:t xml:space="preserve">s agreed as part of the business case. </w:t>
      </w:r>
      <w:r w:rsidR="009428A9" w:rsidRPr="00436912">
        <w:t xml:space="preserve"> </w:t>
      </w:r>
      <w:r w:rsidRPr="00436912">
        <w:t xml:space="preserve">As such, a three year financial stability period was set to establish a more stable budget position, supported by a sufficient level of </w:t>
      </w:r>
      <w:r w:rsidR="0081263C" w:rsidRPr="00436912">
        <w:t>reserve</w:t>
      </w:r>
      <w:r w:rsidRPr="00436912">
        <w:t>s.</w:t>
      </w:r>
    </w:p>
    <w:p w14:paraId="57D24D4F" w14:textId="230AE95B" w:rsidR="00F115BD" w:rsidRPr="00436912" w:rsidRDefault="00F115BD" w:rsidP="009428A9">
      <w:pPr>
        <w:pStyle w:val="ReservesBody"/>
      </w:pPr>
      <w:r w:rsidRPr="00436912">
        <w:t xml:space="preserve">Tight financial planning, together with assistance from the Home Office has enabled a sufficient </w:t>
      </w:r>
      <w:r w:rsidR="0081263C" w:rsidRPr="00436912">
        <w:t>reserve</w:t>
      </w:r>
      <w:r w:rsidRPr="00436912">
        <w:t xml:space="preserve">s position to be sufficient currently. </w:t>
      </w:r>
      <w:r w:rsidR="009428A9" w:rsidRPr="00436912">
        <w:t xml:space="preserve"> </w:t>
      </w:r>
      <w:r w:rsidRPr="00436912">
        <w:t xml:space="preserve">However, work </w:t>
      </w:r>
      <w:r w:rsidR="009428A9" w:rsidRPr="00436912">
        <w:t>on</w:t>
      </w:r>
      <w:r w:rsidRPr="00436912">
        <w:t xml:space="preserve"> the budget and Medium</w:t>
      </w:r>
      <w:r w:rsidR="007728F2" w:rsidRPr="00436912">
        <w:t>-</w:t>
      </w:r>
      <w:r w:rsidRPr="00436912">
        <w:t xml:space="preserve">Term Financial Plan has identified that the financial risks from inflation and other pressures are </w:t>
      </w:r>
      <w:r w:rsidR="009428A9" w:rsidRPr="00436912">
        <w:t xml:space="preserve">still </w:t>
      </w:r>
      <w:r w:rsidRPr="00436912">
        <w:t xml:space="preserve">forecast to be higher than funding available to the service. </w:t>
      </w:r>
      <w:r w:rsidR="009428A9" w:rsidRPr="00436912">
        <w:t xml:space="preserve"> </w:t>
      </w:r>
      <w:r w:rsidRPr="00436912">
        <w:t>Despite annual efficiency targets, funding deficits are identified in future years.</w:t>
      </w:r>
    </w:p>
    <w:p w14:paraId="00290F41" w14:textId="77777777" w:rsidR="00436912" w:rsidRDefault="009428A9" w:rsidP="00436912">
      <w:pPr>
        <w:pStyle w:val="ReservesBody"/>
      </w:pPr>
      <w:r w:rsidRPr="00436912">
        <w:t xml:space="preserve">The reserves strategy assumes that the Medium-Term Financial Plan (MTFP) is broadly balanced on a sustainable basis across the five year planning period.  If the financial impact of current economic conditions continues to impact on taxbase and council tax levels over the medium term, then this could impact on those assumptions. </w:t>
      </w:r>
      <w:r w:rsidR="00436912" w:rsidRPr="00436912">
        <w:t xml:space="preserve"> </w:t>
      </w:r>
    </w:p>
    <w:p w14:paraId="27AED8AA" w14:textId="11E458A3" w:rsidR="00F115BD" w:rsidRPr="00436912" w:rsidRDefault="009428A9" w:rsidP="00436912">
      <w:pPr>
        <w:pStyle w:val="ReservesBody"/>
      </w:pPr>
      <w:r w:rsidRPr="00436912">
        <w:t>T</w:t>
      </w:r>
      <w:r w:rsidR="00F115BD" w:rsidRPr="00436912">
        <w:t xml:space="preserve">his is recognised as a risk as when taking into account the projected shortfalls on the MTFP where savings will need to be achieved to facilitate balancing </w:t>
      </w:r>
      <w:r w:rsidRPr="00436912">
        <w:t>budgets in future years</w:t>
      </w:r>
      <w:r w:rsidR="00F115BD" w:rsidRPr="00436912">
        <w:t xml:space="preserve">.  If savings cannot bridge the full gap, based on current estimates, as a worst case scenario, revenue </w:t>
      </w:r>
      <w:r w:rsidR="0081263C" w:rsidRPr="00436912">
        <w:t>reserve</w:t>
      </w:r>
      <w:r w:rsidR="00F115BD" w:rsidRPr="00436912">
        <w:t xml:space="preserve">s can balance the gap over the five year </w:t>
      </w:r>
      <w:r w:rsidR="00E73A1C" w:rsidRPr="00436912">
        <w:t>MTFP</w:t>
      </w:r>
      <w:r w:rsidR="00436912">
        <w:t xml:space="preserve"> to some extent</w:t>
      </w:r>
      <w:r w:rsidR="00E73A1C" w:rsidRPr="00436912">
        <w:t>,</w:t>
      </w:r>
      <w:r w:rsidR="00F115BD" w:rsidRPr="00436912">
        <w:t xml:space="preserve"> but this would </w:t>
      </w:r>
      <w:r w:rsidR="00436912">
        <w:t>exhaust</w:t>
      </w:r>
      <w:r w:rsidR="00F115BD" w:rsidRPr="00436912">
        <w:t xml:space="preserve"> available </w:t>
      </w:r>
      <w:r w:rsidR="0081263C" w:rsidRPr="00436912">
        <w:t>reserve</w:t>
      </w:r>
      <w:r w:rsidR="00F115BD" w:rsidRPr="00436912">
        <w:t>s and would impact funding available for investment.</w:t>
      </w:r>
    </w:p>
    <w:p w14:paraId="0E3E3CF7" w14:textId="30539769" w:rsidR="00F115BD" w:rsidRPr="00436912" w:rsidRDefault="00F115BD" w:rsidP="009428A9">
      <w:pPr>
        <w:pStyle w:val="ReservesBody"/>
      </w:pPr>
      <w:r w:rsidRPr="00436912">
        <w:t xml:space="preserve">Due to the lack of </w:t>
      </w:r>
      <w:r w:rsidR="00A50652" w:rsidRPr="00436912">
        <w:t xml:space="preserve">investment by Northamptonshire County Council </w:t>
      </w:r>
      <w:r w:rsidRPr="00436912">
        <w:t xml:space="preserve">over many years, NCFRA have a significant </w:t>
      </w:r>
      <w:r w:rsidR="00F671CE" w:rsidRPr="00436912">
        <w:t>Capital programme</w:t>
      </w:r>
      <w:r w:rsidRPr="00436912">
        <w:t xml:space="preserve"> requirement. </w:t>
      </w:r>
      <w:r w:rsidR="009428A9" w:rsidRPr="00436912">
        <w:t xml:space="preserve"> </w:t>
      </w:r>
      <w:r w:rsidRPr="00436912">
        <w:t>This is continually reviewed to ensure it is both operationally deliverable and affordable.</w:t>
      </w:r>
    </w:p>
    <w:p w14:paraId="76B750B3" w14:textId="120A13DF" w:rsidR="0016619A" w:rsidRPr="00436912" w:rsidRDefault="009428A9" w:rsidP="00186442">
      <w:pPr>
        <w:pStyle w:val="ReservesBody"/>
      </w:pPr>
      <w:r w:rsidRPr="00436912">
        <w:t>Reserves should reflect the agreed financial strategy and should represent the quantified impact of risks and opportunities over the planning period, weighted for their probability.</w:t>
      </w:r>
    </w:p>
    <w:p w14:paraId="339EF930" w14:textId="77777777" w:rsidR="009428A9" w:rsidRPr="00436912" w:rsidRDefault="009428A9" w:rsidP="009428A9">
      <w:pPr>
        <w:pStyle w:val="ReservesHeading"/>
      </w:pPr>
      <w:r w:rsidRPr="00436912">
        <w:t xml:space="preserve">National Guidance and Compliance with Home Office Guidance on Police Reserves </w:t>
      </w:r>
    </w:p>
    <w:p w14:paraId="06560962" w14:textId="77777777" w:rsidR="009428A9" w:rsidRPr="00436912" w:rsidRDefault="009428A9" w:rsidP="009428A9">
      <w:pPr>
        <w:pStyle w:val="ReservesBody"/>
      </w:pPr>
      <w:r w:rsidRPr="00436912">
        <w:t>The CIPFA Bulletin includes guidance on the establishment and maintenance of local authority reserves and balances, setting out the key factors that should be taken into account locally in making an assessment of the appropriate level of reserves and balances to be held.</w:t>
      </w:r>
    </w:p>
    <w:p w14:paraId="775B189C" w14:textId="6435FA12" w:rsidR="00573227" w:rsidRPr="00C3224F" w:rsidRDefault="00573227" w:rsidP="00573227">
      <w:pPr>
        <w:pStyle w:val="ReservesBody"/>
      </w:pPr>
      <w:r w:rsidRPr="00C3224F">
        <w:t xml:space="preserve">There is information that each PFCC must publish in terms of police reserves.  </w:t>
      </w:r>
      <w:r w:rsidRPr="00436912">
        <w:t>This guidance has been adopted for NCFRA to ensure consistency across PFCC governed Fire and Police services in Northamptonshire.</w:t>
      </w:r>
      <w:r>
        <w:t xml:space="preserve">  </w:t>
      </w:r>
      <w:r w:rsidRPr="00C3224F">
        <w:t>One of the key requirements is that the information on each reserve should make clear how much of the funding falls into each of the following three categories:</w:t>
      </w:r>
    </w:p>
    <w:p w14:paraId="7CCC22FC" w14:textId="77777777" w:rsidR="00573227" w:rsidRPr="00C3224F" w:rsidRDefault="00573227" w:rsidP="00573227">
      <w:pPr>
        <w:pStyle w:val="Reservesbullet"/>
      </w:pPr>
      <w:r w:rsidRPr="00C3224F">
        <w:t>Funding for planned expenditure on projects and programmes over the period of the current medium term financial plan.</w:t>
      </w:r>
    </w:p>
    <w:p w14:paraId="3E6729BD" w14:textId="77777777" w:rsidR="00573227" w:rsidRPr="00C3224F" w:rsidRDefault="00573227" w:rsidP="00573227">
      <w:pPr>
        <w:pStyle w:val="Reservesbullet"/>
      </w:pPr>
      <w:r w:rsidRPr="00C3224F">
        <w:t>Funding for specific projects and programmes beyond the current planning period.</w:t>
      </w:r>
    </w:p>
    <w:p w14:paraId="16B90BCF" w14:textId="77777777" w:rsidR="00573227" w:rsidRPr="00C3224F" w:rsidRDefault="00573227" w:rsidP="00573227">
      <w:pPr>
        <w:pStyle w:val="Reservesbullet"/>
      </w:pPr>
      <w:r w:rsidRPr="00C3224F">
        <w:lastRenderedPageBreak/>
        <w:t>As a general contingency to meet other expenditure needs held in accordance with sound principles of good financial management.</w:t>
      </w:r>
    </w:p>
    <w:p w14:paraId="3E2965B9" w14:textId="0A0210B4" w:rsidR="00483217" w:rsidRPr="00D54977" w:rsidRDefault="00483217" w:rsidP="00D54977">
      <w:pPr>
        <w:pStyle w:val="ReservesBody"/>
      </w:pPr>
      <w:r w:rsidRPr="00573227">
        <w:t>This information is summarised across the Home Office headings as at 31/3/2</w:t>
      </w:r>
      <w:r w:rsidR="00573227" w:rsidRPr="00573227">
        <w:t>5</w:t>
      </w:r>
      <w:r w:rsidRPr="00573227">
        <w:t xml:space="preserve"> as follows:</w:t>
      </w:r>
    </w:p>
    <w:tbl>
      <w:tblPr>
        <w:tblW w:w="10020" w:type="dxa"/>
        <w:tblLook w:val="04A0" w:firstRow="1" w:lastRow="0" w:firstColumn="1" w:lastColumn="0" w:noHBand="0" w:noVBand="1"/>
      </w:tblPr>
      <w:tblGrid>
        <w:gridCol w:w="2920"/>
        <w:gridCol w:w="1420"/>
        <w:gridCol w:w="1420"/>
        <w:gridCol w:w="1420"/>
        <w:gridCol w:w="1420"/>
        <w:gridCol w:w="1420"/>
      </w:tblGrid>
      <w:tr w:rsidR="005C15BE" w:rsidRPr="005C15BE" w14:paraId="4E40B980" w14:textId="77777777" w:rsidTr="005C15BE">
        <w:trPr>
          <w:trHeight w:val="1980"/>
        </w:trPr>
        <w:tc>
          <w:tcPr>
            <w:tcW w:w="2920" w:type="dxa"/>
            <w:tcBorders>
              <w:top w:val="single" w:sz="4" w:space="0" w:color="auto"/>
              <w:left w:val="single" w:sz="4" w:space="0" w:color="auto"/>
              <w:bottom w:val="nil"/>
              <w:right w:val="single" w:sz="4" w:space="0" w:color="auto"/>
            </w:tcBorders>
            <w:shd w:val="clear" w:color="000000" w:fill="C00000"/>
            <w:vAlign w:val="center"/>
            <w:hideMark/>
          </w:tcPr>
          <w:p w14:paraId="7D665916"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Reserve</w:t>
            </w:r>
          </w:p>
        </w:tc>
        <w:tc>
          <w:tcPr>
            <w:tcW w:w="1420" w:type="dxa"/>
            <w:tcBorders>
              <w:top w:val="single" w:sz="4" w:space="0" w:color="auto"/>
              <w:left w:val="nil"/>
              <w:bottom w:val="nil"/>
              <w:right w:val="single" w:sz="4" w:space="0" w:color="auto"/>
            </w:tcBorders>
            <w:shd w:val="clear" w:color="000000" w:fill="C00000"/>
            <w:vAlign w:val="center"/>
            <w:hideMark/>
          </w:tcPr>
          <w:p w14:paraId="5A74AAEF"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Forecast Balance as at 31/3/2025</w:t>
            </w:r>
          </w:p>
        </w:tc>
        <w:tc>
          <w:tcPr>
            <w:tcW w:w="1420" w:type="dxa"/>
            <w:tcBorders>
              <w:top w:val="single" w:sz="4" w:space="0" w:color="auto"/>
              <w:left w:val="nil"/>
              <w:bottom w:val="nil"/>
              <w:right w:val="single" w:sz="4" w:space="0" w:color="auto"/>
            </w:tcBorders>
            <w:shd w:val="clear" w:color="000000" w:fill="C00000"/>
            <w:vAlign w:val="center"/>
            <w:hideMark/>
          </w:tcPr>
          <w:p w14:paraId="48CE7C19"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Funding for planned expenditure on projects and programmes over the MTFP (25/26-29/30)</w:t>
            </w:r>
          </w:p>
        </w:tc>
        <w:tc>
          <w:tcPr>
            <w:tcW w:w="1420" w:type="dxa"/>
            <w:tcBorders>
              <w:top w:val="single" w:sz="4" w:space="0" w:color="auto"/>
              <w:left w:val="nil"/>
              <w:bottom w:val="nil"/>
              <w:right w:val="single" w:sz="4" w:space="0" w:color="auto"/>
            </w:tcBorders>
            <w:shd w:val="clear" w:color="000000" w:fill="C00000"/>
            <w:vAlign w:val="center"/>
            <w:hideMark/>
          </w:tcPr>
          <w:p w14:paraId="347BACCA" w14:textId="19ACBAF9"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Total Forecast Revenue and Capital Reserves as at 31</w:t>
            </w:r>
            <w:r w:rsidR="00D245EF">
              <w:rPr>
                <w:rFonts w:eastAsia="Times New Roman" w:cs="Calibri"/>
                <w:b/>
                <w:bCs/>
                <w:color w:val="FFFFFF"/>
                <w:sz w:val="20"/>
                <w:szCs w:val="20"/>
                <w:lang w:eastAsia="en-GB"/>
              </w:rPr>
              <w:t>/3/</w:t>
            </w:r>
            <w:r w:rsidRPr="005C15BE">
              <w:rPr>
                <w:rFonts w:eastAsia="Times New Roman" w:cs="Calibri"/>
                <w:b/>
                <w:bCs/>
                <w:color w:val="FFFFFF"/>
                <w:sz w:val="20"/>
                <w:szCs w:val="20"/>
                <w:lang w:eastAsia="en-GB"/>
              </w:rPr>
              <w:t>2030</w:t>
            </w:r>
          </w:p>
        </w:tc>
        <w:tc>
          <w:tcPr>
            <w:tcW w:w="1420" w:type="dxa"/>
            <w:tcBorders>
              <w:top w:val="single" w:sz="4" w:space="0" w:color="auto"/>
              <w:left w:val="nil"/>
              <w:bottom w:val="nil"/>
              <w:right w:val="single" w:sz="4" w:space="0" w:color="auto"/>
            </w:tcBorders>
            <w:shd w:val="clear" w:color="000000" w:fill="C00000"/>
            <w:vAlign w:val="center"/>
            <w:hideMark/>
          </w:tcPr>
          <w:p w14:paraId="07A095D5"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Funding for specific projects and programmes beyond the current planning period</w:t>
            </w:r>
          </w:p>
        </w:tc>
        <w:tc>
          <w:tcPr>
            <w:tcW w:w="1420" w:type="dxa"/>
            <w:tcBorders>
              <w:top w:val="single" w:sz="4" w:space="0" w:color="auto"/>
              <w:left w:val="nil"/>
              <w:bottom w:val="nil"/>
              <w:right w:val="single" w:sz="4" w:space="0" w:color="auto"/>
            </w:tcBorders>
            <w:shd w:val="clear" w:color="000000" w:fill="C00000"/>
            <w:vAlign w:val="center"/>
            <w:hideMark/>
          </w:tcPr>
          <w:p w14:paraId="36A0B4B1"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As a general contingency to meet other expenditure needs </w:t>
            </w:r>
          </w:p>
        </w:tc>
      </w:tr>
      <w:tr w:rsidR="005C15BE" w:rsidRPr="005C15BE" w14:paraId="69F47F92" w14:textId="77777777" w:rsidTr="005C15BE">
        <w:trPr>
          <w:trHeight w:val="300"/>
        </w:trPr>
        <w:tc>
          <w:tcPr>
            <w:tcW w:w="2920" w:type="dxa"/>
            <w:tcBorders>
              <w:top w:val="nil"/>
              <w:left w:val="single" w:sz="4" w:space="0" w:color="auto"/>
              <w:bottom w:val="single" w:sz="4" w:space="0" w:color="auto"/>
              <w:right w:val="single" w:sz="4" w:space="0" w:color="auto"/>
            </w:tcBorders>
            <w:shd w:val="clear" w:color="000000" w:fill="C00000"/>
            <w:vAlign w:val="center"/>
            <w:hideMark/>
          </w:tcPr>
          <w:p w14:paraId="24193D1E"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w:t>
            </w:r>
          </w:p>
        </w:tc>
        <w:tc>
          <w:tcPr>
            <w:tcW w:w="1420" w:type="dxa"/>
            <w:tcBorders>
              <w:top w:val="nil"/>
              <w:left w:val="nil"/>
              <w:bottom w:val="single" w:sz="4" w:space="0" w:color="auto"/>
              <w:right w:val="single" w:sz="4" w:space="0" w:color="auto"/>
            </w:tcBorders>
            <w:shd w:val="clear" w:color="000000" w:fill="C00000"/>
            <w:vAlign w:val="center"/>
            <w:hideMark/>
          </w:tcPr>
          <w:p w14:paraId="774A64AA"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C00000"/>
            <w:vAlign w:val="center"/>
            <w:hideMark/>
          </w:tcPr>
          <w:p w14:paraId="7C04B382"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C00000"/>
            <w:vAlign w:val="center"/>
            <w:hideMark/>
          </w:tcPr>
          <w:p w14:paraId="5B6775D7"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C00000"/>
            <w:vAlign w:val="center"/>
            <w:hideMark/>
          </w:tcPr>
          <w:p w14:paraId="2B209D70"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C00000"/>
            <w:vAlign w:val="center"/>
            <w:hideMark/>
          </w:tcPr>
          <w:p w14:paraId="1D448D7C"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r>
      <w:tr w:rsidR="005C15BE" w:rsidRPr="005C15BE" w14:paraId="185F9766" w14:textId="77777777" w:rsidTr="005C15BE">
        <w:trPr>
          <w:trHeight w:val="300"/>
        </w:trPr>
        <w:tc>
          <w:tcPr>
            <w:tcW w:w="2920" w:type="dxa"/>
            <w:tcBorders>
              <w:top w:val="nil"/>
              <w:left w:val="single" w:sz="4" w:space="0" w:color="auto"/>
              <w:bottom w:val="single" w:sz="4" w:space="0" w:color="auto"/>
              <w:right w:val="nil"/>
            </w:tcBorders>
            <w:shd w:val="clear" w:color="auto" w:fill="auto"/>
            <w:noWrap/>
            <w:vAlign w:val="bottom"/>
            <w:hideMark/>
          </w:tcPr>
          <w:p w14:paraId="63CF06B6"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General</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8416BEE"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20D64DF3"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58791780"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38877A7E"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40730A51"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2.000</w:t>
            </w:r>
          </w:p>
        </w:tc>
      </w:tr>
      <w:tr w:rsidR="005C15BE" w:rsidRPr="005C15BE" w14:paraId="1BCC9D57"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263FF2F5"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E585EBE"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F3792A4"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2015B8C"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921C5A6"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FA86F90"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r>
      <w:tr w:rsidR="005C15BE" w:rsidRPr="005C15BE" w14:paraId="7C922D6F"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13BCC4A9"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Earmarked Revenue:</w:t>
            </w:r>
          </w:p>
        </w:tc>
        <w:tc>
          <w:tcPr>
            <w:tcW w:w="1420" w:type="dxa"/>
            <w:tcBorders>
              <w:top w:val="nil"/>
              <w:left w:val="single" w:sz="4" w:space="0" w:color="auto"/>
              <w:bottom w:val="nil"/>
              <w:right w:val="single" w:sz="4" w:space="0" w:color="auto"/>
            </w:tcBorders>
            <w:shd w:val="clear" w:color="auto" w:fill="auto"/>
            <w:noWrap/>
            <w:vAlign w:val="bottom"/>
            <w:hideMark/>
          </w:tcPr>
          <w:p w14:paraId="4BD147C2"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6BAB871"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4428E29"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8547CD4"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C45CB39"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r>
      <w:tr w:rsidR="005C15BE" w:rsidRPr="005C15BE" w14:paraId="237EC7C5"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0EE5F277"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Insurance</w:t>
            </w:r>
          </w:p>
        </w:tc>
        <w:tc>
          <w:tcPr>
            <w:tcW w:w="1420" w:type="dxa"/>
            <w:tcBorders>
              <w:top w:val="nil"/>
              <w:left w:val="single" w:sz="4" w:space="0" w:color="auto"/>
              <w:bottom w:val="nil"/>
              <w:right w:val="single" w:sz="4" w:space="0" w:color="auto"/>
            </w:tcBorders>
            <w:shd w:val="clear" w:color="auto" w:fill="auto"/>
            <w:noWrap/>
            <w:vAlign w:val="bottom"/>
            <w:hideMark/>
          </w:tcPr>
          <w:p w14:paraId="26936B84"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0.250</w:t>
            </w:r>
          </w:p>
        </w:tc>
        <w:tc>
          <w:tcPr>
            <w:tcW w:w="1420" w:type="dxa"/>
            <w:tcBorders>
              <w:top w:val="nil"/>
              <w:left w:val="nil"/>
              <w:bottom w:val="nil"/>
              <w:right w:val="single" w:sz="4" w:space="0" w:color="auto"/>
            </w:tcBorders>
            <w:shd w:val="clear" w:color="auto" w:fill="auto"/>
            <w:noWrap/>
            <w:vAlign w:val="bottom"/>
            <w:hideMark/>
          </w:tcPr>
          <w:p w14:paraId="009067D8"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EEC887C"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0.250</w:t>
            </w:r>
          </w:p>
        </w:tc>
        <w:tc>
          <w:tcPr>
            <w:tcW w:w="1420" w:type="dxa"/>
            <w:tcBorders>
              <w:top w:val="nil"/>
              <w:left w:val="nil"/>
              <w:bottom w:val="nil"/>
              <w:right w:val="single" w:sz="4" w:space="0" w:color="auto"/>
            </w:tcBorders>
            <w:shd w:val="clear" w:color="auto" w:fill="auto"/>
            <w:noWrap/>
            <w:vAlign w:val="bottom"/>
            <w:hideMark/>
          </w:tcPr>
          <w:p w14:paraId="133CCDAD"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EAB0F83"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0.250</w:t>
            </w:r>
          </w:p>
        </w:tc>
      </w:tr>
      <w:tr w:rsidR="005C15BE" w:rsidRPr="005C15BE" w14:paraId="7855222E"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51C2865D"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Operational Equipment</w:t>
            </w:r>
          </w:p>
        </w:tc>
        <w:tc>
          <w:tcPr>
            <w:tcW w:w="1420" w:type="dxa"/>
            <w:tcBorders>
              <w:top w:val="nil"/>
              <w:left w:val="single" w:sz="4" w:space="0" w:color="auto"/>
              <w:bottom w:val="nil"/>
              <w:right w:val="single" w:sz="4" w:space="0" w:color="auto"/>
            </w:tcBorders>
            <w:shd w:val="clear" w:color="auto" w:fill="auto"/>
            <w:noWrap/>
            <w:vAlign w:val="bottom"/>
            <w:hideMark/>
          </w:tcPr>
          <w:p w14:paraId="2EA987A9"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0.075</w:t>
            </w:r>
          </w:p>
        </w:tc>
        <w:tc>
          <w:tcPr>
            <w:tcW w:w="1420" w:type="dxa"/>
            <w:tcBorders>
              <w:top w:val="nil"/>
              <w:left w:val="nil"/>
              <w:bottom w:val="nil"/>
              <w:right w:val="single" w:sz="4" w:space="0" w:color="auto"/>
            </w:tcBorders>
            <w:shd w:val="clear" w:color="auto" w:fill="auto"/>
            <w:noWrap/>
            <w:vAlign w:val="bottom"/>
            <w:hideMark/>
          </w:tcPr>
          <w:p w14:paraId="38C62B1F" w14:textId="77777777" w:rsidR="005C15BE" w:rsidRPr="005C15BE" w:rsidRDefault="005C15BE" w:rsidP="005C15BE">
            <w:pPr>
              <w:spacing w:line="240" w:lineRule="auto"/>
              <w:jc w:val="right"/>
              <w:rPr>
                <w:rFonts w:eastAsia="Times New Roman" w:cs="Calibri"/>
                <w:color w:val="000000"/>
                <w:lang w:eastAsia="en-GB"/>
              </w:rPr>
            </w:pPr>
            <w:r w:rsidRPr="005C15BE">
              <w:rPr>
                <w:rFonts w:eastAsia="Times New Roman" w:cs="Calibri"/>
                <w:color w:val="000000"/>
                <w:lang w:eastAsia="en-GB"/>
              </w:rPr>
              <w:t>0.421</w:t>
            </w:r>
          </w:p>
        </w:tc>
        <w:tc>
          <w:tcPr>
            <w:tcW w:w="1420" w:type="dxa"/>
            <w:tcBorders>
              <w:top w:val="nil"/>
              <w:left w:val="nil"/>
              <w:bottom w:val="nil"/>
              <w:right w:val="single" w:sz="4" w:space="0" w:color="auto"/>
            </w:tcBorders>
            <w:shd w:val="clear" w:color="auto" w:fill="auto"/>
            <w:noWrap/>
            <w:vAlign w:val="bottom"/>
            <w:hideMark/>
          </w:tcPr>
          <w:p w14:paraId="25711E1A"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0.496</w:t>
            </w:r>
          </w:p>
        </w:tc>
        <w:tc>
          <w:tcPr>
            <w:tcW w:w="1420" w:type="dxa"/>
            <w:tcBorders>
              <w:top w:val="nil"/>
              <w:left w:val="nil"/>
              <w:bottom w:val="nil"/>
              <w:right w:val="single" w:sz="4" w:space="0" w:color="auto"/>
            </w:tcBorders>
            <w:shd w:val="clear" w:color="auto" w:fill="auto"/>
            <w:noWrap/>
            <w:vAlign w:val="bottom"/>
            <w:hideMark/>
          </w:tcPr>
          <w:p w14:paraId="7F9C9D1D" w14:textId="77777777" w:rsidR="005C15BE" w:rsidRPr="005C15BE" w:rsidRDefault="005C15BE" w:rsidP="005C15BE">
            <w:pPr>
              <w:spacing w:line="240" w:lineRule="auto"/>
              <w:jc w:val="right"/>
              <w:rPr>
                <w:rFonts w:eastAsia="Times New Roman" w:cs="Calibri"/>
                <w:color w:val="000000"/>
                <w:lang w:eastAsia="en-GB"/>
              </w:rPr>
            </w:pPr>
            <w:r w:rsidRPr="005C15BE">
              <w:rPr>
                <w:rFonts w:eastAsia="Times New Roman" w:cs="Calibri"/>
                <w:color w:val="000000"/>
                <w:lang w:eastAsia="en-GB"/>
              </w:rPr>
              <w:t>(0.246)</w:t>
            </w:r>
          </w:p>
        </w:tc>
        <w:tc>
          <w:tcPr>
            <w:tcW w:w="1420" w:type="dxa"/>
            <w:tcBorders>
              <w:top w:val="nil"/>
              <w:left w:val="nil"/>
              <w:bottom w:val="nil"/>
              <w:right w:val="single" w:sz="4" w:space="0" w:color="auto"/>
            </w:tcBorders>
            <w:shd w:val="clear" w:color="auto" w:fill="auto"/>
            <w:noWrap/>
            <w:vAlign w:val="bottom"/>
            <w:hideMark/>
          </w:tcPr>
          <w:p w14:paraId="3644614A"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0.250</w:t>
            </w:r>
          </w:p>
        </w:tc>
      </w:tr>
      <w:tr w:rsidR="005C15BE" w:rsidRPr="005C15BE" w14:paraId="5EBBD5CB"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750D37CB"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Carry Forwards</w:t>
            </w:r>
          </w:p>
        </w:tc>
        <w:tc>
          <w:tcPr>
            <w:tcW w:w="1420" w:type="dxa"/>
            <w:tcBorders>
              <w:top w:val="nil"/>
              <w:left w:val="single" w:sz="4" w:space="0" w:color="auto"/>
              <w:bottom w:val="nil"/>
              <w:right w:val="single" w:sz="4" w:space="0" w:color="auto"/>
            </w:tcBorders>
            <w:shd w:val="clear" w:color="auto" w:fill="auto"/>
            <w:noWrap/>
            <w:vAlign w:val="bottom"/>
            <w:hideMark/>
          </w:tcPr>
          <w:p w14:paraId="172254F8"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1B226911"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22562C8"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3F4B4F93"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73887BA"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1CA8672E"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6705A3D0"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Smoothing</w:t>
            </w:r>
          </w:p>
        </w:tc>
        <w:tc>
          <w:tcPr>
            <w:tcW w:w="1420" w:type="dxa"/>
            <w:tcBorders>
              <w:top w:val="nil"/>
              <w:left w:val="single" w:sz="4" w:space="0" w:color="auto"/>
              <w:bottom w:val="nil"/>
              <w:right w:val="single" w:sz="4" w:space="0" w:color="auto"/>
            </w:tcBorders>
            <w:shd w:val="clear" w:color="auto" w:fill="auto"/>
            <w:noWrap/>
            <w:vAlign w:val="bottom"/>
            <w:hideMark/>
          </w:tcPr>
          <w:p w14:paraId="5E6A3EF3"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1.507</w:t>
            </w:r>
          </w:p>
        </w:tc>
        <w:tc>
          <w:tcPr>
            <w:tcW w:w="1420" w:type="dxa"/>
            <w:tcBorders>
              <w:top w:val="nil"/>
              <w:left w:val="nil"/>
              <w:bottom w:val="nil"/>
              <w:right w:val="single" w:sz="4" w:space="0" w:color="auto"/>
            </w:tcBorders>
            <w:shd w:val="clear" w:color="auto" w:fill="auto"/>
            <w:noWrap/>
            <w:vAlign w:val="bottom"/>
            <w:hideMark/>
          </w:tcPr>
          <w:p w14:paraId="2CFDC8B2" w14:textId="77777777" w:rsidR="005C15BE" w:rsidRPr="005C15BE" w:rsidRDefault="005C15BE" w:rsidP="005C15BE">
            <w:pPr>
              <w:spacing w:line="240" w:lineRule="auto"/>
              <w:jc w:val="right"/>
              <w:rPr>
                <w:rFonts w:eastAsia="Times New Roman" w:cs="Calibri"/>
                <w:color w:val="000000"/>
                <w:lang w:eastAsia="en-GB"/>
              </w:rPr>
            </w:pPr>
            <w:r w:rsidRPr="005C15BE">
              <w:rPr>
                <w:rFonts w:eastAsia="Times New Roman" w:cs="Calibri"/>
                <w:color w:val="000000"/>
                <w:lang w:eastAsia="en-GB"/>
              </w:rPr>
              <w:t>(0.437)</w:t>
            </w:r>
          </w:p>
        </w:tc>
        <w:tc>
          <w:tcPr>
            <w:tcW w:w="1420" w:type="dxa"/>
            <w:tcBorders>
              <w:top w:val="nil"/>
              <w:left w:val="nil"/>
              <w:bottom w:val="nil"/>
              <w:right w:val="single" w:sz="4" w:space="0" w:color="auto"/>
            </w:tcBorders>
            <w:shd w:val="clear" w:color="auto" w:fill="auto"/>
            <w:noWrap/>
            <w:vAlign w:val="bottom"/>
            <w:hideMark/>
          </w:tcPr>
          <w:p w14:paraId="1F091508"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1.070</w:t>
            </w:r>
          </w:p>
        </w:tc>
        <w:tc>
          <w:tcPr>
            <w:tcW w:w="1420" w:type="dxa"/>
            <w:tcBorders>
              <w:top w:val="nil"/>
              <w:left w:val="nil"/>
              <w:bottom w:val="nil"/>
              <w:right w:val="single" w:sz="4" w:space="0" w:color="auto"/>
            </w:tcBorders>
            <w:shd w:val="clear" w:color="auto" w:fill="auto"/>
            <w:noWrap/>
            <w:vAlign w:val="bottom"/>
            <w:hideMark/>
          </w:tcPr>
          <w:p w14:paraId="3A788882"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D19AA56"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1.070</w:t>
            </w:r>
          </w:p>
        </w:tc>
      </w:tr>
      <w:tr w:rsidR="005C15BE" w:rsidRPr="005C15BE" w14:paraId="11F47A88"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038B238F"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Transformation</w:t>
            </w:r>
          </w:p>
        </w:tc>
        <w:tc>
          <w:tcPr>
            <w:tcW w:w="1420" w:type="dxa"/>
            <w:tcBorders>
              <w:top w:val="nil"/>
              <w:left w:val="single" w:sz="4" w:space="0" w:color="auto"/>
              <w:bottom w:val="nil"/>
              <w:right w:val="single" w:sz="4" w:space="0" w:color="auto"/>
            </w:tcBorders>
            <w:shd w:val="clear" w:color="auto" w:fill="auto"/>
            <w:noWrap/>
            <w:vAlign w:val="bottom"/>
            <w:hideMark/>
          </w:tcPr>
          <w:p w14:paraId="0BDFE23E"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0.952</w:t>
            </w:r>
          </w:p>
        </w:tc>
        <w:tc>
          <w:tcPr>
            <w:tcW w:w="1420" w:type="dxa"/>
            <w:tcBorders>
              <w:top w:val="nil"/>
              <w:left w:val="nil"/>
              <w:bottom w:val="nil"/>
              <w:right w:val="single" w:sz="4" w:space="0" w:color="auto"/>
            </w:tcBorders>
            <w:shd w:val="clear" w:color="auto" w:fill="auto"/>
            <w:noWrap/>
            <w:vAlign w:val="bottom"/>
            <w:hideMark/>
          </w:tcPr>
          <w:p w14:paraId="26F72E54" w14:textId="77777777" w:rsidR="005C15BE" w:rsidRPr="005C15BE" w:rsidRDefault="005C15BE" w:rsidP="005C15BE">
            <w:pPr>
              <w:spacing w:line="240" w:lineRule="auto"/>
              <w:jc w:val="right"/>
              <w:rPr>
                <w:rFonts w:eastAsia="Times New Roman" w:cs="Calibri"/>
                <w:color w:val="000000"/>
                <w:lang w:eastAsia="en-GB"/>
              </w:rPr>
            </w:pPr>
            <w:r w:rsidRPr="005C15BE">
              <w:rPr>
                <w:rFonts w:eastAsia="Times New Roman" w:cs="Calibri"/>
                <w:color w:val="000000"/>
                <w:lang w:eastAsia="en-GB"/>
              </w:rPr>
              <w:t>(0.952)</w:t>
            </w:r>
          </w:p>
        </w:tc>
        <w:tc>
          <w:tcPr>
            <w:tcW w:w="1420" w:type="dxa"/>
            <w:tcBorders>
              <w:top w:val="nil"/>
              <w:left w:val="nil"/>
              <w:bottom w:val="nil"/>
              <w:right w:val="single" w:sz="4" w:space="0" w:color="auto"/>
            </w:tcBorders>
            <w:shd w:val="clear" w:color="auto" w:fill="auto"/>
            <w:noWrap/>
            <w:vAlign w:val="bottom"/>
            <w:hideMark/>
          </w:tcPr>
          <w:p w14:paraId="73B92321"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2085A84B"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296101A"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6C0DA9E5" w14:textId="77777777" w:rsidTr="005C15BE">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D7903"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Total Earmarked</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EE85E79"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2.784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37D47DC"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(0.968)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83A9F28"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1.816</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BF8B260"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(0.246)</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EDFD57A"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1.570</w:t>
            </w:r>
          </w:p>
        </w:tc>
      </w:tr>
      <w:tr w:rsidR="005C15BE" w:rsidRPr="005C15BE" w14:paraId="25850F5B"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633BAAB4"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310A69E"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30D4AC1A"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69DB3DD5"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1AE003CD"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1EFE86C6"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r>
      <w:tr w:rsidR="005C15BE" w:rsidRPr="005C15BE" w14:paraId="7F35C64E" w14:textId="77777777" w:rsidTr="005C15BE">
        <w:trPr>
          <w:trHeight w:val="300"/>
        </w:trPr>
        <w:tc>
          <w:tcPr>
            <w:tcW w:w="2920" w:type="dxa"/>
            <w:tcBorders>
              <w:top w:val="single" w:sz="4" w:space="0" w:color="auto"/>
              <w:left w:val="single" w:sz="4" w:space="0" w:color="auto"/>
              <w:bottom w:val="single" w:sz="4" w:space="0" w:color="auto"/>
              <w:right w:val="nil"/>
            </w:tcBorders>
            <w:shd w:val="clear" w:color="auto" w:fill="auto"/>
            <w:noWrap/>
            <w:vAlign w:val="bottom"/>
            <w:hideMark/>
          </w:tcPr>
          <w:p w14:paraId="7CAADD16"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Total Revenue</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1F09CB0"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4.784</w:t>
            </w:r>
          </w:p>
        </w:tc>
        <w:tc>
          <w:tcPr>
            <w:tcW w:w="1420" w:type="dxa"/>
            <w:tcBorders>
              <w:top w:val="nil"/>
              <w:left w:val="nil"/>
              <w:bottom w:val="single" w:sz="4" w:space="0" w:color="auto"/>
              <w:right w:val="single" w:sz="4" w:space="0" w:color="auto"/>
            </w:tcBorders>
            <w:shd w:val="clear" w:color="auto" w:fill="auto"/>
            <w:noWrap/>
            <w:vAlign w:val="bottom"/>
            <w:hideMark/>
          </w:tcPr>
          <w:p w14:paraId="46B7E3FA"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(0.968)</w:t>
            </w:r>
          </w:p>
        </w:tc>
        <w:tc>
          <w:tcPr>
            <w:tcW w:w="1420" w:type="dxa"/>
            <w:tcBorders>
              <w:top w:val="nil"/>
              <w:left w:val="nil"/>
              <w:bottom w:val="single" w:sz="4" w:space="0" w:color="auto"/>
              <w:right w:val="single" w:sz="4" w:space="0" w:color="auto"/>
            </w:tcBorders>
            <w:shd w:val="clear" w:color="auto" w:fill="auto"/>
            <w:noWrap/>
            <w:vAlign w:val="bottom"/>
            <w:hideMark/>
          </w:tcPr>
          <w:p w14:paraId="17B1D812"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3.816</w:t>
            </w:r>
          </w:p>
        </w:tc>
        <w:tc>
          <w:tcPr>
            <w:tcW w:w="1420" w:type="dxa"/>
            <w:tcBorders>
              <w:top w:val="nil"/>
              <w:left w:val="nil"/>
              <w:bottom w:val="single" w:sz="4" w:space="0" w:color="auto"/>
              <w:right w:val="single" w:sz="4" w:space="0" w:color="auto"/>
            </w:tcBorders>
            <w:shd w:val="clear" w:color="auto" w:fill="auto"/>
            <w:noWrap/>
            <w:vAlign w:val="bottom"/>
            <w:hideMark/>
          </w:tcPr>
          <w:p w14:paraId="1CBAF3BF"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(0.246)</w:t>
            </w:r>
          </w:p>
        </w:tc>
        <w:tc>
          <w:tcPr>
            <w:tcW w:w="1420" w:type="dxa"/>
            <w:tcBorders>
              <w:top w:val="nil"/>
              <w:left w:val="nil"/>
              <w:bottom w:val="single" w:sz="4" w:space="0" w:color="auto"/>
              <w:right w:val="single" w:sz="4" w:space="0" w:color="auto"/>
            </w:tcBorders>
            <w:shd w:val="clear" w:color="auto" w:fill="auto"/>
            <w:noWrap/>
            <w:vAlign w:val="bottom"/>
            <w:hideMark/>
          </w:tcPr>
          <w:p w14:paraId="4B25AB9F"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3.570</w:t>
            </w:r>
          </w:p>
        </w:tc>
      </w:tr>
      <w:tr w:rsidR="005C15BE" w:rsidRPr="005C15BE" w14:paraId="4A254450"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4D058C7B"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68EB251F"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FFBF952"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0987736"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42223D8"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CC5C50B"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 </w:t>
            </w:r>
          </w:p>
        </w:tc>
      </w:tr>
      <w:tr w:rsidR="005C15BE" w:rsidRPr="005C15BE" w14:paraId="756A074F"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12BA7AB8"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Capital:</w:t>
            </w:r>
          </w:p>
        </w:tc>
        <w:tc>
          <w:tcPr>
            <w:tcW w:w="1420" w:type="dxa"/>
            <w:tcBorders>
              <w:top w:val="nil"/>
              <w:left w:val="single" w:sz="4" w:space="0" w:color="auto"/>
              <w:bottom w:val="nil"/>
              <w:right w:val="single" w:sz="4" w:space="0" w:color="auto"/>
            </w:tcBorders>
            <w:shd w:val="clear" w:color="auto" w:fill="auto"/>
            <w:noWrap/>
            <w:vAlign w:val="bottom"/>
            <w:hideMark/>
          </w:tcPr>
          <w:p w14:paraId="1702AD87"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CC7CEDC"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857BE50"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92CEE95"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BC9BD25"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r>
      <w:tr w:rsidR="005C15BE" w:rsidRPr="005C15BE" w14:paraId="6C60D9BD"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7FA75DDA"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Capital Receipts</w:t>
            </w:r>
          </w:p>
        </w:tc>
        <w:tc>
          <w:tcPr>
            <w:tcW w:w="1420" w:type="dxa"/>
            <w:tcBorders>
              <w:top w:val="nil"/>
              <w:left w:val="single" w:sz="4" w:space="0" w:color="auto"/>
              <w:bottom w:val="nil"/>
              <w:right w:val="single" w:sz="4" w:space="0" w:color="auto"/>
            </w:tcBorders>
            <w:shd w:val="clear" w:color="auto" w:fill="auto"/>
            <w:noWrap/>
            <w:vAlign w:val="bottom"/>
            <w:hideMark/>
          </w:tcPr>
          <w:p w14:paraId="52C873A6"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1.550</w:t>
            </w:r>
          </w:p>
        </w:tc>
        <w:tc>
          <w:tcPr>
            <w:tcW w:w="1420" w:type="dxa"/>
            <w:tcBorders>
              <w:top w:val="nil"/>
              <w:left w:val="nil"/>
              <w:bottom w:val="nil"/>
              <w:right w:val="single" w:sz="4" w:space="0" w:color="auto"/>
            </w:tcBorders>
            <w:shd w:val="clear" w:color="auto" w:fill="auto"/>
            <w:noWrap/>
            <w:vAlign w:val="bottom"/>
            <w:hideMark/>
          </w:tcPr>
          <w:p w14:paraId="6F098018" w14:textId="77777777" w:rsidR="005C15BE" w:rsidRPr="005C15BE" w:rsidRDefault="005C15BE" w:rsidP="005C15BE">
            <w:pPr>
              <w:spacing w:line="240" w:lineRule="auto"/>
              <w:jc w:val="right"/>
              <w:rPr>
                <w:rFonts w:eastAsia="Times New Roman" w:cs="Calibri"/>
                <w:color w:val="000000"/>
                <w:lang w:eastAsia="en-GB"/>
              </w:rPr>
            </w:pPr>
            <w:r w:rsidRPr="005C15BE">
              <w:rPr>
                <w:rFonts w:eastAsia="Times New Roman" w:cs="Calibri"/>
                <w:color w:val="000000"/>
                <w:lang w:eastAsia="en-GB"/>
              </w:rPr>
              <w:t>(1.550)</w:t>
            </w:r>
          </w:p>
        </w:tc>
        <w:tc>
          <w:tcPr>
            <w:tcW w:w="1420" w:type="dxa"/>
            <w:tcBorders>
              <w:top w:val="nil"/>
              <w:left w:val="nil"/>
              <w:bottom w:val="nil"/>
              <w:right w:val="single" w:sz="4" w:space="0" w:color="auto"/>
            </w:tcBorders>
            <w:shd w:val="clear" w:color="auto" w:fill="auto"/>
            <w:noWrap/>
            <w:vAlign w:val="bottom"/>
            <w:hideMark/>
          </w:tcPr>
          <w:p w14:paraId="5A83FBEC"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14647975"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6D94467B"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6174FD51"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5A8E07A4"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Capital and ESN Reserve</w:t>
            </w:r>
          </w:p>
        </w:tc>
        <w:tc>
          <w:tcPr>
            <w:tcW w:w="1420" w:type="dxa"/>
            <w:tcBorders>
              <w:top w:val="nil"/>
              <w:left w:val="single" w:sz="4" w:space="0" w:color="auto"/>
              <w:bottom w:val="nil"/>
              <w:right w:val="single" w:sz="4" w:space="0" w:color="auto"/>
            </w:tcBorders>
            <w:shd w:val="clear" w:color="auto" w:fill="auto"/>
            <w:noWrap/>
            <w:vAlign w:val="bottom"/>
            <w:hideMark/>
          </w:tcPr>
          <w:p w14:paraId="15C812A5"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37800548"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5575D9E"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43AF54A9"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84F9E34"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4B63DA83"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6026F0C1"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S106 Developer Contributions</w:t>
            </w:r>
          </w:p>
        </w:tc>
        <w:tc>
          <w:tcPr>
            <w:tcW w:w="1420" w:type="dxa"/>
            <w:tcBorders>
              <w:top w:val="nil"/>
              <w:left w:val="single" w:sz="4" w:space="0" w:color="auto"/>
              <w:bottom w:val="nil"/>
              <w:right w:val="single" w:sz="4" w:space="0" w:color="auto"/>
            </w:tcBorders>
            <w:shd w:val="clear" w:color="auto" w:fill="auto"/>
            <w:noWrap/>
            <w:vAlign w:val="bottom"/>
            <w:hideMark/>
          </w:tcPr>
          <w:p w14:paraId="50EEFE45"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7B9D74F4"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629CB750"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31316FE0"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09DA8DC"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6470F8A2"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50C29E38"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Capital Grants Unapplied</w:t>
            </w:r>
          </w:p>
        </w:tc>
        <w:tc>
          <w:tcPr>
            <w:tcW w:w="1420" w:type="dxa"/>
            <w:tcBorders>
              <w:top w:val="nil"/>
              <w:left w:val="single" w:sz="4" w:space="0" w:color="auto"/>
              <w:bottom w:val="nil"/>
              <w:right w:val="single" w:sz="4" w:space="0" w:color="auto"/>
            </w:tcBorders>
            <w:shd w:val="clear" w:color="auto" w:fill="auto"/>
            <w:noWrap/>
            <w:vAlign w:val="bottom"/>
            <w:hideMark/>
          </w:tcPr>
          <w:p w14:paraId="553CA0E3"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0.418</w:t>
            </w:r>
          </w:p>
        </w:tc>
        <w:tc>
          <w:tcPr>
            <w:tcW w:w="1420" w:type="dxa"/>
            <w:tcBorders>
              <w:top w:val="nil"/>
              <w:left w:val="nil"/>
              <w:bottom w:val="nil"/>
              <w:right w:val="single" w:sz="4" w:space="0" w:color="auto"/>
            </w:tcBorders>
            <w:shd w:val="clear" w:color="auto" w:fill="auto"/>
            <w:noWrap/>
            <w:vAlign w:val="bottom"/>
            <w:hideMark/>
          </w:tcPr>
          <w:p w14:paraId="11F4F671" w14:textId="77777777" w:rsidR="005C15BE" w:rsidRPr="005C15BE" w:rsidRDefault="005C15BE" w:rsidP="005C15BE">
            <w:pPr>
              <w:spacing w:line="240" w:lineRule="auto"/>
              <w:jc w:val="right"/>
              <w:rPr>
                <w:rFonts w:eastAsia="Times New Roman" w:cs="Calibri"/>
                <w:color w:val="000000"/>
                <w:lang w:eastAsia="en-GB"/>
              </w:rPr>
            </w:pPr>
            <w:r w:rsidRPr="005C15BE">
              <w:rPr>
                <w:rFonts w:eastAsia="Times New Roman" w:cs="Calibri"/>
                <w:color w:val="000000"/>
                <w:lang w:eastAsia="en-GB"/>
              </w:rPr>
              <w:t>(0.418)</w:t>
            </w:r>
          </w:p>
        </w:tc>
        <w:tc>
          <w:tcPr>
            <w:tcW w:w="1420" w:type="dxa"/>
            <w:tcBorders>
              <w:top w:val="nil"/>
              <w:left w:val="nil"/>
              <w:bottom w:val="nil"/>
              <w:right w:val="single" w:sz="4" w:space="0" w:color="auto"/>
            </w:tcBorders>
            <w:shd w:val="clear" w:color="auto" w:fill="auto"/>
            <w:noWrap/>
            <w:vAlign w:val="bottom"/>
            <w:hideMark/>
          </w:tcPr>
          <w:p w14:paraId="7D9EF595"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56405F98"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EA03DD4"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3C63649F" w14:textId="77777777" w:rsidTr="005C15BE">
        <w:trPr>
          <w:trHeight w:val="300"/>
        </w:trPr>
        <w:tc>
          <w:tcPr>
            <w:tcW w:w="2920" w:type="dxa"/>
            <w:tcBorders>
              <w:top w:val="single" w:sz="4" w:space="0" w:color="auto"/>
              <w:left w:val="single" w:sz="4" w:space="0" w:color="auto"/>
              <w:bottom w:val="single" w:sz="4" w:space="0" w:color="auto"/>
              <w:right w:val="nil"/>
            </w:tcBorders>
            <w:shd w:val="clear" w:color="auto" w:fill="auto"/>
            <w:noWrap/>
            <w:vAlign w:val="bottom"/>
            <w:hideMark/>
          </w:tcPr>
          <w:p w14:paraId="5CFF3A30"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Total Capital</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82D63"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1.968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5A202A9"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(1.968)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34CE31D"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7B1A195"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490A700"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4A43F71C" w14:textId="77777777" w:rsidTr="005C15BE">
        <w:trPr>
          <w:trHeight w:val="315"/>
        </w:trPr>
        <w:tc>
          <w:tcPr>
            <w:tcW w:w="2920" w:type="dxa"/>
            <w:tcBorders>
              <w:top w:val="nil"/>
              <w:left w:val="single" w:sz="4" w:space="0" w:color="auto"/>
              <w:bottom w:val="single" w:sz="4" w:space="0" w:color="auto"/>
              <w:right w:val="nil"/>
            </w:tcBorders>
            <w:shd w:val="clear" w:color="auto" w:fill="auto"/>
            <w:noWrap/>
            <w:vAlign w:val="bottom"/>
            <w:hideMark/>
          </w:tcPr>
          <w:p w14:paraId="4C17F563"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E2DB7B2"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4AED149C"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043C8290"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20697248"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0851EED4"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r>
      <w:tr w:rsidR="005C15BE" w:rsidRPr="005C15BE" w14:paraId="0D292DC6" w14:textId="77777777" w:rsidTr="005C15BE">
        <w:trPr>
          <w:trHeight w:val="300"/>
        </w:trPr>
        <w:tc>
          <w:tcPr>
            <w:tcW w:w="2920" w:type="dxa"/>
            <w:tcBorders>
              <w:top w:val="nil"/>
              <w:left w:val="single" w:sz="4" w:space="0" w:color="auto"/>
              <w:bottom w:val="single" w:sz="4" w:space="0" w:color="auto"/>
              <w:right w:val="nil"/>
            </w:tcBorders>
            <w:shd w:val="clear" w:color="auto" w:fill="auto"/>
            <w:noWrap/>
            <w:vAlign w:val="bottom"/>
            <w:hideMark/>
          </w:tcPr>
          <w:p w14:paraId="2C6BBA93"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Total Reserves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BE1653B"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6.752</w:t>
            </w:r>
          </w:p>
        </w:tc>
        <w:tc>
          <w:tcPr>
            <w:tcW w:w="1420" w:type="dxa"/>
            <w:tcBorders>
              <w:top w:val="nil"/>
              <w:left w:val="nil"/>
              <w:bottom w:val="single" w:sz="4" w:space="0" w:color="auto"/>
              <w:right w:val="single" w:sz="4" w:space="0" w:color="auto"/>
            </w:tcBorders>
            <w:shd w:val="clear" w:color="auto" w:fill="auto"/>
            <w:noWrap/>
            <w:vAlign w:val="bottom"/>
            <w:hideMark/>
          </w:tcPr>
          <w:p w14:paraId="50F55B61"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(2.936)</w:t>
            </w:r>
          </w:p>
        </w:tc>
        <w:tc>
          <w:tcPr>
            <w:tcW w:w="1420" w:type="dxa"/>
            <w:tcBorders>
              <w:top w:val="nil"/>
              <w:left w:val="nil"/>
              <w:bottom w:val="single" w:sz="4" w:space="0" w:color="auto"/>
              <w:right w:val="single" w:sz="4" w:space="0" w:color="auto"/>
            </w:tcBorders>
            <w:shd w:val="clear" w:color="auto" w:fill="auto"/>
            <w:noWrap/>
            <w:vAlign w:val="bottom"/>
            <w:hideMark/>
          </w:tcPr>
          <w:p w14:paraId="6FBF74FF"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3.816</w:t>
            </w:r>
          </w:p>
        </w:tc>
        <w:tc>
          <w:tcPr>
            <w:tcW w:w="1420" w:type="dxa"/>
            <w:tcBorders>
              <w:top w:val="nil"/>
              <w:left w:val="nil"/>
              <w:bottom w:val="single" w:sz="4" w:space="0" w:color="auto"/>
              <w:right w:val="single" w:sz="4" w:space="0" w:color="auto"/>
            </w:tcBorders>
            <w:shd w:val="clear" w:color="auto" w:fill="auto"/>
            <w:noWrap/>
            <w:vAlign w:val="bottom"/>
            <w:hideMark/>
          </w:tcPr>
          <w:p w14:paraId="1EF855E5"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(0.246)</w:t>
            </w:r>
          </w:p>
        </w:tc>
        <w:tc>
          <w:tcPr>
            <w:tcW w:w="1420" w:type="dxa"/>
            <w:tcBorders>
              <w:top w:val="nil"/>
              <w:left w:val="nil"/>
              <w:bottom w:val="single" w:sz="4" w:space="0" w:color="auto"/>
              <w:right w:val="single" w:sz="4" w:space="0" w:color="auto"/>
            </w:tcBorders>
            <w:shd w:val="clear" w:color="auto" w:fill="auto"/>
            <w:noWrap/>
            <w:vAlign w:val="bottom"/>
            <w:hideMark/>
          </w:tcPr>
          <w:p w14:paraId="38040463"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3.570</w:t>
            </w:r>
          </w:p>
        </w:tc>
      </w:tr>
    </w:tbl>
    <w:p w14:paraId="1E9C67A4" w14:textId="77777777" w:rsidR="00DE422B" w:rsidRPr="00A81E04" w:rsidRDefault="00DE422B" w:rsidP="00DE422B">
      <w:pPr>
        <w:spacing w:line="240" w:lineRule="auto"/>
        <w:jc w:val="both"/>
        <w:rPr>
          <w:rFonts w:ascii="Arial" w:eastAsia="Times New Roman" w:hAnsi="Arial" w:cs="Arial"/>
          <w:bCs/>
          <w:i/>
          <w:iCs/>
          <w:highlight w:val="yellow"/>
        </w:rPr>
      </w:pPr>
    </w:p>
    <w:p w14:paraId="7140BB31" w14:textId="77777777" w:rsidR="00DE422B" w:rsidRPr="005C4961" w:rsidRDefault="00DE422B" w:rsidP="00DE422B">
      <w:pPr>
        <w:spacing w:line="240" w:lineRule="auto"/>
        <w:jc w:val="both"/>
        <w:rPr>
          <w:rFonts w:ascii="Arial" w:eastAsia="Times New Roman" w:hAnsi="Arial" w:cs="Arial"/>
          <w:bCs/>
          <w:i/>
          <w:iCs/>
        </w:rPr>
      </w:pPr>
      <w:r w:rsidRPr="005C4961">
        <w:rPr>
          <w:rFonts w:ascii="Arial" w:eastAsia="Times New Roman" w:hAnsi="Arial" w:cs="Arial"/>
          <w:bCs/>
          <w:i/>
          <w:iCs/>
        </w:rPr>
        <w:t>Note: numbers may not sum due to rounding</w:t>
      </w:r>
    </w:p>
    <w:p w14:paraId="707A0D3D" w14:textId="77777777" w:rsidR="00186442" w:rsidRPr="00450555" w:rsidRDefault="00186442" w:rsidP="00483217">
      <w:pPr>
        <w:spacing w:line="240" w:lineRule="auto"/>
        <w:jc w:val="both"/>
        <w:rPr>
          <w:rFonts w:ascii="Arial" w:eastAsia="Times New Roman" w:hAnsi="Arial" w:cs="Arial"/>
          <w:bCs/>
          <w:i/>
          <w:iCs/>
          <w:highlight w:val="yellow"/>
        </w:rPr>
      </w:pPr>
    </w:p>
    <w:p w14:paraId="617AACF5" w14:textId="77777777" w:rsidR="00483217" w:rsidRPr="00A2316A" w:rsidRDefault="00483217" w:rsidP="00483217">
      <w:pPr>
        <w:pStyle w:val="ReservesHeading"/>
      </w:pPr>
      <w:r w:rsidRPr="00A2316A">
        <w:t>General Reserve</w:t>
      </w:r>
    </w:p>
    <w:p w14:paraId="39CA5024" w14:textId="77777777" w:rsidR="00483217" w:rsidRPr="00A2316A" w:rsidRDefault="00483217" w:rsidP="00483217">
      <w:pPr>
        <w:pStyle w:val="ReservesBody"/>
      </w:pPr>
      <w:r w:rsidRPr="00A2316A">
        <w:t xml:space="preserve">In order to assess the adequacy of the unallocated general reserve when setting the budget, the PFCC, on the advice of the two Chief Finance Officers, should take account of the strategic, operational and financial risks facing the authority.  This assessment of risk should include external risks, as well as internal risks, for example the ability to deliver planned efficiency savings. </w:t>
      </w:r>
    </w:p>
    <w:p w14:paraId="21715151" w14:textId="77777777" w:rsidR="00483217" w:rsidRPr="00A2316A" w:rsidRDefault="00483217" w:rsidP="00483217">
      <w:pPr>
        <w:pStyle w:val="ReservesBody"/>
      </w:pPr>
      <w:r w:rsidRPr="00A2316A">
        <w:t>Whilst there is no prescribed level of reserves that PFCCs should hold; it is influenced by individual discretion, local circumstances, advice from external auditors, risk management arrangements and risk appetite.  CIPFA guidance specifically cautions against prescriptive national guidance for a minimum or maximum level of reserves and states:</w:t>
      </w:r>
    </w:p>
    <w:p w14:paraId="13495AE8" w14:textId="77777777" w:rsidR="00483217" w:rsidRPr="00A2316A" w:rsidRDefault="00483217" w:rsidP="00483217">
      <w:pPr>
        <w:pStyle w:val="ReservesBody"/>
        <w:numPr>
          <w:ilvl w:val="0"/>
          <w:numId w:val="0"/>
        </w:numPr>
        <w:ind w:left="567"/>
        <w:rPr>
          <w:i/>
          <w:iCs/>
        </w:rPr>
      </w:pPr>
      <w:r w:rsidRPr="00A2316A">
        <w:rPr>
          <w:i/>
          <w:iCs/>
        </w:rPr>
        <w:lastRenderedPageBreak/>
        <w:t xml:space="preserve">“The many factors involved when considering appropriate levels of reserves can only be assessed properly at a local level. A considerable degree of professional judgement is required. The chief finance officer may choose to express advice on the level of balances in cash and/or as a percentage of budget (to aid understanding) so long as that advice is tailored to the circumstances of the authority.” </w:t>
      </w:r>
    </w:p>
    <w:p w14:paraId="00313EE4" w14:textId="77777777" w:rsidR="00483217" w:rsidRPr="00A2316A" w:rsidRDefault="00483217" w:rsidP="00483217">
      <w:pPr>
        <w:pStyle w:val="ReservesBody"/>
        <w:rPr>
          <w:i/>
        </w:rPr>
      </w:pPr>
      <w:r w:rsidRPr="00A2316A">
        <w:t>However, the minimum level of reserves may be set for the authority by the Ministers in England and Wales where an authority does not act prudently, disregards the advice of its chief finance officer or is heading for financial difficulties.</w:t>
      </w:r>
    </w:p>
    <w:p w14:paraId="2FDF7FD4" w14:textId="710B0DE2" w:rsidR="00F115BD" w:rsidRPr="00A2316A" w:rsidRDefault="00483217" w:rsidP="00483217">
      <w:pPr>
        <w:pStyle w:val="ReservesBody"/>
      </w:pPr>
      <w:r w:rsidRPr="00A2316A">
        <w:t xml:space="preserve">CIPFA indicate a minimum general reserve level is typically between 2% and 3% of net budget requirement. </w:t>
      </w:r>
    </w:p>
    <w:p w14:paraId="37785CEF" w14:textId="66CAA34F" w:rsidR="00F115BD" w:rsidRPr="00A2316A" w:rsidRDefault="00F115BD" w:rsidP="00C644FE">
      <w:pPr>
        <w:pStyle w:val="ReservesBody"/>
      </w:pPr>
      <w:r w:rsidRPr="00A2316A">
        <w:t>Home Office publications</w:t>
      </w:r>
      <w:r w:rsidR="00C644FE" w:rsidRPr="00A2316A">
        <w:t xml:space="preserve"> in recent years</w:t>
      </w:r>
      <w:r w:rsidRPr="00A2316A">
        <w:t xml:space="preserve"> reflect that despite progress in building </w:t>
      </w:r>
      <w:r w:rsidR="0081263C" w:rsidRPr="00A2316A">
        <w:t>reserve</w:t>
      </w:r>
      <w:r w:rsidRPr="00A2316A">
        <w:t xml:space="preserve">s, NCFRA </w:t>
      </w:r>
      <w:r w:rsidR="00A2316A" w:rsidRPr="00A2316A">
        <w:t>still</w:t>
      </w:r>
      <w:r w:rsidRPr="00A2316A">
        <w:t xml:space="preserve"> ha</w:t>
      </w:r>
      <w:r w:rsidR="00A2316A" w:rsidRPr="00A2316A">
        <w:t>s one of</w:t>
      </w:r>
      <w:r w:rsidRPr="00A2316A">
        <w:t xml:space="preserve"> the lowest level of </w:t>
      </w:r>
      <w:r w:rsidR="0081263C" w:rsidRPr="00A2316A">
        <w:t>reserve</w:t>
      </w:r>
      <w:r w:rsidRPr="00A2316A">
        <w:t xml:space="preserve">s per core spending power across all Fire and Rescue Authorities in England and Wales. </w:t>
      </w:r>
    </w:p>
    <w:p w14:paraId="5B4A729B" w14:textId="5B0946D3" w:rsidR="00C644FE" w:rsidRPr="00A2316A" w:rsidRDefault="00C644FE" w:rsidP="00C644FE">
      <w:pPr>
        <w:pStyle w:val="ReservesBody"/>
      </w:pPr>
      <w:r w:rsidRPr="00A2316A">
        <w:t xml:space="preserve">The PFCC has considered </w:t>
      </w:r>
      <w:r w:rsidR="00A2316A" w:rsidRPr="00A2316A">
        <w:t>the</w:t>
      </w:r>
      <w:r w:rsidRPr="00A2316A">
        <w:t xml:space="preserve"> reserves strategy and wishes to hold a sufficient but not excessive level of reserves.  In determining this position, Annexe 1 outlines how the PFCC complies with the 7 key CIPFA principles which can be used to assess the adequacy of reserves.</w:t>
      </w:r>
    </w:p>
    <w:p w14:paraId="37461318" w14:textId="2A02BB37" w:rsidR="00F115BD" w:rsidRPr="00A2316A" w:rsidRDefault="00F115BD" w:rsidP="00C644FE">
      <w:pPr>
        <w:pStyle w:val="ReservesBody"/>
      </w:pPr>
      <w:r w:rsidRPr="00A2316A">
        <w:t>NCFRA have also considered the following factors:</w:t>
      </w:r>
    </w:p>
    <w:p w14:paraId="165742DB" w14:textId="77777777" w:rsidR="00F115BD" w:rsidRPr="00A2316A" w:rsidRDefault="00F115BD" w:rsidP="00C644FE">
      <w:pPr>
        <w:pStyle w:val="Reservesbullet"/>
      </w:pPr>
      <w:r w:rsidRPr="00A2316A">
        <w:t>NCFRA are required to meet the first 1% of any special grant requirement.</w:t>
      </w:r>
    </w:p>
    <w:p w14:paraId="2163C5F5" w14:textId="59193051" w:rsidR="00F115BD" w:rsidRPr="00A2316A" w:rsidRDefault="00F115BD" w:rsidP="00C644FE">
      <w:pPr>
        <w:pStyle w:val="Reservesbullet"/>
      </w:pPr>
      <w:r w:rsidRPr="00A2316A">
        <w:t xml:space="preserve">NCFRA was established without the transfer of any </w:t>
      </w:r>
      <w:r w:rsidR="0081263C" w:rsidRPr="00A2316A">
        <w:t>reserve</w:t>
      </w:r>
      <w:r w:rsidRPr="00A2316A">
        <w:t>s.</w:t>
      </w:r>
    </w:p>
    <w:p w14:paraId="0F20F24E" w14:textId="2357A711" w:rsidR="00F115BD" w:rsidRDefault="00F115BD" w:rsidP="00C644FE">
      <w:pPr>
        <w:pStyle w:val="Reservesbullet"/>
      </w:pPr>
      <w:r w:rsidRPr="00A2316A">
        <w:t>Local funding accounts for some 7</w:t>
      </w:r>
      <w:r w:rsidR="00A2316A">
        <w:t>6</w:t>
      </w:r>
      <w:r w:rsidRPr="00A2316A">
        <w:t xml:space="preserve">% of NCFRA’s funding streams, </w:t>
      </w:r>
      <w:r w:rsidR="009D76F4" w:rsidRPr="00A2316A">
        <w:t xml:space="preserve">which can </w:t>
      </w:r>
      <w:r w:rsidR="00A14F12" w:rsidRPr="00A2316A">
        <w:t>be affected</w:t>
      </w:r>
      <w:r w:rsidRPr="00A2316A">
        <w:t xml:space="preserve"> by local taxpayers and business’ ability to pay and can subject to volatility.</w:t>
      </w:r>
    </w:p>
    <w:p w14:paraId="7F1B66CC" w14:textId="05554CBA" w:rsidR="00A2316A" w:rsidRPr="00A2316A" w:rsidRDefault="00A2316A" w:rsidP="00A2316A">
      <w:pPr>
        <w:pStyle w:val="Reservesbullet"/>
      </w:pPr>
      <w:r w:rsidRPr="00A2316A">
        <w:t>The general reserve also holds the financial risk of any potential industrial action requirements should they arise.</w:t>
      </w:r>
    </w:p>
    <w:p w14:paraId="52EE99FC" w14:textId="310394C6" w:rsidR="00F115BD" w:rsidRPr="00A2316A" w:rsidRDefault="00F115BD" w:rsidP="00C644FE">
      <w:pPr>
        <w:pStyle w:val="ReservesBody"/>
      </w:pPr>
      <w:r w:rsidRPr="00A2316A">
        <w:t xml:space="preserve">Given the above, it remains prudent to hold </w:t>
      </w:r>
      <w:r w:rsidR="0081263C" w:rsidRPr="00A2316A">
        <w:t>reserve</w:t>
      </w:r>
      <w:r w:rsidRPr="00A2316A">
        <w:t>s at a reasonable level to provide a realistic and comfortable buffer to meet any eventualities, and to mitigate against any unplanned in-year changes being required.</w:t>
      </w:r>
      <w:r w:rsidR="00C644FE" w:rsidRPr="00A2316A">
        <w:t xml:space="preserve"> </w:t>
      </w:r>
      <w:r w:rsidRPr="00A2316A">
        <w:t xml:space="preserve"> </w:t>
      </w:r>
    </w:p>
    <w:p w14:paraId="1B331522" w14:textId="2F0D35AA" w:rsidR="0016619A" w:rsidRPr="009C2C0D" w:rsidRDefault="00F115BD" w:rsidP="00D54977">
      <w:pPr>
        <w:pStyle w:val="ReservesBody"/>
      </w:pPr>
      <w:bookmarkStart w:id="27" w:name="_Hlk62119739"/>
      <w:r w:rsidRPr="00A2316A">
        <w:t xml:space="preserve">The Chief Finance Officer advises that it would be prudent to maintain a sustainable and </w:t>
      </w:r>
      <w:r w:rsidRPr="009C2C0D">
        <w:t xml:space="preserve">resilient level of </w:t>
      </w:r>
      <w:r w:rsidR="0081263C" w:rsidRPr="009C2C0D">
        <w:t>general reserve</w:t>
      </w:r>
      <w:r w:rsidRPr="009C2C0D">
        <w:t xml:space="preserve">s at £2.0m or 5% </w:t>
      </w:r>
      <w:r w:rsidR="00A2316A" w:rsidRPr="009C2C0D">
        <w:t xml:space="preserve">of revenue budget </w:t>
      </w:r>
      <w:r w:rsidRPr="009C2C0D">
        <w:t>(whichever is the higher).</w:t>
      </w:r>
    </w:p>
    <w:bookmarkEnd w:id="27"/>
    <w:p w14:paraId="3DB79A74" w14:textId="5B7C7F02" w:rsidR="0016619A" w:rsidRPr="009C2C0D" w:rsidRDefault="00C644FE" w:rsidP="0016619A">
      <w:pPr>
        <w:pStyle w:val="ReservesBody"/>
      </w:pPr>
      <w:r w:rsidRPr="009C2C0D">
        <w:t>At present, there are no plans to use the general reserve during the period of the MTFP</w:t>
      </w:r>
      <w:r w:rsidR="00A2316A" w:rsidRPr="009C2C0D">
        <w:t xml:space="preserve"> or longer term</w:t>
      </w:r>
      <w:r w:rsidRPr="009C2C0D">
        <w:t xml:space="preserve">.  </w:t>
      </w:r>
      <w:r w:rsidR="009C2C0D" w:rsidRPr="009C2C0D">
        <w:t>It is</w:t>
      </w:r>
      <w:r w:rsidR="00F115BD" w:rsidRPr="009C2C0D">
        <w:t xml:space="preserve"> currently stabilised above 5% </w:t>
      </w:r>
      <w:r w:rsidRPr="009C2C0D">
        <w:t xml:space="preserve">of revenue budget in each year of the MTFP </w:t>
      </w:r>
      <w:r w:rsidR="00F115BD" w:rsidRPr="009C2C0D">
        <w:t>as follows:</w:t>
      </w:r>
    </w:p>
    <w:tbl>
      <w:tblPr>
        <w:tblW w:w="4260" w:type="dxa"/>
        <w:tblInd w:w="562" w:type="dxa"/>
        <w:tblLook w:val="04A0" w:firstRow="1" w:lastRow="0" w:firstColumn="1" w:lastColumn="0" w:noHBand="0" w:noVBand="1"/>
      </w:tblPr>
      <w:tblGrid>
        <w:gridCol w:w="1420"/>
        <w:gridCol w:w="1420"/>
        <w:gridCol w:w="1420"/>
      </w:tblGrid>
      <w:tr w:rsidR="009C2C0D" w:rsidRPr="009C2C0D" w14:paraId="0C2C71E6" w14:textId="77777777" w:rsidTr="009C2C0D">
        <w:trPr>
          <w:trHeight w:val="300"/>
        </w:trPr>
        <w:tc>
          <w:tcPr>
            <w:tcW w:w="1420" w:type="dxa"/>
            <w:tcBorders>
              <w:top w:val="single" w:sz="4" w:space="0" w:color="auto"/>
              <w:left w:val="single" w:sz="4" w:space="0" w:color="auto"/>
              <w:bottom w:val="nil"/>
              <w:right w:val="single" w:sz="4" w:space="0" w:color="auto"/>
            </w:tcBorders>
            <w:shd w:val="clear" w:color="000000" w:fill="C00000"/>
            <w:vAlign w:val="center"/>
            <w:hideMark/>
          </w:tcPr>
          <w:p w14:paraId="44543390" w14:textId="77777777" w:rsidR="009C2C0D" w:rsidRPr="009C2C0D" w:rsidRDefault="009C2C0D" w:rsidP="009C2C0D">
            <w:pPr>
              <w:spacing w:line="240" w:lineRule="auto"/>
              <w:jc w:val="center"/>
              <w:rPr>
                <w:rFonts w:eastAsia="Times New Roman" w:cs="Calibri"/>
                <w:b/>
                <w:bCs/>
                <w:color w:val="FFFFFF"/>
                <w:lang w:eastAsia="en-GB"/>
              </w:rPr>
            </w:pPr>
            <w:r w:rsidRPr="009C2C0D">
              <w:rPr>
                <w:rFonts w:eastAsia="Times New Roman" w:cs="Calibri"/>
                <w:b/>
                <w:bCs/>
                <w:color w:val="FFFFFF"/>
                <w:lang w:eastAsia="en-GB"/>
              </w:rPr>
              <w:t>Year</w:t>
            </w:r>
          </w:p>
        </w:tc>
        <w:tc>
          <w:tcPr>
            <w:tcW w:w="1420" w:type="dxa"/>
            <w:tcBorders>
              <w:top w:val="single" w:sz="4" w:space="0" w:color="auto"/>
              <w:left w:val="nil"/>
              <w:bottom w:val="nil"/>
              <w:right w:val="single" w:sz="4" w:space="0" w:color="auto"/>
            </w:tcBorders>
            <w:shd w:val="clear" w:color="000000" w:fill="C00000"/>
            <w:vAlign w:val="center"/>
            <w:hideMark/>
          </w:tcPr>
          <w:p w14:paraId="6D4AF659" w14:textId="77777777" w:rsidR="009C2C0D" w:rsidRPr="009C2C0D" w:rsidRDefault="009C2C0D" w:rsidP="009C2C0D">
            <w:pPr>
              <w:spacing w:line="240" w:lineRule="auto"/>
              <w:jc w:val="center"/>
              <w:rPr>
                <w:rFonts w:eastAsia="Times New Roman" w:cs="Calibri"/>
                <w:b/>
                <w:bCs/>
                <w:color w:val="FFFFFF"/>
                <w:lang w:eastAsia="en-GB"/>
              </w:rPr>
            </w:pPr>
            <w:r w:rsidRPr="009C2C0D">
              <w:rPr>
                <w:rFonts w:eastAsia="Times New Roman" w:cs="Calibri"/>
                <w:b/>
                <w:bCs/>
                <w:color w:val="FFFFFF"/>
                <w:lang w:eastAsia="en-GB"/>
              </w:rPr>
              <w:t>£m</w:t>
            </w:r>
          </w:p>
        </w:tc>
        <w:tc>
          <w:tcPr>
            <w:tcW w:w="1420" w:type="dxa"/>
            <w:tcBorders>
              <w:top w:val="single" w:sz="4" w:space="0" w:color="auto"/>
              <w:left w:val="nil"/>
              <w:bottom w:val="nil"/>
              <w:right w:val="single" w:sz="4" w:space="0" w:color="auto"/>
            </w:tcBorders>
            <w:shd w:val="clear" w:color="000000" w:fill="C00000"/>
            <w:vAlign w:val="center"/>
            <w:hideMark/>
          </w:tcPr>
          <w:p w14:paraId="6FD9A8C5" w14:textId="77777777" w:rsidR="009C2C0D" w:rsidRPr="009C2C0D" w:rsidRDefault="009C2C0D" w:rsidP="009C2C0D">
            <w:pPr>
              <w:spacing w:line="240" w:lineRule="auto"/>
              <w:jc w:val="center"/>
              <w:rPr>
                <w:rFonts w:eastAsia="Times New Roman" w:cs="Calibri"/>
                <w:b/>
                <w:bCs/>
                <w:color w:val="FFFFFF"/>
                <w:lang w:eastAsia="en-GB"/>
              </w:rPr>
            </w:pPr>
            <w:r w:rsidRPr="009C2C0D">
              <w:rPr>
                <w:rFonts w:eastAsia="Times New Roman" w:cs="Calibri"/>
                <w:b/>
                <w:bCs/>
                <w:color w:val="FFFFFF"/>
                <w:lang w:eastAsia="en-GB"/>
              </w:rPr>
              <w:t>% of Budget</w:t>
            </w:r>
          </w:p>
        </w:tc>
      </w:tr>
      <w:tr w:rsidR="009C2C0D" w:rsidRPr="009C2C0D" w14:paraId="7271AA77" w14:textId="77777777" w:rsidTr="009C2C0D">
        <w:trPr>
          <w:trHeight w:val="300"/>
        </w:trPr>
        <w:tc>
          <w:tcPr>
            <w:tcW w:w="1420" w:type="dxa"/>
            <w:tcBorders>
              <w:top w:val="nil"/>
              <w:left w:val="single" w:sz="4" w:space="0" w:color="auto"/>
              <w:bottom w:val="nil"/>
              <w:right w:val="nil"/>
            </w:tcBorders>
            <w:shd w:val="clear" w:color="auto" w:fill="auto"/>
            <w:noWrap/>
            <w:vAlign w:val="bottom"/>
            <w:hideMark/>
          </w:tcPr>
          <w:p w14:paraId="201A406D"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2025/26</w:t>
            </w:r>
          </w:p>
        </w:tc>
        <w:tc>
          <w:tcPr>
            <w:tcW w:w="1420" w:type="dxa"/>
            <w:tcBorders>
              <w:top w:val="nil"/>
              <w:left w:val="single" w:sz="4" w:space="0" w:color="auto"/>
              <w:bottom w:val="nil"/>
              <w:right w:val="single" w:sz="4" w:space="0" w:color="auto"/>
            </w:tcBorders>
            <w:shd w:val="clear" w:color="auto" w:fill="auto"/>
            <w:noWrap/>
            <w:vAlign w:val="bottom"/>
            <w:hideMark/>
          </w:tcPr>
          <w:p w14:paraId="2A264E18" w14:textId="77777777" w:rsidR="009C2C0D" w:rsidRPr="009C2C0D" w:rsidRDefault="009C2C0D" w:rsidP="009C2C0D">
            <w:pPr>
              <w:spacing w:line="240" w:lineRule="auto"/>
              <w:jc w:val="center"/>
              <w:rPr>
                <w:rFonts w:eastAsia="Times New Roman" w:cs="Calibri"/>
                <w:b/>
                <w:bCs/>
                <w:color w:val="000000"/>
                <w:lang w:eastAsia="en-GB"/>
              </w:rPr>
            </w:pPr>
            <w:r w:rsidRPr="009C2C0D">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1A8EC6E9"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6.0%</w:t>
            </w:r>
          </w:p>
        </w:tc>
      </w:tr>
      <w:tr w:rsidR="009C2C0D" w:rsidRPr="009C2C0D" w14:paraId="24834F58" w14:textId="77777777" w:rsidTr="009C2C0D">
        <w:trPr>
          <w:trHeight w:val="300"/>
        </w:trPr>
        <w:tc>
          <w:tcPr>
            <w:tcW w:w="1420" w:type="dxa"/>
            <w:tcBorders>
              <w:top w:val="nil"/>
              <w:left w:val="single" w:sz="4" w:space="0" w:color="auto"/>
              <w:bottom w:val="nil"/>
              <w:right w:val="nil"/>
            </w:tcBorders>
            <w:shd w:val="clear" w:color="auto" w:fill="auto"/>
            <w:noWrap/>
            <w:vAlign w:val="bottom"/>
            <w:hideMark/>
          </w:tcPr>
          <w:p w14:paraId="0DA57E8F"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2026/27</w:t>
            </w:r>
          </w:p>
        </w:tc>
        <w:tc>
          <w:tcPr>
            <w:tcW w:w="1420" w:type="dxa"/>
            <w:tcBorders>
              <w:top w:val="nil"/>
              <w:left w:val="single" w:sz="4" w:space="0" w:color="auto"/>
              <w:bottom w:val="nil"/>
              <w:right w:val="single" w:sz="4" w:space="0" w:color="auto"/>
            </w:tcBorders>
            <w:shd w:val="clear" w:color="auto" w:fill="auto"/>
            <w:noWrap/>
            <w:vAlign w:val="bottom"/>
            <w:hideMark/>
          </w:tcPr>
          <w:p w14:paraId="20F4FA02" w14:textId="77777777" w:rsidR="009C2C0D" w:rsidRPr="009C2C0D" w:rsidRDefault="009C2C0D" w:rsidP="009C2C0D">
            <w:pPr>
              <w:spacing w:line="240" w:lineRule="auto"/>
              <w:jc w:val="center"/>
              <w:rPr>
                <w:rFonts w:eastAsia="Times New Roman" w:cs="Calibri"/>
                <w:b/>
                <w:bCs/>
                <w:color w:val="000000"/>
                <w:lang w:eastAsia="en-GB"/>
              </w:rPr>
            </w:pPr>
            <w:r w:rsidRPr="009C2C0D">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7127F232"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5.7%</w:t>
            </w:r>
          </w:p>
        </w:tc>
      </w:tr>
      <w:tr w:rsidR="009C2C0D" w:rsidRPr="009C2C0D" w14:paraId="36CDA866" w14:textId="77777777" w:rsidTr="009C2C0D">
        <w:trPr>
          <w:trHeight w:val="300"/>
        </w:trPr>
        <w:tc>
          <w:tcPr>
            <w:tcW w:w="1420" w:type="dxa"/>
            <w:tcBorders>
              <w:top w:val="nil"/>
              <w:left w:val="single" w:sz="4" w:space="0" w:color="auto"/>
              <w:bottom w:val="nil"/>
              <w:right w:val="nil"/>
            </w:tcBorders>
            <w:shd w:val="clear" w:color="auto" w:fill="auto"/>
            <w:noWrap/>
            <w:vAlign w:val="bottom"/>
            <w:hideMark/>
          </w:tcPr>
          <w:p w14:paraId="5C879B17"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2027/28</w:t>
            </w:r>
          </w:p>
        </w:tc>
        <w:tc>
          <w:tcPr>
            <w:tcW w:w="1420" w:type="dxa"/>
            <w:tcBorders>
              <w:top w:val="nil"/>
              <w:left w:val="single" w:sz="4" w:space="0" w:color="auto"/>
              <w:bottom w:val="nil"/>
              <w:right w:val="single" w:sz="4" w:space="0" w:color="auto"/>
            </w:tcBorders>
            <w:shd w:val="clear" w:color="auto" w:fill="auto"/>
            <w:noWrap/>
            <w:vAlign w:val="bottom"/>
            <w:hideMark/>
          </w:tcPr>
          <w:p w14:paraId="59559D11" w14:textId="77777777" w:rsidR="009C2C0D" w:rsidRPr="009C2C0D" w:rsidRDefault="009C2C0D" w:rsidP="009C2C0D">
            <w:pPr>
              <w:spacing w:line="240" w:lineRule="auto"/>
              <w:jc w:val="center"/>
              <w:rPr>
                <w:rFonts w:eastAsia="Times New Roman" w:cs="Calibri"/>
                <w:b/>
                <w:bCs/>
                <w:color w:val="000000"/>
                <w:lang w:eastAsia="en-GB"/>
              </w:rPr>
            </w:pPr>
            <w:r w:rsidRPr="009C2C0D">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44777B9A"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5.4%</w:t>
            </w:r>
          </w:p>
        </w:tc>
      </w:tr>
      <w:tr w:rsidR="009C2C0D" w:rsidRPr="009C2C0D" w14:paraId="714893FD" w14:textId="77777777" w:rsidTr="009C2C0D">
        <w:trPr>
          <w:trHeight w:val="300"/>
        </w:trPr>
        <w:tc>
          <w:tcPr>
            <w:tcW w:w="1420" w:type="dxa"/>
            <w:tcBorders>
              <w:top w:val="nil"/>
              <w:left w:val="single" w:sz="4" w:space="0" w:color="auto"/>
              <w:bottom w:val="nil"/>
              <w:right w:val="single" w:sz="4" w:space="0" w:color="auto"/>
            </w:tcBorders>
            <w:shd w:val="clear" w:color="auto" w:fill="auto"/>
            <w:noWrap/>
            <w:vAlign w:val="bottom"/>
            <w:hideMark/>
          </w:tcPr>
          <w:p w14:paraId="0AC228A6"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2028/29</w:t>
            </w:r>
          </w:p>
        </w:tc>
        <w:tc>
          <w:tcPr>
            <w:tcW w:w="1420" w:type="dxa"/>
            <w:tcBorders>
              <w:top w:val="nil"/>
              <w:left w:val="nil"/>
              <w:bottom w:val="nil"/>
              <w:right w:val="single" w:sz="4" w:space="0" w:color="auto"/>
            </w:tcBorders>
            <w:shd w:val="clear" w:color="auto" w:fill="auto"/>
            <w:noWrap/>
            <w:vAlign w:val="bottom"/>
            <w:hideMark/>
          </w:tcPr>
          <w:p w14:paraId="559E28BE" w14:textId="77777777" w:rsidR="009C2C0D" w:rsidRPr="009C2C0D" w:rsidRDefault="009C2C0D" w:rsidP="009C2C0D">
            <w:pPr>
              <w:spacing w:line="240" w:lineRule="auto"/>
              <w:jc w:val="center"/>
              <w:rPr>
                <w:rFonts w:eastAsia="Times New Roman" w:cs="Calibri"/>
                <w:b/>
                <w:bCs/>
                <w:color w:val="000000"/>
                <w:lang w:eastAsia="en-GB"/>
              </w:rPr>
            </w:pPr>
            <w:r w:rsidRPr="009C2C0D">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2F8DE2F5"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5.1%</w:t>
            </w:r>
          </w:p>
        </w:tc>
      </w:tr>
      <w:tr w:rsidR="009C2C0D" w:rsidRPr="009C2C0D" w14:paraId="690A8363" w14:textId="77777777" w:rsidTr="009C2C0D">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8623997"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2029/30</w:t>
            </w:r>
          </w:p>
        </w:tc>
        <w:tc>
          <w:tcPr>
            <w:tcW w:w="1420" w:type="dxa"/>
            <w:tcBorders>
              <w:top w:val="nil"/>
              <w:left w:val="nil"/>
              <w:bottom w:val="single" w:sz="4" w:space="0" w:color="auto"/>
              <w:right w:val="single" w:sz="4" w:space="0" w:color="auto"/>
            </w:tcBorders>
            <w:shd w:val="clear" w:color="auto" w:fill="auto"/>
            <w:noWrap/>
            <w:vAlign w:val="bottom"/>
            <w:hideMark/>
          </w:tcPr>
          <w:p w14:paraId="3B47FFE4" w14:textId="77777777" w:rsidR="009C2C0D" w:rsidRPr="009C2C0D" w:rsidRDefault="009C2C0D" w:rsidP="009C2C0D">
            <w:pPr>
              <w:spacing w:line="240" w:lineRule="auto"/>
              <w:jc w:val="center"/>
              <w:rPr>
                <w:rFonts w:eastAsia="Times New Roman" w:cs="Calibri"/>
                <w:b/>
                <w:bCs/>
                <w:color w:val="000000"/>
                <w:lang w:eastAsia="en-GB"/>
              </w:rPr>
            </w:pPr>
            <w:r w:rsidRPr="009C2C0D">
              <w:rPr>
                <w:rFonts w:eastAsia="Times New Roman" w:cs="Calibri"/>
                <w:b/>
                <w:bCs/>
                <w:color w:val="000000"/>
                <w:lang w:eastAsia="en-GB"/>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5430A3D8"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5.1%</w:t>
            </w:r>
          </w:p>
        </w:tc>
      </w:tr>
    </w:tbl>
    <w:p w14:paraId="30E9C52A" w14:textId="77777777" w:rsidR="00C644FE" w:rsidRDefault="00C644FE" w:rsidP="00C644FE">
      <w:pPr>
        <w:pStyle w:val="NoSpacing"/>
      </w:pPr>
    </w:p>
    <w:p w14:paraId="587FF2D4" w14:textId="77777777" w:rsidR="00DE422B" w:rsidRDefault="00DE422B" w:rsidP="00C644FE">
      <w:pPr>
        <w:pStyle w:val="NoSpacing"/>
      </w:pPr>
    </w:p>
    <w:p w14:paraId="1DAD806D" w14:textId="77777777" w:rsidR="00DE422B" w:rsidRPr="009C2C0D" w:rsidRDefault="00DE422B" w:rsidP="00C644FE">
      <w:pPr>
        <w:pStyle w:val="NoSpacing"/>
      </w:pPr>
    </w:p>
    <w:p w14:paraId="2D50F5E1" w14:textId="5DE83944" w:rsidR="00C644FE" w:rsidRPr="009C2C0D" w:rsidRDefault="00C644FE" w:rsidP="00C644FE">
      <w:pPr>
        <w:pStyle w:val="ReservesHeading"/>
      </w:pPr>
      <w:r w:rsidRPr="009C2C0D">
        <w:lastRenderedPageBreak/>
        <w:t>Earmarked Reserves</w:t>
      </w:r>
    </w:p>
    <w:p w14:paraId="15F58398" w14:textId="77777777" w:rsidR="00C644FE" w:rsidRPr="009C2C0D" w:rsidRDefault="00C644FE" w:rsidP="00C644FE">
      <w:pPr>
        <w:pStyle w:val="ReservesBody"/>
      </w:pPr>
      <w:r w:rsidRPr="009C2C0D">
        <w:t>In addition to the general reserve, the PFCC holds a number of reserves which are earmarked for specific purposes.</w:t>
      </w:r>
    </w:p>
    <w:p w14:paraId="06C6234E" w14:textId="50B135F4" w:rsidR="00C644FE" w:rsidRPr="009C2C0D" w:rsidRDefault="000F4427" w:rsidP="00C644FE">
      <w:pPr>
        <w:pStyle w:val="ReservesBody"/>
      </w:pPr>
      <w:r w:rsidRPr="009C2C0D">
        <w:t>At the 31/3/202</w:t>
      </w:r>
      <w:r w:rsidR="009C2C0D" w:rsidRPr="009C2C0D">
        <w:t>5</w:t>
      </w:r>
      <w:r w:rsidRPr="009C2C0D">
        <w:t>, it is estimated that the PFCC will hold £</w:t>
      </w:r>
      <w:r w:rsidR="009C2C0D" w:rsidRPr="009C2C0D">
        <w:t>6</w:t>
      </w:r>
      <w:r w:rsidR="00AF1642" w:rsidRPr="009C2C0D">
        <w:t>.</w:t>
      </w:r>
      <w:r w:rsidR="009C2C0D" w:rsidRPr="009C2C0D">
        <w:t>752</w:t>
      </w:r>
      <w:r w:rsidRPr="009C2C0D">
        <w:t xml:space="preserve">m for Fire in earmarked reserves.  </w:t>
      </w:r>
      <w:r w:rsidR="00C644FE" w:rsidRPr="009C2C0D">
        <w:t>The predicted position for each earmarked reserve as at 31/3/202</w:t>
      </w:r>
      <w:r w:rsidR="009C2C0D" w:rsidRPr="009C2C0D">
        <w:t>5</w:t>
      </w:r>
      <w:r w:rsidR="00C644FE" w:rsidRPr="009C2C0D">
        <w:t xml:space="preserve">, together with </w:t>
      </w:r>
      <w:r w:rsidRPr="009C2C0D">
        <w:t>further details</w:t>
      </w:r>
      <w:r w:rsidR="00C644FE" w:rsidRPr="009C2C0D">
        <w:t xml:space="preserve"> is </w:t>
      </w:r>
      <w:r w:rsidRPr="009C2C0D">
        <w:t>in</w:t>
      </w:r>
      <w:r w:rsidR="00C644FE" w:rsidRPr="009C2C0D">
        <w:t xml:space="preserve"> Annexe 2</w:t>
      </w:r>
      <w:r w:rsidRPr="009C2C0D">
        <w:t xml:space="preserve"> and 3</w:t>
      </w:r>
      <w:r w:rsidR="00C644FE" w:rsidRPr="009C2C0D">
        <w:t xml:space="preserve">. </w:t>
      </w:r>
    </w:p>
    <w:p w14:paraId="7A452CF1" w14:textId="4A1AA574" w:rsidR="00C644FE" w:rsidRPr="00326B5E" w:rsidRDefault="000F4427" w:rsidP="00C644FE">
      <w:pPr>
        <w:pStyle w:val="ReservesBody"/>
      </w:pPr>
      <w:r w:rsidRPr="00326B5E">
        <w:t xml:space="preserve">The purposes of </w:t>
      </w:r>
      <w:r w:rsidR="009E2A52" w:rsidRPr="00326B5E">
        <w:t>each</w:t>
      </w:r>
      <w:r w:rsidRPr="00326B5E">
        <w:t xml:space="preserve"> earmarked reserve </w:t>
      </w:r>
      <w:r w:rsidR="00C644FE" w:rsidRPr="00326B5E">
        <w:t>are as follow</w:t>
      </w:r>
      <w:r w:rsidRPr="00326B5E">
        <w:t>s</w:t>
      </w:r>
      <w:r w:rsidR="00C644FE" w:rsidRPr="00326B5E">
        <w:t>:</w:t>
      </w:r>
    </w:p>
    <w:p w14:paraId="35EEEE53" w14:textId="2BA399AC" w:rsidR="000D033B" w:rsidRPr="00326B5E" w:rsidRDefault="000D033B" w:rsidP="000D033B">
      <w:pPr>
        <w:pStyle w:val="Reservesbullet"/>
      </w:pPr>
      <w:r w:rsidRPr="00326B5E">
        <w:rPr>
          <w:b/>
          <w:bCs/>
        </w:rPr>
        <w:t>Insurance</w:t>
      </w:r>
      <w:r w:rsidRPr="00326B5E">
        <w:t xml:space="preserve"> – To </w:t>
      </w:r>
      <w:r w:rsidR="00326B5E" w:rsidRPr="00326B5E">
        <w:t>set</w:t>
      </w:r>
      <w:r w:rsidRPr="00326B5E">
        <w:t xml:space="preserve"> funds aside </w:t>
      </w:r>
      <w:proofErr w:type="gramStart"/>
      <w:r w:rsidRPr="00326B5E">
        <w:t>where</w:t>
      </w:r>
      <w:proofErr w:type="gramEnd"/>
      <w:r w:rsidRPr="00326B5E">
        <w:t xml:space="preserve"> considered prudent for civil claims (Public and Employer liability) in line with professional advice.</w:t>
      </w:r>
    </w:p>
    <w:p w14:paraId="742CA890" w14:textId="08E9A474" w:rsidR="00F115BD" w:rsidRPr="00326B5E" w:rsidRDefault="00F115BD" w:rsidP="000D033B">
      <w:pPr>
        <w:pStyle w:val="Reservesbullet"/>
      </w:pPr>
      <w:r w:rsidRPr="00326B5E">
        <w:rPr>
          <w:b/>
        </w:rPr>
        <w:t xml:space="preserve">Operational Equipment </w:t>
      </w:r>
      <w:r w:rsidRPr="00326B5E">
        <w:t xml:space="preserve">– </w:t>
      </w:r>
      <w:r w:rsidR="000D033B" w:rsidRPr="00326B5E">
        <w:t>G</w:t>
      </w:r>
      <w:r w:rsidRPr="00326B5E">
        <w:t xml:space="preserve">iven the age and condition of equipment transferred as part of the governance transfer, an annual operational equipment </w:t>
      </w:r>
      <w:r w:rsidR="0081263C" w:rsidRPr="00326B5E">
        <w:t>reserve</w:t>
      </w:r>
      <w:r w:rsidRPr="00326B5E">
        <w:t xml:space="preserve"> contribution was established to smooth the impact and mitigate the costs of essential operational equipment replacement. </w:t>
      </w:r>
    </w:p>
    <w:p w14:paraId="47877A47" w14:textId="14926B68" w:rsidR="000D033B" w:rsidRPr="00326B5E" w:rsidRDefault="00F115BD" w:rsidP="000D033B">
      <w:pPr>
        <w:pStyle w:val="Reservesbullet"/>
        <w:rPr>
          <w:rFonts w:cs="Times New Roman"/>
          <w:sz w:val="22"/>
        </w:rPr>
      </w:pPr>
      <w:r w:rsidRPr="00326B5E">
        <w:rPr>
          <w:b/>
        </w:rPr>
        <w:t xml:space="preserve">Carry Forwards </w:t>
      </w:r>
      <w:r w:rsidRPr="00326B5E">
        <w:t xml:space="preserve">– </w:t>
      </w:r>
      <w:r w:rsidR="000D033B" w:rsidRPr="00326B5E">
        <w:t xml:space="preserve">To </w:t>
      </w:r>
      <w:r w:rsidR="00326B5E" w:rsidRPr="00326B5E">
        <w:t>ringfence</w:t>
      </w:r>
      <w:r w:rsidR="000D033B" w:rsidRPr="00326B5E">
        <w:t xml:space="preserve"> previous years</w:t>
      </w:r>
      <w:r w:rsidR="00326B5E" w:rsidRPr="00326B5E">
        <w:t>’</w:t>
      </w:r>
      <w:r w:rsidR="000D033B" w:rsidRPr="00326B5E">
        <w:t xml:space="preserve"> underspends for specific purposes in the medium term.</w:t>
      </w:r>
    </w:p>
    <w:p w14:paraId="2C30ADF6" w14:textId="76C9DB31" w:rsidR="000D033B" w:rsidRPr="00326B5E" w:rsidRDefault="000D033B" w:rsidP="000D033B">
      <w:pPr>
        <w:pStyle w:val="Reservesbullet"/>
      </w:pPr>
      <w:r w:rsidRPr="00326B5E">
        <w:rPr>
          <w:b/>
          <w:bCs/>
        </w:rPr>
        <w:t xml:space="preserve">Smoothing </w:t>
      </w:r>
      <w:r w:rsidRPr="00326B5E">
        <w:t xml:space="preserve">– To enable </w:t>
      </w:r>
      <w:r w:rsidR="00326B5E" w:rsidRPr="00326B5E">
        <w:t>any</w:t>
      </w:r>
      <w:r w:rsidRPr="00326B5E">
        <w:t xml:space="preserve"> savings generated to be earmarked and released over future years as needed, smoothing the impact of </w:t>
      </w:r>
      <w:r w:rsidR="00326B5E" w:rsidRPr="00326B5E">
        <w:t>funding</w:t>
      </w:r>
      <w:r w:rsidRPr="00326B5E">
        <w:t xml:space="preserve"> </w:t>
      </w:r>
      <w:r w:rsidR="00326B5E">
        <w:t>fluctuations</w:t>
      </w:r>
      <w:r w:rsidRPr="00326B5E">
        <w:t xml:space="preserve"> and timing of savings programmes on the revenue budget. </w:t>
      </w:r>
    </w:p>
    <w:p w14:paraId="338E4586" w14:textId="78D49575" w:rsidR="000D033B" w:rsidRPr="00326B5E" w:rsidRDefault="000D033B" w:rsidP="000D033B">
      <w:pPr>
        <w:pStyle w:val="Reservesbullet"/>
      </w:pPr>
      <w:r w:rsidRPr="00326B5E">
        <w:rPr>
          <w:b/>
          <w:bCs/>
        </w:rPr>
        <w:t>Transformation</w:t>
      </w:r>
      <w:r w:rsidRPr="00326B5E">
        <w:t xml:space="preserve"> – To support initiatives and transformative activities such as investments in technology and other innovation, and in line with operational priorities.</w:t>
      </w:r>
      <w:r w:rsidR="00326B5E" w:rsidRPr="00326B5E">
        <w:t xml:space="preserve">  This includes funding of resources to deliver </w:t>
      </w:r>
      <w:r w:rsidR="00326B5E" w:rsidRPr="00326B5E">
        <w:rPr>
          <w:i/>
          <w:iCs/>
        </w:rPr>
        <w:t>Your Future Service</w:t>
      </w:r>
      <w:r w:rsidR="00326B5E" w:rsidRPr="00326B5E">
        <w:t>.</w:t>
      </w:r>
    </w:p>
    <w:p w14:paraId="31441D10" w14:textId="0F166C63" w:rsidR="000D033B" w:rsidRPr="00326B5E" w:rsidRDefault="00F115BD" w:rsidP="000D033B">
      <w:pPr>
        <w:pStyle w:val="Reservesbullet"/>
      </w:pPr>
      <w:r w:rsidRPr="00326B5E">
        <w:rPr>
          <w:b/>
        </w:rPr>
        <w:t xml:space="preserve">Capital </w:t>
      </w:r>
      <w:r w:rsidR="000D033B" w:rsidRPr="00326B5E">
        <w:rPr>
          <w:b/>
        </w:rPr>
        <w:t xml:space="preserve">Receipts </w:t>
      </w:r>
      <w:r w:rsidR="000D033B" w:rsidRPr="00326B5E">
        <w:rPr>
          <w:bCs/>
        </w:rPr>
        <w:t>– To earmark receipts for disposal of capital assets for use as deemed appropriate to minimise the cost of future capital financing.</w:t>
      </w:r>
    </w:p>
    <w:p w14:paraId="690CDC10" w14:textId="690ED919" w:rsidR="00F115BD" w:rsidRPr="00031074" w:rsidRDefault="000D033B" w:rsidP="000D033B">
      <w:pPr>
        <w:pStyle w:val="Reservesbullet"/>
      </w:pPr>
      <w:r w:rsidRPr="00326B5E">
        <w:rPr>
          <w:b/>
        </w:rPr>
        <w:t>Capital and ESN Reserve</w:t>
      </w:r>
      <w:r w:rsidR="00F115BD" w:rsidRPr="00326B5E">
        <w:rPr>
          <w:b/>
        </w:rPr>
        <w:t xml:space="preserve"> </w:t>
      </w:r>
      <w:r w:rsidR="00F115BD" w:rsidRPr="00326B5E">
        <w:t xml:space="preserve">– </w:t>
      </w:r>
      <w:r w:rsidRPr="00326B5E">
        <w:t>To hold amounts set aside for capital investment</w:t>
      </w:r>
      <w:r w:rsidR="00F115BD" w:rsidRPr="00326B5E">
        <w:t xml:space="preserve">, applied to the </w:t>
      </w:r>
      <w:r w:rsidR="008671C8" w:rsidRPr="00326B5E">
        <w:t xml:space="preserve">capital </w:t>
      </w:r>
      <w:r w:rsidR="00F671CE" w:rsidRPr="00326B5E">
        <w:t>programme</w:t>
      </w:r>
      <w:r w:rsidR="00F115BD" w:rsidRPr="00326B5E">
        <w:t xml:space="preserve"> </w:t>
      </w:r>
      <w:r w:rsidRPr="00326B5E">
        <w:rPr>
          <w:bCs/>
        </w:rPr>
        <w:t>as deemed appropriate to minimise the cost of future capital financing.</w:t>
      </w:r>
      <w:r w:rsidR="00326B5E" w:rsidRPr="00326B5E">
        <w:rPr>
          <w:bCs/>
        </w:rPr>
        <w:t xml:space="preserve">  This specifically includes funds ringfenced for work associated with </w:t>
      </w:r>
      <w:r w:rsidR="00326B5E" w:rsidRPr="00031074">
        <w:rPr>
          <w:bCs/>
        </w:rPr>
        <w:t>preparedness for Emergency Services Network (ESN).</w:t>
      </w:r>
    </w:p>
    <w:p w14:paraId="28586DF8" w14:textId="605879FB" w:rsidR="000D033B" w:rsidRPr="00031074" w:rsidRDefault="000D033B" w:rsidP="000D033B">
      <w:pPr>
        <w:pStyle w:val="Reservesbullet"/>
      </w:pPr>
      <w:r w:rsidRPr="00031074">
        <w:rPr>
          <w:b/>
          <w:bCs/>
        </w:rPr>
        <w:t>Developer Contributions (</w:t>
      </w:r>
      <w:r w:rsidR="00D245EF">
        <w:rPr>
          <w:b/>
          <w:bCs/>
        </w:rPr>
        <w:t>s</w:t>
      </w:r>
      <w:r w:rsidRPr="00031074">
        <w:rPr>
          <w:b/>
          <w:bCs/>
        </w:rPr>
        <w:t>106)</w:t>
      </w:r>
      <w:r w:rsidRPr="00031074">
        <w:t xml:space="preserve"> – To collect the drawn down developer contributions awarded to the PFCC in line with S106 planning arrangements.  These funds will be released in accordance with the terms of the agreements, usually to fund capital expenditure.  The reserve only accounts for funds once they have been drawn down.</w:t>
      </w:r>
    </w:p>
    <w:p w14:paraId="3F83B13E" w14:textId="3F373A3E" w:rsidR="000D033B" w:rsidRPr="00326B5E" w:rsidRDefault="000D033B" w:rsidP="000D033B">
      <w:pPr>
        <w:pStyle w:val="Reservesbullet"/>
      </w:pPr>
      <w:r w:rsidRPr="00326B5E">
        <w:rPr>
          <w:b/>
        </w:rPr>
        <w:t xml:space="preserve">Capital Grants Unapplied </w:t>
      </w:r>
      <w:r w:rsidRPr="00326B5E">
        <w:t xml:space="preserve">– To hold amounts grants received for specific capital investment, </w:t>
      </w:r>
      <w:r w:rsidR="000F4427" w:rsidRPr="00326B5E">
        <w:t xml:space="preserve">to be </w:t>
      </w:r>
      <w:r w:rsidRPr="00326B5E">
        <w:t xml:space="preserve">applied to the capital programme </w:t>
      </w:r>
      <w:r w:rsidR="000F4427" w:rsidRPr="00326B5E">
        <w:t xml:space="preserve">in line with the grant terms and </w:t>
      </w:r>
      <w:r w:rsidRPr="00326B5E">
        <w:rPr>
          <w:bCs/>
        </w:rPr>
        <w:t>as deemed appropriate to minimise the cost of future capital financing.</w:t>
      </w:r>
      <w:r w:rsidR="00326B5E">
        <w:rPr>
          <w:bCs/>
        </w:rPr>
        <w:t xml:space="preserve">  </w:t>
      </w:r>
    </w:p>
    <w:p w14:paraId="68502AB5" w14:textId="5C06030F" w:rsidR="00F115BD" w:rsidRPr="00326B5E" w:rsidRDefault="00C644FE" w:rsidP="000F4427">
      <w:pPr>
        <w:pStyle w:val="ReservesBody"/>
      </w:pPr>
      <w:r w:rsidRPr="00326B5E">
        <w:t>The</w:t>
      </w:r>
      <w:r w:rsidR="000F4427" w:rsidRPr="00326B5E">
        <w:t>se</w:t>
      </w:r>
      <w:r w:rsidRPr="00326B5E">
        <w:t xml:space="preserve"> </w:t>
      </w:r>
      <w:r w:rsidR="000F4427" w:rsidRPr="00326B5E">
        <w:t>reserves</w:t>
      </w:r>
      <w:r w:rsidRPr="00326B5E">
        <w:t xml:space="preserve"> will be reviewed on a regular basis and </w:t>
      </w:r>
      <w:r w:rsidR="000F4427" w:rsidRPr="00326B5E">
        <w:t xml:space="preserve">any further </w:t>
      </w:r>
      <w:r w:rsidRPr="00326B5E">
        <w:t>opportunities to set aside earmarked reserves to support targeted expenditure and investment</w:t>
      </w:r>
      <w:r w:rsidR="000F4427" w:rsidRPr="00326B5E">
        <w:t xml:space="preserve"> will be</w:t>
      </w:r>
      <w:r w:rsidRPr="00326B5E">
        <w:t xml:space="preserve"> taken where appropriate.</w:t>
      </w:r>
    </w:p>
    <w:p w14:paraId="3102BAC3" w14:textId="77777777" w:rsidR="000F4427" w:rsidRPr="00326B5E" w:rsidRDefault="000F4427" w:rsidP="000F4427">
      <w:pPr>
        <w:pStyle w:val="ReservesHeading"/>
      </w:pPr>
      <w:r w:rsidRPr="00326B5E">
        <w:t>Provisions</w:t>
      </w:r>
    </w:p>
    <w:p w14:paraId="50C38B21" w14:textId="54A65795" w:rsidR="000F4427" w:rsidRPr="00326B5E" w:rsidRDefault="000F4427" w:rsidP="000F4427">
      <w:pPr>
        <w:pStyle w:val="ReservesBody"/>
      </w:pPr>
      <w:r w:rsidRPr="00326B5E">
        <w:t xml:space="preserve">The CIPFA Statement of Recommended Practice is prescriptive about when provisions are required (and when they are not permitted).  A provision must be established for any material </w:t>
      </w:r>
      <w:r w:rsidRPr="00326B5E">
        <w:lastRenderedPageBreak/>
        <w:t>liabilities of uncertain timings or amount, to be settled by the transfer of economic benefits.  In accordance with this statutory guidance, the</w:t>
      </w:r>
      <w:r w:rsidR="0061459D">
        <w:t xml:space="preserve">re is </w:t>
      </w:r>
      <w:r w:rsidRPr="00326B5E">
        <w:t>an established ‘Insurance Provision’ which is reviewed as part of the closedown process for each year.</w:t>
      </w:r>
    </w:p>
    <w:p w14:paraId="49AB53CB" w14:textId="2005BD84" w:rsidR="000F4427" w:rsidRPr="00326B5E" w:rsidRDefault="000F4427" w:rsidP="00935736">
      <w:pPr>
        <w:pStyle w:val="ReservesHeading"/>
      </w:pPr>
      <w:r w:rsidRPr="00326B5E">
        <w:t>Procedures for management and control</w:t>
      </w:r>
    </w:p>
    <w:p w14:paraId="4CBA7653" w14:textId="77777777" w:rsidR="000F4427" w:rsidRPr="00326B5E" w:rsidRDefault="000F4427" w:rsidP="000F4427">
      <w:pPr>
        <w:pStyle w:val="ReservesBody"/>
      </w:pPr>
      <w:r w:rsidRPr="00326B5E">
        <w:t xml:space="preserve">Any drawdown from reserves is subject to the approval of the PFCC, on advice from the PFCC’s Chief Finance Officer (OPFCC CFO); or under the delegated authority of the OPFCC CFO. </w:t>
      </w:r>
    </w:p>
    <w:p w14:paraId="285A375A" w14:textId="6B6CCB48" w:rsidR="000F4427" w:rsidRPr="00326B5E" w:rsidRDefault="000F4427" w:rsidP="000F4427">
      <w:pPr>
        <w:pStyle w:val="ReservesBody"/>
      </w:pPr>
      <w:r w:rsidRPr="00326B5E">
        <w:t xml:space="preserve">The Local Government Act 2003 requires the </w:t>
      </w:r>
      <w:r w:rsidR="00326B5E">
        <w:t>s</w:t>
      </w:r>
      <w:r w:rsidRPr="00326B5E">
        <w:t xml:space="preserve">151 officer to report annually on the adequacy of the reserves and this is included within the statement on the robustness of the estimates used for the budget and the adequacy of the proposed financial reserves. </w:t>
      </w:r>
    </w:p>
    <w:p w14:paraId="280A526F" w14:textId="77777777" w:rsidR="000F4427" w:rsidRPr="00326B5E" w:rsidRDefault="000F4427" w:rsidP="000F4427">
      <w:pPr>
        <w:pStyle w:val="ReservesBody"/>
      </w:pPr>
      <w:r w:rsidRPr="00326B5E">
        <w:t xml:space="preserve">The Strategy will be reviewed annually by the OPFCC CFO as part of the Budget and Precept process. </w:t>
      </w:r>
      <w:r w:rsidRPr="00326B5E">
        <w:rPr>
          <w:bCs/>
          <w:color w:val="FF0000"/>
        </w:rPr>
        <w:t xml:space="preserve"> </w:t>
      </w:r>
    </w:p>
    <w:p w14:paraId="6E99B4A3" w14:textId="77777777" w:rsidR="00935736" w:rsidRPr="00326B5E" w:rsidRDefault="00935736">
      <w:pPr>
        <w:spacing w:line="240" w:lineRule="auto"/>
        <w:rPr>
          <w:rFonts w:cs="Arial"/>
          <w:b/>
          <w:sz w:val="24"/>
        </w:rPr>
      </w:pPr>
      <w:r w:rsidRPr="00326B5E">
        <w:rPr>
          <w:rFonts w:cs="Arial"/>
          <w:b/>
          <w:sz w:val="24"/>
        </w:rPr>
        <w:br w:type="page"/>
      </w:r>
    </w:p>
    <w:p w14:paraId="35AB0465" w14:textId="136A4304" w:rsidR="00F115BD" w:rsidRPr="00EF7D33" w:rsidRDefault="00F115BD" w:rsidP="00935736">
      <w:pPr>
        <w:spacing w:line="240" w:lineRule="auto"/>
        <w:rPr>
          <w:rFonts w:cs="Arial"/>
          <w:b/>
          <w:sz w:val="24"/>
          <w:szCs w:val="24"/>
        </w:rPr>
      </w:pPr>
      <w:r w:rsidRPr="00EF7D33">
        <w:rPr>
          <w:rFonts w:cs="Arial"/>
          <w:b/>
          <w:sz w:val="24"/>
          <w:szCs w:val="24"/>
        </w:rPr>
        <w:lastRenderedPageBreak/>
        <w:t>A</w:t>
      </w:r>
      <w:r w:rsidR="000F4427" w:rsidRPr="00EF7D33">
        <w:rPr>
          <w:rFonts w:cs="Arial"/>
          <w:b/>
          <w:sz w:val="24"/>
          <w:szCs w:val="24"/>
        </w:rPr>
        <w:t>nnexe</w:t>
      </w:r>
      <w:r w:rsidRPr="00EF7D33">
        <w:rPr>
          <w:rFonts w:cs="Arial"/>
          <w:b/>
          <w:sz w:val="24"/>
          <w:szCs w:val="24"/>
        </w:rPr>
        <w:t xml:space="preserve"> </w:t>
      </w:r>
      <w:r w:rsidR="000F4427" w:rsidRPr="00EF7D33">
        <w:rPr>
          <w:rFonts w:cs="Arial"/>
          <w:b/>
          <w:sz w:val="24"/>
          <w:szCs w:val="24"/>
        </w:rPr>
        <w:t>1</w:t>
      </w:r>
    </w:p>
    <w:p w14:paraId="7A9DBDB7" w14:textId="421B5428" w:rsidR="00F115BD" w:rsidRPr="00EF7D33" w:rsidRDefault="00935736" w:rsidP="00935736">
      <w:pPr>
        <w:rPr>
          <w:rFonts w:cs="Arial"/>
          <w:b/>
          <w:sz w:val="24"/>
          <w:szCs w:val="24"/>
        </w:rPr>
      </w:pPr>
      <w:r w:rsidRPr="00EF7D33">
        <w:rPr>
          <w:rFonts w:cs="Arial"/>
          <w:b/>
          <w:sz w:val="24"/>
          <w:szCs w:val="24"/>
        </w:rPr>
        <w:t>NCFRA -</w:t>
      </w:r>
      <w:r w:rsidR="00F115BD" w:rsidRPr="00EF7D33">
        <w:rPr>
          <w:rFonts w:cs="Arial"/>
          <w:b/>
          <w:sz w:val="24"/>
          <w:szCs w:val="24"/>
        </w:rPr>
        <w:t xml:space="preserve"> Compliance with the 7 Key CIPFA Principles to assess the adequacy of</w:t>
      </w:r>
      <w:r w:rsidRPr="00EF7D33">
        <w:rPr>
          <w:rFonts w:cs="Arial"/>
          <w:b/>
          <w:sz w:val="24"/>
          <w:szCs w:val="24"/>
        </w:rPr>
        <w:t xml:space="preserve"> </w:t>
      </w:r>
      <w:r w:rsidR="00C65ED9" w:rsidRPr="00EF7D33">
        <w:rPr>
          <w:rFonts w:cs="Arial"/>
          <w:b/>
          <w:sz w:val="24"/>
          <w:szCs w:val="24"/>
        </w:rPr>
        <w:t>reserves.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763"/>
      </w:tblGrid>
      <w:tr w:rsidR="00F115BD" w:rsidRPr="00EF7D33" w14:paraId="21189614" w14:textId="77777777" w:rsidTr="006660EE">
        <w:tc>
          <w:tcPr>
            <w:tcW w:w="3865" w:type="dxa"/>
            <w:shd w:val="clear" w:color="auto" w:fill="auto"/>
          </w:tcPr>
          <w:p w14:paraId="36ED2490" w14:textId="77777777" w:rsidR="00F115BD" w:rsidRPr="00EF7D33" w:rsidRDefault="00F115BD" w:rsidP="0062565E">
            <w:pPr>
              <w:jc w:val="center"/>
              <w:rPr>
                <w:rFonts w:cs="Arial"/>
                <w:b/>
                <w:sz w:val="24"/>
                <w:szCs w:val="24"/>
              </w:rPr>
            </w:pPr>
            <w:r w:rsidRPr="00EF7D33">
              <w:rPr>
                <w:rFonts w:cs="Arial"/>
                <w:b/>
                <w:sz w:val="24"/>
                <w:szCs w:val="24"/>
              </w:rPr>
              <w:t>Budget Assumptions (CIPFA Principles)</w:t>
            </w:r>
          </w:p>
        </w:tc>
        <w:tc>
          <w:tcPr>
            <w:tcW w:w="5763" w:type="dxa"/>
            <w:shd w:val="clear" w:color="auto" w:fill="auto"/>
          </w:tcPr>
          <w:p w14:paraId="42A07796" w14:textId="63E84127" w:rsidR="00F115BD" w:rsidRPr="00EF7D33" w:rsidRDefault="00935736" w:rsidP="0062565E">
            <w:pPr>
              <w:jc w:val="center"/>
              <w:rPr>
                <w:rFonts w:cs="Arial"/>
                <w:b/>
                <w:sz w:val="24"/>
                <w:szCs w:val="24"/>
              </w:rPr>
            </w:pPr>
            <w:r w:rsidRPr="00EF7D33">
              <w:rPr>
                <w:rFonts w:eastAsia="Times New Roman" w:cs="Calibri"/>
                <w:b/>
                <w:sz w:val="24"/>
                <w:szCs w:val="24"/>
              </w:rPr>
              <w:t>2024/25 Situation in Northamptonshire</w:t>
            </w:r>
          </w:p>
        </w:tc>
      </w:tr>
      <w:tr w:rsidR="00F115BD" w:rsidRPr="00EF7D33" w14:paraId="2DAF5129" w14:textId="77777777" w:rsidTr="006660EE">
        <w:tc>
          <w:tcPr>
            <w:tcW w:w="3865" w:type="dxa"/>
            <w:shd w:val="clear" w:color="auto" w:fill="auto"/>
          </w:tcPr>
          <w:p w14:paraId="474235E9" w14:textId="77777777" w:rsidR="00F115BD" w:rsidRPr="00EF7D33" w:rsidRDefault="00F115BD" w:rsidP="0062565E">
            <w:pPr>
              <w:rPr>
                <w:rFonts w:cs="Arial"/>
                <w:b/>
                <w:sz w:val="24"/>
                <w:szCs w:val="24"/>
              </w:rPr>
            </w:pPr>
            <w:r w:rsidRPr="00EF7D33">
              <w:rPr>
                <w:rFonts w:cs="Arial"/>
                <w:b/>
                <w:sz w:val="24"/>
                <w:szCs w:val="24"/>
              </w:rPr>
              <w:t>The treatment of inflation and interest rates</w:t>
            </w:r>
          </w:p>
        </w:tc>
        <w:tc>
          <w:tcPr>
            <w:tcW w:w="5763" w:type="dxa"/>
            <w:shd w:val="clear" w:color="auto" w:fill="auto"/>
          </w:tcPr>
          <w:p w14:paraId="4A80DD8B" w14:textId="77777777" w:rsidR="00EF7D33" w:rsidRPr="00EF7D33" w:rsidRDefault="00EF7D33" w:rsidP="00EF7D33">
            <w:pPr>
              <w:spacing w:line="240" w:lineRule="auto"/>
              <w:rPr>
                <w:rFonts w:eastAsia="Times New Roman" w:cs="Calibri"/>
                <w:sz w:val="24"/>
                <w:szCs w:val="24"/>
              </w:rPr>
            </w:pPr>
            <w:r w:rsidRPr="00EF7D33">
              <w:rPr>
                <w:rFonts w:eastAsia="Times New Roman" w:cs="Calibri"/>
                <w:sz w:val="24"/>
                <w:szCs w:val="24"/>
              </w:rPr>
              <w:t>Northamptonshire makes full and appropriate provision for pay and price increases, informed by benchmarking with peers.</w:t>
            </w:r>
          </w:p>
          <w:p w14:paraId="4CC009FE" w14:textId="77777777" w:rsidR="00EF7D33" w:rsidRPr="00EF7D33" w:rsidRDefault="00EF7D33" w:rsidP="00EF7D33">
            <w:pPr>
              <w:spacing w:line="240" w:lineRule="auto"/>
              <w:rPr>
                <w:rFonts w:eastAsia="Times New Roman" w:cs="Calibri"/>
                <w:sz w:val="24"/>
                <w:szCs w:val="24"/>
              </w:rPr>
            </w:pPr>
          </w:p>
          <w:p w14:paraId="7E4C2FB5" w14:textId="77777777" w:rsidR="00EF7D33" w:rsidRPr="00EF7D33" w:rsidRDefault="00EF7D33" w:rsidP="00EF7D33">
            <w:pPr>
              <w:spacing w:line="240" w:lineRule="auto"/>
              <w:rPr>
                <w:rFonts w:eastAsia="Times New Roman" w:cs="Calibri"/>
                <w:sz w:val="24"/>
                <w:szCs w:val="24"/>
              </w:rPr>
            </w:pPr>
            <w:r w:rsidRPr="00EF7D33">
              <w:rPr>
                <w:rFonts w:eastAsia="Times New Roman" w:cs="Calibri"/>
                <w:sz w:val="24"/>
                <w:szCs w:val="24"/>
              </w:rPr>
              <w:t xml:space="preserve">An informed assessment is made in the Treasury Management Strategy of interest rate movements. </w:t>
            </w:r>
          </w:p>
          <w:p w14:paraId="4BCF3C2C" w14:textId="77777777" w:rsidR="00EF7D33" w:rsidRPr="00EF7D33" w:rsidRDefault="00EF7D33" w:rsidP="00EF7D33">
            <w:pPr>
              <w:spacing w:line="240" w:lineRule="auto"/>
              <w:rPr>
                <w:rFonts w:eastAsia="Times New Roman" w:cs="Calibri"/>
                <w:sz w:val="24"/>
                <w:szCs w:val="24"/>
              </w:rPr>
            </w:pPr>
          </w:p>
          <w:p w14:paraId="684442EB" w14:textId="77777777" w:rsidR="00EF7D33" w:rsidRPr="00EF7D33" w:rsidRDefault="00EF7D33" w:rsidP="00EF7D33">
            <w:pPr>
              <w:spacing w:line="240" w:lineRule="auto"/>
              <w:rPr>
                <w:rFonts w:eastAsia="Times New Roman" w:cs="Calibri"/>
                <w:sz w:val="24"/>
                <w:szCs w:val="24"/>
              </w:rPr>
            </w:pPr>
            <w:r w:rsidRPr="00EF7D33">
              <w:rPr>
                <w:rFonts w:eastAsia="Times New Roman" w:cs="Calibri"/>
                <w:sz w:val="24"/>
                <w:szCs w:val="24"/>
              </w:rPr>
              <w:t xml:space="preserve">All income and expenditure in the budget </w:t>
            </w:r>
            <w:proofErr w:type="gramStart"/>
            <w:r w:rsidRPr="00EF7D33">
              <w:rPr>
                <w:rFonts w:eastAsia="Times New Roman" w:cs="Calibri"/>
                <w:sz w:val="24"/>
                <w:szCs w:val="24"/>
              </w:rPr>
              <w:t>is</w:t>
            </w:r>
            <w:proofErr w:type="gramEnd"/>
            <w:r w:rsidRPr="00EF7D33">
              <w:rPr>
                <w:rFonts w:eastAsia="Times New Roman" w:cs="Calibri"/>
                <w:sz w:val="24"/>
                <w:szCs w:val="24"/>
              </w:rPr>
              <w:t xml:space="preserve"> prepared and published at outturn prices.</w:t>
            </w:r>
          </w:p>
          <w:p w14:paraId="1DC81088" w14:textId="77777777" w:rsidR="00EF7D33" w:rsidRPr="00EF7D33" w:rsidRDefault="00EF7D33" w:rsidP="00EF7D33">
            <w:pPr>
              <w:spacing w:line="240" w:lineRule="auto"/>
              <w:rPr>
                <w:rFonts w:eastAsia="Times New Roman" w:cs="Calibri"/>
                <w:sz w:val="24"/>
                <w:szCs w:val="24"/>
              </w:rPr>
            </w:pPr>
          </w:p>
          <w:p w14:paraId="1F2EFF1C" w14:textId="77777777" w:rsidR="00EF7D33" w:rsidRPr="00EF7D33" w:rsidRDefault="00EF7D33" w:rsidP="00EF7D33">
            <w:pPr>
              <w:spacing w:line="240" w:lineRule="auto"/>
              <w:rPr>
                <w:rFonts w:eastAsia="Times New Roman" w:cs="Calibri"/>
                <w:sz w:val="24"/>
                <w:szCs w:val="24"/>
              </w:rPr>
            </w:pPr>
            <w:r w:rsidRPr="00EF7D33">
              <w:rPr>
                <w:rFonts w:eastAsia="Times New Roman" w:cs="Calibri"/>
                <w:sz w:val="24"/>
                <w:szCs w:val="24"/>
              </w:rPr>
              <w:t>Additionally, there are operational and inflation contingencies to mitigate any volatility during the year.</w:t>
            </w:r>
          </w:p>
          <w:p w14:paraId="23848356" w14:textId="5B14DD76" w:rsidR="00F115BD" w:rsidRPr="00EF7D33" w:rsidRDefault="00F115BD" w:rsidP="006660EE">
            <w:pPr>
              <w:rPr>
                <w:rFonts w:cs="Arial"/>
                <w:sz w:val="24"/>
                <w:szCs w:val="24"/>
              </w:rPr>
            </w:pPr>
          </w:p>
        </w:tc>
      </w:tr>
      <w:tr w:rsidR="00F115BD" w:rsidRPr="00EF7D33" w14:paraId="2F4C521C" w14:textId="77777777" w:rsidTr="006660EE">
        <w:tc>
          <w:tcPr>
            <w:tcW w:w="3865" w:type="dxa"/>
            <w:shd w:val="clear" w:color="auto" w:fill="auto"/>
          </w:tcPr>
          <w:p w14:paraId="39C96058" w14:textId="77777777" w:rsidR="00F115BD" w:rsidRPr="00EF7D33" w:rsidRDefault="00F115BD" w:rsidP="0062565E">
            <w:pPr>
              <w:rPr>
                <w:rFonts w:cs="Arial"/>
                <w:b/>
                <w:sz w:val="24"/>
                <w:szCs w:val="24"/>
              </w:rPr>
            </w:pPr>
            <w:r w:rsidRPr="00EF7D33">
              <w:rPr>
                <w:rFonts w:cs="Arial"/>
                <w:b/>
                <w:sz w:val="24"/>
                <w:szCs w:val="24"/>
              </w:rPr>
              <w:t>Estimates of the level and timing of capital receipts</w:t>
            </w:r>
          </w:p>
        </w:tc>
        <w:tc>
          <w:tcPr>
            <w:tcW w:w="5763" w:type="dxa"/>
            <w:shd w:val="clear" w:color="auto" w:fill="auto"/>
          </w:tcPr>
          <w:p w14:paraId="74FEC54D" w14:textId="77777777" w:rsidR="00EF7D33" w:rsidRPr="00EF7D33" w:rsidRDefault="00EF7D33" w:rsidP="00EF7D33">
            <w:pPr>
              <w:spacing w:line="240" w:lineRule="auto"/>
              <w:rPr>
                <w:rFonts w:eastAsia="Times New Roman" w:cs="Calibri"/>
                <w:sz w:val="24"/>
                <w:szCs w:val="24"/>
              </w:rPr>
            </w:pPr>
            <w:r w:rsidRPr="00EF7D33">
              <w:rPr>
                <w:rFonts w:eastAsia="Times New Roman" w:cs="Calibri"/>
                <w:sz w:val="24"/>
                <w:szCs w:val="24"/>
              </w:rPr>
              <w:t>Northamptonshire has recently reviewed its estates strategy as a fundamental part of the capital programme and has made a prudent assumption of future capital receipts across the programme which are being used to fund capital expenditure and minimise the impact of borrowing on the budget.</w:t>
            </w:r>
          </w:p>
          <w:p w14:paraId="5E20E70A" w14:textId="1BA0703E" w:rsidR="00F115BD" w:rsidRPr="00EF7D33" w:rsidRDefault="00F115BD" w:rsidP="006660EE">
            <w:pPr>
              <w:rPr>
                <w:rFonts w:cs="Arial"/>
                <w:b/>
                <w:sz w:val="24"/>
                <w:szCs w:val="24"/>
              </w:rPr>
            </w:pPr>
          </w:p>
        </w:tc>
      </w:tr>
      <w:tr w:rsidR="00F115BD" w:rsidRPr="00450555" w14:paraId="2E61D819" w14:textId="77777777" w:rsidTr="006660EE">
        <w:tc>
          <w:tcPr>
            <w:tcW w:w="3865" w:type="dxa"/>
            <w:shd w:val="clear" w:color="auto" w:fill="auto"/>
          </w:tcPr>
          <w:p w14:paraId="1DF6D018" w14:textId="77777777" w:rsidR="00F115BD" w:rsidRPr="00EF7D33" w:rsidRDefault="00F115BD" w:rsidP="0062565E">
            <w:pPr>
              <w:rPr>
                <w:rFonts w:cs="Arial"/>
                <w:b/>
                <w:sz w:val="24"/>
                <w:szCs w:val="24"/>
              </w:rPr>
            </w:pPr>
            <w:r w:rsidRPr="00EF7D33">
              <w:rPr>
                <w:rFonts w:cs="Arial"/>
                <w:b/>
                <w:sz w:val="24"/>
                <w:szCs w:val="24"/>
              </w:rPr>
              <w:t>The treatment of demand led pressures</w:t>
            </w:r>
          </w:p>
        </w:tc>
        <w:tc>
          <w:tcPr>
            <w:tcW w:w="5763" w:type="dxa"/>
            <w:shd w:val="clear" w:color="auto" w:fill="auto"/>
          </w:tcPr>
          <w:p w14:paraId="2099ECFB" w14:textId="77777777" w:rsidR="00F115BD" w:rsidRDefault="00F115BD" w:rsidP="0062565E">
            <w:pPr>
              <w:rPr>
                <w:rFonts w:cs="Arial"/>
                <w:sz w:val="24"/>
                <w:szCs w:val="24"/>
              </w:rPr>
            </w:pPr>
            <w:r w:rsidRPr="00EF7D33">
              <w:rPr>
                <w:rFonts w:cs="Arial"/>
                <w:sz w:val="24"/>
                <w:szCs w:val="24"/>
              </w:rPr>
              <w:t>NCFRA is required to operate and manage within its annual budget allocation.</w:t>
            </w:r>
          </w:p>
          <w:p w14:paraId="3AC1725B" w14:textId="77777777" w:rsidR="00D245EF" w:rsidRPr="00EF7D33" w:rsidRDefault="00D245EF" w:rsidP="0062565E">
            <w:pPr>
              <w:rPr>
                <w:rFonts w:cs="Arial"/>
                <w:sz w:val="24"/>
                <w:szCs w:val="24"/>
              </w:rPr>
            </w:pPr>
          </w:p>
          <w:p w14:paraId="471E01A4" w14:textId="5F3877F8" w:rsidR="00F115BD" w:rsidRDefault="00F115BD" w:rsidP="0062565E">
            <w:pPr>
              <w:rPr>
                <w:rFonts w:cs="Arial"/>
                <w:sz w:val="24"/>
                <w:szCs w:val="24"/>
              </w:rPr>
            </w:pPr>
            <w:r w:rsidRPr="00EF7D33">
              <w:rPr>
                <w:rFonts w:cs="Arial"/>
                <w:sz w:val="24"/>
                <w:szCs w:val="24"/>
              </w:rPr>
              <w:t xml:space="preserve">All budgets except </w:t>
            </w:r>
            <w:r w:rsidR="008671C8" w:rsidRPr="00EF7D33">
              <w:rPr>
                <w:rFonts w:cs="Arial"/>
                <w:sz w:val="24"/>
                <w:szCs w:val="24"/>
              </w:rPr>
              <w:t xml:space="preserve">firefighters </w:t>
            </w:r>
            <w:r w:rsidRPr="00EF7D33">
              <w:rPr>
                <w:rFonts w:cs="Arial"/>
                <w:sz w:val="24"/>
                <w:szCs w:val="24"/>
              </w:rPr>
              <w:t>are devolved and managed by trained budget holders.</w:t>
            </w:r>
          </w:p>
          <w:p w14:paraId="64372C3B" w14:textId="77777777" w:rsidR="00D245EF" w:rsidRPr="00EF7D33" w:rsidRDefault="00D245EF" w:rsidP="0062565E">
            <w:pPr>
              <w:rPr>
                <w:rFonts w:cs="Arial"/>
                <w:sz w:val="24"/>
                <w:szCs w:val="24"/>
              </w:rPr>
            </w:pPr>
          </w:p>
          <w:p w14:paraId="4185A42C" w14:textId="77777777" w:rsidR="00F115BD" w:rsidRDefault="00F115BD" w:rsidP="0062565E">
            <w:pPr>
              <w:rPr>
                <w:rFonts w:cs="Arial"/>
                <w:sz w:val="24"/>
                <w:szCs w:val="24"/>
              </w:rPr>
            </w:pPr>
            <w:r w:rsidRPr="00EF7D33">
              <w:rPr>
                <w:rFonts w:cs="Arial"/>
                <w:sz w:val="24"/>
                <w:szCs w:val="24"/>
              </w:rPr>
              <w:t xml:space="preserve">On an exceptional basis, agreement of the PFCC is given to utilise carry forwards to meet one off demand led pressures. </w:t>
            </w:r>
          </w:p>
          <w:p w14:paraId="6DFA0F53" w14:textId="77777777" w:rsidR="00D245EF" w:rsidRPr="00EF7D33" w:rsidRDefault="00D245EF" w:rsidP="0062565E">
            <w:pPr>
              <w:rPr>
                <w:rFonts w:cs="Arial"/>
                <w:sz w:val="24"/>
                <w:szCs w:val="24"/>
              </w:rPr>
            </w:pPr>
          </w:p>
          <w:p w14:paraId="4DE44BBA" w14:textId="38298757" w:rsidR="00F115BD" w:rsidRDefault="00F115BD" w:rsidP="0062565E">
            <w:pPr>
              <w:rPr>
                <w:rFonts w:cs="Arial"/>
                <w:sz w:val="24"/>
                <w:szCs w:val="24"/>
              </w:rPr>
            </w:pPr>
            <w:r w:rsidRPr="00EF7D33">
              <w:rPr>
                <w:rFonts w:cs="Arial"/>
                <w:sz w:val="24"/>
                <w:szCs w:val="24"/>
              </w:rPr>
              <w:t xml:space="preserve">Demand led pressures are scrutinised and built into the budget on zero based budget principles. </w:t>
            </w:r>
            <w:r w:rsidR="00935736" w:rsidRPr="00EF7D33">
              <w:rPr>
                <w:rFonts w:cs="Arial"/>
                <w:sz w:val="24"/>
                <w:szCs w:val="24"/>
              </w:rPr>
              <w:t xml:space="preserve"> </w:t>
            </w:r>
            <w:r w:rsidRPr="00EF7D33">
              <w:rPr>
                <w:rFonts w:cs="Arial"/>
                <w:sz w:val="24"/>
                <w:szCs w:val="24"/>
              </w:rPr>
              <w:t>An agreed budget for Fire is set by the PFCC.</w:t>
            </w:r>
          </w:p>
          <w:p w14:paraId="6066D6FB" w14:textId="77777777" w:rsidR="00D245EF" w:rsidRPr="00EF7D33" w:rsidRDefault="00D245EF" w:rsidP="0062565E">
            <w:pPr>
              <w:rPr>
                <w:rFonts w:cs="Arial"/>
                <w:sz w:val="24"/>
                <w:szCs w:val="24"/>
              </w:rPr>
            </w:pPr>
          </w:p>
          <w:p w14:paraId="11F57396" w14:textId="38AA9293" w:rsidR="00F115BD" w:rsidRDefault="00F115BD" w:rsidP="0062565E">
            <w:pPr>
              <w:rPr>
                <w:rFonts w:cs="Arial"/>
                <w:sz w:val="24"/>
                <w:szCs w:val="24"/>
              </w:rPr>
            </w:pPr>
            <w:r w:rsidRPr="00EF7D33">
              <w:rPr>
                <w:rFonts w:cs="Arial"/>
                <w:sz w:val="24"/>
                <w:szCs w:val="24"/>
              </w:rPr>
              <w:t>The PFCC is keen to ensure that NCFRA continue to identify efficiencies where it makes sense to do so, and a</w:t>
            </w:r>
            <w:r w:rsidR="00935736" w:rsidRPr="00EF7D33">
              <w:rPr>
                <w:rFonts w:cs="Arial"/>
                <w:sz w:val="24"/>
                <w:szCs w:val="24"/>
              </w:rPr>
              <w:t>n</w:t>
            </w:r>
            <w:r w:rsidRPr="00EF7D33">
              <w:rPr>
                <w:rFonts w:cs="Arial"/>
                <w:sz w:val="24"/>
                <w:szCs w:val="24"/>
              </w:rPr>
              <w:t xml:space="preserve"> efficiency target is set as part of the budget and MTFP and detailed within the annual strategic outcomes agreed with the Chief Fire Officer. </w:t>
            </w:r>
          </w:p>
          <w:p w14:paraId="42B482BD" w14:textId="77777777" w:rsidR="00D245EF" w:rsidRPr="00EF7D33" w:rsidRDefault="00D245EF" w:rsidP="0062565E">
            <w:pPr>
              <w:rPr>
                <w:rFonts w:cs="Arial"/>
                <w:sz w:val="24"/>
                <w:szCs w:val="24"/>
              </w:rPr>
            </w:pPr>
          </w:p>
          <w:p w14:paraId="105FF2B9" w14:textId="77777777" w:rsidR="00F115BD" w:rsidRDefault="00F115BD" w:rsidP="0062565E">
            <w:pPr>
              <w:rPr>
                <w:rFonts w:cs="Arial"/>
                <w:sz w:val="24"/>
                <w:szCs w:val="24"/>
              </w:rPr>
            </w:pPr>
            <w:r w:rsidRPr="00EF7D33">
              <w:rPr>
                <w:rFonts w:cs="Arial"/>
                <w:sz w:val="24"/>
                <w:szCs w:val="24"/>
              </w:rPr>
              <w:lastRenderedPageBreak/>
              <w:t>Depending on funding availability, the PFCC has and will continue to support investment in areas that reduce demand, or which increase efficiency/capacity to deal with demand.</w:t>
            </w:r>
          </w:p>
          <w:p w14:paraId="35208764" w14:textId="77777777" w:rsidR="00D245EF" w:rsidRPr="00EF7D33" w:rsidRDefault="00D245EF" w:rsidP="0062565E">
            <w:pPr>
              <w:rPr>
                <w:rFonts w:cs="Arial"/>
                <w:sz w:val="24"/>
                <w:szCs w:val="24"/>
              </w:rPr>
            </w:pPr>
          </w:p>
          <w:p w14:paraId="08CA2490" w14:textId="77777777" w:rsidR="00F115BD" w:rsidRDefault="0081263C" w:rsidP="006660EE">
            <w:pPr>
              <w:rPr>
                <w:rFonts w:cs="Arial"/>
                <w:sz w:val="24"/>
                <w:szCs w:val="24"/>
              </w:rPr>
            </w:pPr>
            <w:r w:rsidRPr="00EF7D33">
              <w:rPr>
                <w:rFonts w:cs="Arial"/>
                <w:sz w:val="24"/>
                <w:szCs w:val="24"/>
              </w:rPr>
              <w:t>General reserve</w:t>
            </w:r>
            <w:r w:rsidR="00F115BD" w:rsidRPr="00EF7D33">
              <w:rPr>
                <w:rFonts w:cs="Arial"/>
                <w:sz w:val="24"/>
                <w:szCs w:val="24"/>
              </w:rPr>
              <w:t>s are used as a last resort to manage and fund demand led pressures.</w:t>
            </w:r>
          </w:p>
          <w:p w14:paraId="44E55E5C" w14:textId="05376999" w:rsidR="00D245EF" w:rsidRPr="00EF7D33" w:rsidRDefault="00D245EF" w:rsidP="006660EE">
            <w:pPr>
              <w:rPr>
                <w:rFonts w:cs="Arial"/>
                <w:sz w:val="24"/>
                <w:szCs w:val="24"/>
              </w:rPr>
            </w:pPr>
          </w:p>
        </w:tc>
      </w:tr>
      <w:tr w:rsidR="00F115BD" w:rsidRPr="00450555" w14:paraId="50E5DE70" w14:textId="77777777" w:rsidTr="006660EE">
        <w:tc>
          <w:tcPr>
            <w:tcW w:w="3865" w:type="dxa"/>
            <w:shd w:val="clear" w:color="auto" w:fill="auto"/>
          </w:tcPr>
          <w:p w14:paraId="7AAC0767" w14:textId="77777777" w:rsidR="00F115BD" w:rsidRPr="00EF7D33" w:rsidRDefault="00F115BD" w:rsidP="0062565E">
            <w:pPr>
              <w:rPr>
                <w:rFonts w:cs="Arial"/>
                <w:b/>
                <w:sz w:val="24"/>
                <w:szCs w:val="24"/>
              </w:rPr>
            </w:pPr>
            <w:r w:rsidRPr="00EF7D33">
              <w:rPr>
                <w:rFonts w:cs="Arial"/>
                <w:b/>
                <w:sz w:val="24"/>
                <w:szCs w:val="24"/>
              </w:rPr>
              <w:lastRenderedPageBreak/>
              <w:t>The treatment of Planned Efficiency Savings/Productivity Gains</w:t>
            </w:r>
          </w:p>
        </w:tc>
        <w:tc>
          <w:tcPr>
            <w:tcW w:w="5763" w:type="dxa"/>
            <w:shd w:val="clear" w:color="auto" w:fill="auto"/>
          </w:tcPr>
          <w:p w14:paraId="086D0655" w14:textId="65EF7B1E" w:rsidR="00F115BD" w:rsidRPr="00EF7D33" w:rsidRDefault="00F115BD" w:rsidP="0062565E">
            <w:pPr>
              <w:rPr>
                <w:rFonts w:cs="Arial"/>
                <w:sz w:val="24"/>
                <w:szCs w:val="24"/>
              </w:rPr>
            </w:pPr>
            <w:r w:rsidRPr="00EF7D33">
              <w:rPr>
                <w:rFonts w:cs="Arial"/>
                <w:sz w:val="24"/>
                <w:szCs w:val="24"/>
              </w:rPr>
              <w:t xml:space="preserve">In the years post </w:t>
            </w:r>
            <w:r w:rsidR="00EF7D33" w:rsidRPr="00EF7D33">
              <w:rPr>
                <w:rFonts w:cs="Arial"/>
                <w:sz w:val="24"/>
                <w:szCs w:val="24"/>
              </w:rPr>
              <w:t xml:space="preserve">governance </w:t>
            </w:r>
            <w:r w:rsidRPr="00EF7D33">
              <w:rPr>
                <w:rFonts w:cs="Arial"/>
                <w:sz w:val="24"/>
                <w:szCs w:val="24"/>
              </w:rPr>
              <w:t xml:space="preserve">transfer, NCFRA has underspent each year and used the opportunity to increase </w:t>
            </w:r>
            <w:r w:rsidR="0081263C" w:rsidRPr="00EF7D33">
              <w:rPr>
                <w:rFonts w:cs="Arial"/>
                <w:sz w:val="24"/>
                <w:szCs w:val="24"/>
              </w:rPr>
              <w:t>reserve</w:t>
            </w:r>
            <w:r w:rsidRPr="00EF7D33">
              <w:rPr>
                <w:rFonts w:cs="Arial"/>
                <w:sz w:val="24"/>
                <w:szCs w:val="24"/>
              </w:rPr>
              <w:t xml:space="preserve">s as a result. </w:t>
            </w:r>
            <w:r w:rsidR="00EF7D33" w:rsidRPr="00EF7D33">
              <w:rPr>
                <w:rFonts w:cs="Arial"/>
                <w:sz w:val="24"/>
                <w:szCs w:val="24"/>
              </w:rPr>
              <w:t xml:space="preserve"> </w:t>
            </w:r>
            <w:r w:rsidR="00935736" w:rsidRPr="00EF7D33">
              <w:rPr>
                <w:rFonts w:cs="Arial"/>
                <w:sz w:val="24"/>
                <w:szCs w:val="24"/>
              </w:rPr>
              <w:t>Each</w:t>
            </w:r>
            <w:r w:rsidRPr="00EF7D33">
              <w:rPr>
                <w:rFonts w:cs="Arial"/>
                <w:sz w:val="24"/>
                <w:szCs w:val="24"/>
              </w:rPr>
              <w:t xml:space="preserve"> financial year is more challenging, but it is forecast the budget will be balanced with a minimal use of </w:t>
            </w:r>
            <w:r w:rsidR="0081263C" w:rsidRPr="00EF7D33">
              <w:rPr>
                <w:rFonts w:cs="Arial"/>
                <w:sz w:val="24"/>
                <w:szCs w:val="24"/>
              </w:rPr>
              <w:t>reserve</w:t>
            </w:r>
            <w:r w:rsidRPr="00EF7D33">
              <w:rPr>
                <w:rFonts w:cs="Arial"/>
                <w:sz w:val="24"/>
                <w:szCs w:val="24"/>
              </w:rPr>
              <w:t>s.</w:t>
            </w:r>
          </w:p>
          <w:p w14:paraId="208D61A0" w14:textId="77777777" w:rsidR="00EF7D33" w:rsidRPr="00EF7D33" w:rsidRDefault="00EF7D33" w:rsidP="0062565E">
            <w:pPr>
              <w:rPr>
                <w:rFonts w:cs="Arial"/>
                <w:sz w:val="24"/>
                <w:szCs w:val="24"/>
              </w:rPr>
            </w:pPr>
          </w:p>
          <w:p w14:paraId="3B383FC9" w14:textId="77777777" w:rsidR="00F115BD" w:rsidRPr="00EF7D33" w:rsidRDefault="00F115BD" w:rsidP="006660EE">
            <w:pPr>
              <w:rPr>
                <w:rFonts w:cs="Arial"/>
                <w:sz w:val="24"/>
                <w:szCs w:val="24"/>
              </w:rPr>
            </w:pPr>
            <w:r w:rsidRPr="00EF7D33">
              <w:rPr>
                <w:rFonts w:cs="Arial"/>
                <w:sz w:val="24"/>
                <w:szCs w:val="24"/>
              </w:rPr>
              <w:t>There is a savings plan aligned to the MTFP and any identified savings and efficiencies from service or governance transfers will be monitored and reviewed regularly by the service and are only included as achieved in budgets when confirmed and verified.</w:t>
            </w:r>
          </w:p>
          <w:p w14:paraId="4651F30C" w14:textId="65F1B26D" w:rsidR="00EF7D33" w:rsidRPr="00EF7D33" w:rsidRDefault="00EF7D33" w:rsidP="006660EE">
            <w:pPr>
              <w:rPr>
                <w:rFonts w:cs="Arial"/>
                <w:sz w:val="24"/>
                <w:szCs w:val="24"/>
              </w:rPr>
            </w:pPr>
          </w:p>
        </w:tc>
      </w:tr>
      <w:tr w:rsidR="00F115BD" w:rsidRPr="00450555" w14:paraId="0B87C3CD" w14:textId="77777777" w:rsidTr="006660EE">
        <w:tc>
          <w:tcPr>
            <w:tcW w:w="3865" w:type="dxa"/>
            <w:shd w:val="clear" w:color="auto" w:fill="auto"/>
          </w:tcPr>
          <w:p w14:paraId="1D9348AE" w14:textId="77777777" w:rsidR="00F115BD" w:rsidRPr="00EF7D33" w:rsidRDefault="00F115BD" w:rsidP="0062565E">
            <w:pPr>
              <w:rPr>
                <w:rFonts w:cs="Arial"/>
                <w:b/>
                <w:sz w:val="24"/>
                <w:szCs w:val="24"/>
              </w:rPr>
            </w:pPr>
            <w:r w:rsidRPr="00EF7D33">
              <w:rPr>
                <w:rFonts w:cs="Arial"/>
                <w:b/>
                <w:sz w:val="24"/>
                <w:szCs w:val="24"/>
              </w:rPr>
              <w:t>The financial risks inherent in any significant new funding partnerships, collaboration, major outsourcing arrangements or major capital developments.</w:t>
            </w:r>
          </w:p>
        </w:tc>
        <w:tc>
          <w:tcPr>
            <w:tcW w:w="5763" w:type="dxa"/>
            <w:shd w:val="clear" w:color="auto" w:fill="auto"/>
          </w:tcPr>
          <w:p w14:paraId="3E882493" w14:textId="77777777" w:rsidR="00EF7D33" w:rsidRPr="00CA6FF7" w:rsidRDefault="00EF7D33" w:rsidP="00EF7D33">
            <w:pPr>
              <w:spacing w:line="240" w:lineRule="auto"/>
              <w:rPr>
                <w:rFonts w:eastAsia="Times New Roman" w:cs="Calibri"/>
                <w:sz w:val="24"/>
                <w:szCs w:val="24"/>
              </w:rPr>
            </w:pPr>
            <w:r w:rsidRPr="00CA6FF7">
              <w:rPr>
                <w:rFonts w:eastAsia="Times New Roman" w:cs="Calibri"/>
                <w:sz w:val="24"/>
                <w:szCs w:val="24"/>
              </w:rPr>
              <w:t>The financial consequences of partnership collaboration working outsourcing arrangements or capital investment are reported to the PFCC as part of the medium-term planning process.  Where relevant, any additional costs are incorporated into the annual revenue budget and/or capital programme.</w:t>
            </w:r>
          </w:p>
          <w:p w14:paraId="07EFE80F" w14:textId="77777777" w:rsidR="00EF7D33" w:rsidRPr="00CA6FF7" w:rsidRDefault="00EF7D33" w:rsidP="00EF7D33">
            <w:pPr>
              <w:spacing w:line="240" w:lineRule="auto"/>
              <w:rPr>
                <w:rFonts w:eastAsia="Times New Roman" w:cs="Calibri"/>
                <w:sz w:val="24"/>
                <w:szCs w:val="24"/>
              </w:rPr>
            </w:pPr>
          </w:p>
          <w:p w14:paraId="19A633F6" w14:textId="77777777" w:rsidR="00EF7D33" w:rsidRPr="00CA6FF7" w:rsidRDefault="00EF7D33" w:rsidP="00EF7D33">
            <w:pPr>
              <w:spacing w:line="240" w:lineRule="auto"/>
              <w:rPr>
                <w:rFonts w:eastAsia="Times New Roman" w:cs="Calibri"/>
                <w:sz w:val="24"/>
                <w:szCs w:val="24"/>
              </w:rPr>
            </w:pPr>
            <w:r w:rsidRPr="00CA6FF7">
              <w:rPr>
                <w:rFonts w:eastAsia="Times New Roman" w:cs="Calibri"/>
                <w:sz w:val="24"/>
                <w:szCs w:val="24"/>
              </w:rPr>
              <w:t xml:space="preserve">There is a risk that partners will withdraw funding as their own budgets are squeezed, or that the continued viability of private sector commercial partners will be exposed to risk in the face of an economic recession. </w:t>
            </w:r>
          </w:p>
          <w:p w14:paraId="116284A7" w14:textId="172D5DD5" w:rsidR="00EF7D33" w:rsidRPr="00450555" w:rsidRDefault="00EF7D33" w:rsidP="006660EE">
            <w:pPr>
              <w:rPr>
                <w:rFonts w:cs="Arial"/>
                <w:sz w:val="24"/>
                <w:szCs w:val="24"/>
                <w:highlight w:val="yellow"/>
              </w:rPr>
            </w:pPr>
          </w:p>
        </w:tc>
      </w:tr>
      <w:tr w:rsidR="00F115BD" w:rsidRPr="00450555" w14:paraId="184962E0" w14:textId="77777777" w:rsidTr="006660EE">
        <w:tc>
          <w:tcPr>
            <w:tcW w:w="3865" w:type="dxa"/>
            <w:shd w:val="clear" w:color="auto" w:fill="auto"/>
          </w:tcPr>
          <w:p w14:paraId="726F4DBC" w14:textId="393DEC5E" w:rsidR="00F115BD" w:rsidRPr="00EF7D33" w:rsidRDefault="00F115BD" w:rsidP="0062565E">
            <w:pPr>
              <w:rPr>
                <w:rFonts w:cs="Arial"/>
                <w:b/>
                <w:sz w:val="24"/>
                <w:szCs w:val="24"/>
              </w:rPr>
            </w:pPr>
            <w:r w:rsidRPr="00EF7D33">
              <w:rPr>
                <w:rFonts w:cs="Arial"/>
                <w:b/>
                <w:sz w:val="24"/>
                <w:szCs w:val="24"/>
              </w:rPr>
              <w:t xml:space="preserve">The availability of </w:t>
            </w:r>
            <w:r w:rsidR="0081263C" w:rsidRPr="00EF7D33">
              <w:rPr>
                <w:rFonts w:cs="Arial"/>
                <w:b/>
                <w:sz w:val="24"/>
                <w:szCs w:val="24"/>
              </w:rPr>
              <w:t>reserve</w:t>
            </w:r>
            <w:r w:rsidRPr="00EF7D33">
              <w:rPr>
                <w:rFonts w:cs="Arial"/>
                <w:b/>
                <w:sz w:val="24"/>
                <w:szCs w:val="24"/>
              </w:rPr>
              <w:t>s, government grants and other funds to deal with major contingencies and the adequacy of provisions.</w:t>
            </w:r>
          </w:p>
        </w:tc>
        <w:tc>
          <w:tcPr>
            <w:tcW w:w="5763" w:type="dxa"/>
            <w:shd w:val="clear" w:color="auto" w:fill="auto"/>
          </w:tcPr>
          <w:p w14:paraId="0D861513" w14:textId="6D76F071" w:rsidR="00F115BD" w:rsidRPr="00EF7D33" w:rsidRDefault="00F115BD" w:rsidP="0062565E">
            <w:pPr>
              <w:rPr>
                <w:rFonts w:cs="Arial"/>
                <w:sz w:val="24"/>
                <w:szCs w:val="24"/>
              </w:rPr>
            </w:pPr>
            <w:r w:rsidRPr="00EF7D33">
              <w:rPr>
                <w:rFonts w:cs="Arial"/>
                <w:sz w:val="24"/>
                <w:szCs w:val="24"/>
              </w:rPr>
              <w:t xml:space="preserve">NCFRA have built up appropriate </w:t>
            </w:r>
            <w:r w:rsidR="0081263C" w:rsidRPr="00EF7D33">
              <w:rPr>
                <w:rFonts w:cs="Arial"/>
                <w:sz w:val="24"/>
                <w:szCs w:val="24"/>
              </w:rPr>
              <w:t>reserve</w:t>
            </w:r>
            <w:r w:rsidRPr="00EF7D33">
              <w:rPr>
                <w:rFonts w:cs="Arial"/>
                <w:sz w:val="24"/>
                <w:szCs w:val="24"/>
              </w:rPr>
              <w:t xml:space="preserve">s from a zero base to build a stable range </w:t>
            </w:r>
            <w:r w:rsidR="0081263C" w:rsidRPr="00EF7D33">
              <w:rPr>
                <w:rFonts w:cs="Arial"/>
                <w:sz w:val="24"/>
                <w:szCs w:val="24"/>
              </w:rPr>
              <w:t>earmarked reserve</w:t>
            </w:r>
            <w:r w:rsidRPr="00EF7D33">
              <w:rPr>
                <w:rFonts w:cs="Arial"/>
                <w:sz w:val="24"/>
                <w:szCs w:val="24"/>
              </w:rPr>
              <w:t xml:space="preserve">s and provisions to meet specific expenditure items. </w:t>
            </w:r>
            <w:r w:rsidR="00935736" w:rsidRPr="00EF7D33">
              <w:rPr>
                <w:rFonts w:cs="Arial"/>
                <w:sz w:val="24"/>
                <w:szCs w:val="24"/>
              </w:rPr>
              <w:t xml:space="preserve"> </w:t>
            </w:r>
            <w:r w:rsidRPr="00EF7D33">
              <w:rPr>
                <w:rFonts w:cs="Arial"/>
                <w:sz w:val="24"/>
                <w:szCs w:val="24"/>
              </w:rPr>
              <w:t>Their use and balances are detailed in the attached a</w:t>
            </w:r>
            <w:r w:rsidR="000F4427" w:rsidRPr="00EF7D33">
              <w:rPr>
                <w:rFonts w:cs="Arial"/>
                <w:sz w:val="24"/>
                <w:szCs w:val="24"/>
              </w:rPr>
              <w:t>nne</w:t>
            </w:r>
            <w:r w:rsidRPr="00EF7D33">
              <w:rPr>
                <w:rFonts w:cs="Arial"/>
                <w:sz w:val="24"/>
                <w:szCs w:val="24"/>
              </w:rPr>
              <w:t>x</w:t>
            </w:r>
            <w:r w:rsidR="000F4427" w:rsidRPr="00EF7D33">
              <w:rPr>
                <w:rFonts w:cs="Arial"/>
                <w:sz w:val="24"/>
                <w:szCs w:val="24"/>
              </w:rPr>
              <w:t>e</w:t>
            </w:r>
            <w:r w:rsidRPr="00EF7D33">
              <w:rPr>
                <w:rFonts w:cs="Arial"/>
                <w:sz w:val="24"/>
                <w:szCs w:val="24"/>
              </w:rPr>
              <w:t>.</w:t>
            </w:r>
          </w:p>
          <w:p w14:paraId="35C9ABF8" w14:textId="77777777" w:rsidR="00EF7D33" w:rsidRPr="00EF7D33" w:rsidRDefault="00EF7D33" w:rsidP="0062565E">
            <w:pPr>
              <w:rPr>
                <w:rFonts w:cs="Arial"/>
                <w:sz w:val="24"/>
                <w:szCs w:val="24"/>
              </w:rPr>
            </w:pPr>
          </w:p>
          <w:p w14:paraId="6BE33F49" w14:textId="77777777" w:rsidR="00F115BD" w:rsidRPr="00EF7D33" w:rsidRDefault="00F115BD" w:rsidP="0062565E">
            <w:pPr>
              <w:rPr>
                <w:rFonts w:cs="Arial"/>
                <w:sz w:val="24"/>
                <w:szCs w:val="24"/>
              </w:rPr>
            </w:pPr>
            <w:r w:rsidRPr="00EF7D33">
              <w:rPr>
                <w:rFonts w:cs="Arial"/>
                <w:sz w:val="24"/>
                <w:szCs w:val="24"/>
              </w:rPr>
              <w:t>NCFRA maintain an insurance provision, the adequacy of which is reviewed and monitored in detail by the legal services insurance advisors.</w:t>
            </w:r>
          </w:p>
          <w:p w14:paraId="1405DF42" w14:textId="77777777" w:rsidR="00F115BD" w:rsidRDefault="00F115BD" w:rsidP="006660EE">
            <w:pPr>
              <w:rPr>
                <w:rFonts w:cs="Arial"/>
                <w:sz w:val="24"/>
                <w:szCs w:val="24"/>
              </w:rPr>
            </w:pPr>
            <w:r w:rsidRPr="00EF7D33">
              <w:rPr>
                <w:rFonts w:cs="Arial"/>
                <w:sz w:val="24"/>
                <w:szCs w:val="24"/>
              </w:rPr>
              <w:t xml:space="preserve">NCFRA continue to </w:t>
            </w:r>
            <w:r w:rsidR="00EF7D33" w:rsidRPr="00EF7D33">
              <w:rPr>
                <w:rFonts w:cs="Arial"/>
                <w:sz w:val="24"/>
                <w:szCs w:val="24"/>
              </w:rPr>
              <w:t>maintain</w:t>
            </w:r>
            <w:r w:rsidRPr="00EF7D33">
              <w:rPr>
                <w:rFonts w:cs="Arial"/>
                <w:sz w:val="24"/>
                <w:szCs w:val="24"/>
              </w:rPr>
              <w:t xml:space="preserve"> a </w:t>
            </w:r>
            <w:r w:rsidR="00935736" w:rsidRPr="00EF7D33">
              <w:rPr>
                <w:rFonts w:cs="Arial"/>
                <w:sz w:val="24"/>
                <w:szCs w:val="24"/>
              </w:rPr>
              <w:t>g</w:t>
            </w:r>
            <w:r w:rsidR="0081263C" w:rsidRPr="00EF7D33">
              <w:rPr>
                <w:rFonts w:cs="Arial"/>
                <w:sz w:val="24"/>
                <w:szCs w:val="24"/>
              </w:rPr>
              <w:t>eneral reserve</w:t>
            </w:r>
            <w:r w:rsidRPr="00EF7D33">
              <w:rPr>
                <w:rFonts w:cs="Arial"/>
                <w:sz w:val="24"/>
                <w:szCs w:val="24"/>
              </w:rPr>
              <w:t xml:space="preserve"> to cover any major unforeseen circumstances, supported by </w:t>
            </w:r>
            <w:r w:rsidR="0081263C" w:rsidRPr="00EF7D33">
              <w:rPr>
                <w:rFonts w:cs="Arial"/>
                <w:sz w:val="24"/>
                <w:szCs w:val="24"/>
              </w:rPr>
              <w:t>earmarked reserve</w:t>
            </w:r>
            <w:r w:rsidRPr="00EF7D33">
              <w:rPr>
                <w:rFonts w:cs="Arial"/>
                <w:sz w:val="24"/>
                <w:szCs w:val="24"/>
              </w:rPr>
              <w:t xml:space="preserve">s where appropriate to meet targeted investment in a planned manner which does not </w:t>
            </w:r>
            <w:r w:rsidRPr="00EF7D33">
              <w:rPr>
                <w:rFonts w:cs="Arial"/>
                <w:sz w:val="24"/>
                <w:szCs w:val="24"/>
              </w:rPr>
              <w:lastRenderedPageBreak/>
              <w:t xml:space="preserve">disproportionately impact on the revenue budget each year.  </w:t>
            </w:r>
          </w:p>
          <w:p w14:paraId="27B2FAB9" w14:textId="58353D0D" w:rsidR="00DE422B" w:rsidRPr="00EF7D33" w:rsidRDefault="00DE422B" w:rsidP="006660EE">
            <w:pPr>
              <w:rPr>
                <w:rFonts w:cs="Arial"/>
                <w:sz w:val="24"/>
                <w:szCs w:val="24"/>
              </w:rPr>
            </w:pPr>
          </w:p>
        </w:tc>
      </w:tr>
      <w:tr w:rsidR="00F115BD" w:rsidRPr="00450555" w14:paraId="032F3BCC" w14:textId="77777777" w:rsidTr="006660EE">
        <w:tc>
          <w:tcPr>
            <w:tcW w:w="3865" w:type="dxa"/>
            <w:shd w:val="clear" w:color="auto" w:fill="auto"/>
          </w:tcPr>
          <w:p w14:paraId="5262F2C8" w14:textId="77777777" w:rsidR="00F115BD" w:rsidRPr="00EF7D33" w:rsidRDefault="00F115BD" w:rsidP="0062565E">
            <w:pPr>
              <w:rPr>
                <w:rFonts w:cs="Arial"/>
                <w:b/>
                <w:sz w:val="24"/>
                <w:szCs w:val="24"/>
              </w:rPr>
            </w:pPr>
            <w:r w:rsidRPr="00EF7D33">
              <w:rPr>
                <w:rFonts w:cs="Arial"/>
                <w:b/>
                <w:sz w:val="24"/>
                <w:szCs w:val="24"/>
              </w:rPr>
              <w:lastRenderedPageBreak/>
              <w:t>The general financial climate to which the Authority is subject</w:t>
            </w:r>
          </w:p>
        </w:tc>
        <w:tc>
          <w:tcPr>
            <w:tcW w:w="5763" w:type="dxa"/>
            <w:shd w:val="clear" w:color="auto" w:fill="auto"/>
          </w:tcPr>
          <w:p w14:paraId="2F5AA674" w14:textId="77777777" w:rsidR="00935736" w:rsidRPr="00EF7D33" w:rsidRDefault="00935736" w:rsidP="00935736">
            <w:pPr>
              <w:spacing w:line="240" w:lineRule="auto"/>
              <w:rPr>
                <w:rFonts w:eastAsia="Times New Roman" w:cs="Calibri"/>
                <w:sz w:val="24"/>
                <w:szCs w:val="24"/>
              </w:rPr>
            </w:pPr>
            <w:r w:rsidRPr="00EF7D33">
              <w:rPr>
                <w:rFonts w:eastAsia="Times New Roman" w:cs="Calibri"/>
                <w:sz w:val="24"/>
                <w:szCs w:val="24"/>
              </w:rPr>
              <w:t>It is anticipated that the financial climate will continue to be challenging and the medium-term financial plan reflects the “best estimate” of future inflation rates and increases in government grants and contributions.</w:t>
            </w:r>
          </w:p>
          <w:p w14:paraId="43B08376" w14:textId="77777777" w:rsidR="00935736" w:rsidRPr="00EF7D33" w:rsidRDefault="00935736" w:rsidP="00935736">
            <w:pPr>
              <w:spacing w:line="240" w:lineRule="auto"/>
              <w:rPr>
                <w:rFonts w:eastAsia="Times New Roman" w:cs="Calibri"/>
                <w:sz w:val="24"/>
                <w:szCs w:val="24"/>
              </w:rPr>
            </w:pPr>
          </w:p>
          <w:p w14:paraId="65B01F1B" w14:textId="77777777" w:rsidR="00935736" w:rsidRPr="00EF7D33" w:rsidRDefault="00935736" w:rsidP="00935736">
            <w:pPr>
              <w:spacing w:line="240" w:lineRule="auto"/>
              <w:rPr>
                <w:rFonts w:eastAsia="Times New Roman" w:cs="Calibri"/>
                <w:sz w:val="24"/>
                <w:szCs w:val="24"/>
              </w:rPr>
            </w:pPr>
            <w:r w:rsidRPr="00EF7D33">
              <w:rPr>
                <w:rFonts w:eastAsia="Times New Roman" w:cs="Calibri"/>
                <w:sz w:val="24"/>
                <w:szCs w:val="24"/>
              </w:rPr>
              <w:t>The Commercial team keep the authority updated on matters/risks affecting large contracts and supply chain.</w:t>
            </w:r>
          </w:p>
          <w:p w14:paraId="30A63576" w14:textId="77777777" w:rsidR="00935736" w:rsidRPr="00EF7D33" w:rsidRDefault="00935736" w:rsidP="00935736">
            <w:pPr>
              <w:spacing w:line="240" w:lineRule="auto"/>
              <w:rPr>
                <w:rFonts w:eastAsia="Times New Roman" w:cs="Calibri"/>
                <w:sz w:val="24"/>
                <w:szCs w:val="24"/>
              </w:rPr>
            </w:pPr>
          </w:p>
          <w:p w14:paraId="735DC3DC" w14:textId="77777777" w:rsidR="00935736" w:rsidRPr="00EF7D33" w:rsidRDefault="00935736" w:rsidP="00935736">
            <w:pPr>
              <w:spacing w:line="240" w:lineRule="auto"/>
              <w:rPr>
                <w:rFonts w:eastAsia="Times New Roman" w:cs="Calibri"/>
                <w:sz w:val="24"/>
                <w:szCs w:val="24"/>
              </w:rPr>
            </w:pPr>
            <w:r w:rsidRPr="00EF7D33">
              <w:rPr>
                <w:rFonts w:eastAsia="Times New Roman" w:cs="Calibri"/>
                <w:sz w:val="24"/>
                <w:szCs w:val="24"/>
              </w:rPr>
              <w:t>The MTFP will be regularly reviewed and updated to support operational decision making.</w:t>
            </w:r>
          </w:p>
          <w:p w14:paraId="1FCC7EF5" w14:textId="5AB00FCA" w:rsidR="00F115BD" w:rsidRPr="00EF7D33" w:rsidRDefault="00F115BD" w:rsidP="006660EE">
            <w:pPr>
              <w:rPr>
                <w:rFonts w:cs="Arial"/>
                <w:b/>
                <w:sz w:val="24"/>
                <w:szCs w:val="24"/>
              </w:rPr>
            </w:pPr>
          </w:p>
        </w:tc>
      </w:tr>
    </w:tbl>
    <w:p w14:paraId="4615BCD4" w14:textId="77777777" w:rsidR="00F115BD" w:rsidRPr="00450555" w:rsidRDefault="00F115BD" w:rsidP="00F115BD">
      <w:pPr>
        <w:jc w:val="center"/>
        <w:rPr>
          <w:b/>
          <w:highlight w:val="yellow"/>
        </w:rPr>
        <w:sectPr w:rsidR="00F115BD" w:rsidRPr="00450555" w:rsidSect="009B2B7B">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134" w:left="1134" w:header="709" w:footer="709" w:gutter="0"/>
          <w:cols w:space="708"/>
          <w:docGrid w:linePitch="360"/>
        </w:sectPr>
      </w:pPr>
    </w:p>
    <w:p w14:paraId="4AF9E1F1" w14:textId="6C3FAECE" w:rsidR="00F115BD" w:rsidRPr="00EF7D33" w:rsidRDefault="000F4427" w:rsidP="00935736">
      <w:pPr>
        <w:rPr>
          <w:b/>
        </w:rPr>
      </w:pPr>
      <w:r w:rsidRPr="00EF7D33">
        <w:rPr>
          <w:b/>
        </w:rPr>
        <w:lastRenderedPageBreak/>
        <w:t>Annexe</w:t>
      </w:r>
      <w:r w:rsidR="00F115BD" w:rsidRPr="00EF7D33">
        <w:rPr>
          <w:b/>
        </w:rPr>
        <w:t xml:space="preserve"> </w:t>
      </w:r>
      <w:r w:rsidRPr="00EF7D33">
        <w:rPr>
          <w:b/>
        </w:rPr>
        <w:t>2</w:t>
      </w:r>
      <w:r w:rsidR="00F115BD" w:rsidRPr="00EF7D33">
        <w:rPr>
          <w:b/>
        </w:rPr>
        <w:t xml:space="preserve">        </w:t>
      </w:r>
    </w:p>
    <w:p w14:paraId="778DE121" w14:textId="66F8915A" w:rsidR="00F115BD" w:rsidRPr="00EF7D33" w:rsidRDefault="0081263C" w:rsidP="00EF3054">
      <w:pPr>
        <w:jc w:val="center"/>
        <w:rPr>
          <w:b/>
          <w:bCs/>
        </w:rPr>
      </w:pPr>
      <w:r w:rsidRPr="00EF7D33">
        <w:rPr>
          <w:b/>
          <w:bCs/>
        </w:rPr>
        <w:t>RESERVE</w:t>
      </w:r>
      <w:r w:rsidR="00F115BD" w:rsidRPr="00EF7D33">
        <w:rPr>
          <w:b/>
          <w:bCs/>
        </w:rPr>
        <w:t>S OF THE NORTHAMPTONSHIRE COMMISSIONER FIRE AND RESCUE AUTHORITY</w:t>
      </w:r>
    </w:p>
    <w:p w14:paraId="40D509C0" w14:textId="77777777" w:rsidR="00DE422B" w:rsidRPr="00CA6FF7" w:rsidRDefault="00DE422B" w:rsidP="00DE422B">
      <w:pPr>
        <w:spacing w:line="240" w:lineRule="auto"/>
        <w:jc w:val="center"/>
        <w:rPr>
          <w:rFonts w:asciiTheme="minorHAnsi" w:eastAsia="Times New Roman" w:hAnsiTheme="minorHAnsi" w:cstheme="minorHAnsi"/>
          <w:b/>
        </w:rPr>
      </w:pPr>
      <w:r w:rsidRPr="00CA6FF7">
        <w:rPr>
          <w:rFonts w:asciiTheme="minorHAnsi" w:eastAsia="Times New Roman" w:hAnsiTheme="minorHAnsi" w:cstheme="minorHAnsi"/>
          <w:b/>
        </w:rPr>
        <w:t>2025/26 to 2029/30</w:t>
      </w:r>
    </w:p>
    <w:p w14:paraId="2784EF2C" w14:textId="77777777" w:rsidR="00AF1642" w:rsidRPr="00EF7D33" w:rsidRDefault="00AF1642" w:rsidP="00EF3054">
      <w:pPr>
        <w:jc w:val="center"/>
        <w:rPr>
          <w:b/>
          <w:bCs/>
        </w:rPr>
      </w:pPr>
    </w:p>
    <w:tbl>
      <w:tblPr>
        <w:tblW w:w="15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3261"/>
        <w:gridCol w:w="2410"/>
        <w:gridCol w:w="1745"/>
        <w:gridCol w:w="3691"/>
        <w:gridCol w:w="1332"/>
        <w:gridCol w:w="973"/>
      </w:tblGrid>
      <w:tr w:rsidR="00935736" w:rsidRPr="00EF7D33" w14:paraId="41A339D4" w14:textId="77777777" w:rsidTr="00935736">
        <w:trPr>
          <w:cantSplit/>
          <w:tblHeader/>
          <w:jc w:val="center"/>
        </w:trPr>
        <w:tc>
          <w:tcPr>
            <w:tcW w:w="1837" w:type="dxa"/>
          </w:tcPr>
          <w:p w14:paraId="44AFABED" w14:textId="77777777" w:rsidR="00935736" w:rsidRPr="00EF7D33" w:rsidRDefault="00935736" w:rsidP="00935736">
            <w:pPr>
              <w:jc w:val="center"/>
              <w:rPr>
                <w:rFonts w:asciiTheme="minorHAnsi" w:hAnsiTheme="minorHAnsi" w:cstheme="minorHAnsi"/>
                <w:b/>
                <w:bCs/>
                <w:sz w:val="20"/>
                <w:szCs w:val="20"/>
              </w:rPr>
            </w:pPr>
          </w:p>
        </w:tc>
        <w:tc>
          <w:tcPr>
            <w:tcW w:w="3261" w:type="dxa"/>
          </w:tcPr>
          <w:p w14:paraId="22638BA0" w14:textId="77777777" w:rsidR="00935736" w:rsidRPr="00EF7D33" w:rsidRDefault="00935736" w:rsidP="00935736">
            <w:pPr>
              <w:jc w:val="center"/>
              <w:rPr>
                <w:rFonts w:asciiTheme="minorHAnsi" w:hAnsiTheme="minorHAnsi" w:cstheme="minorHAnsi"/>
                <w:b/>
                <w:bCs/>
                <w:sz w:val="20"/>
                <w:szCs w:val="20"/>
              </w:rPr>
            </w:pPr>
            <w:r w:rsidRPr="00EF7D33">
              <w:rPr>
                <w:rFonts w:asciiTheme="minorHAnsi" w:hAnsiTheme="minorHAnsi" w:cstheme="minorHAnsi"/>
                <w:b/>
                <w:bCs/>
                <w:sz w:val="20"/>
                <w:szCs w:val="20"/>
              </w:rPr>
              <w:t>Rationale</w:t>
            </w:r>
          </w:p>
        </w:tc>
        <w:tc>
          <w:tcPr>
            <w:tcW w:w="2410" w:type="dxa"/>
          </w:tcPr>
          <w:p w14:paraId="5FF03B83" w14:textId="77777777" w:rsidR="00935736" w:rsidRPr="00EF7D33" w:rsidRDefault="00935736" w:rsidP="00935736">
            <w:pPr>
              <w:jc w:val="center"/>
              <w:rPr>
                <w:rFonts w:asciiTheme="minorHAnsi" w:hAnsiTheme="minorHAnsi" w:cstheme="minorHAnsi"/>
                <w:b/>
                <w:bCs/>
                <w:sz w:val="20"/>
                <w:szCs w:val="20"/>
              </w:rPr>
            </w:pPr>
            <w:r w:rsidRPr="00EF7D33">
              <w:rPr>
                <w:rFonts w:asciiTheme="minorHAnsi" w:hAnsiTheme="minorHAnsi" w:cstheme="minorHAnsi"/>
                <w:b/>
                <w:bCs/>
                <w:sz w:val="20"/>
                <w:szCs w:val="20"/>
              </w:rPr>
              <w:t>How and when used</w:t>
            </w:r>
          </w:p>
        </w:tc>
        <w:tc>
          <w:tcPr>
            <w:tcW w:w="1745" w:type="dxa"/>
          </w:tcPr>
          <w:p w14:paraId="1E27E7E2" w14:textId="77777777" w:rsidR="00935736" w:rsidRPr="00EF7D33" w:rsidRDefault="00935736" w:rsidP="00935736">
            <w:pPr>
              <w:jc w:val="center"/>
              <w:rPr>
                <w:rFonts w:asciiTheme="minorHAnsi" w:hAnsiTheme="minorHAnsi" w:cstheme="minorHAnsi"/>
                <w:b/>
                <w:bCs/>
                <w:sz w:val="20"/>
                <w:szCs w:val="20"/>
              </w:rPr>
            </w:pPr>
            <w:r w:rsidRPr="00EF7D33">
              <w:rPr>
                <w:rFonts w:asciiTheme="minorHAnsi" w:hAnsiTheme="minorHAnsi" w:cstheme="minorHAnsi"/>
                <w:b/>
                <w:bCs/>
                <w:sz w:val="20"/>
                <w:szCs w:val="20"/>
              </w:rPr>
              <w:t>Level</w:t>
            </w:r>
          </w:p>
        </w:tc>
        <w:tc>
          <w:tcPr>
            <w:tcW w:w="3691" w:type="dxa"/>
          </w:tcPr>
          <w:p w14:paraId="0C7BFC9E" w14:textId="16DEBC6E" w:rsidR="00935736" w:rsidRPr="00EF7D33" w:rsidRDefault="00935736" w:rsidP="00935736">
            <w:pPr>
              <w:jc w:val="center"/>
              <w:rPr>
                <w:rFonts w:asciiTheme="minorHAnsi" w:hAnsiTheme="minorHAnsi" w:cstheme="minorHAnsi"/>
                <w:b/>
                <w:bCs/>
                <w:sz w:val="20"/>
                <w:szCs w:val="20"/>
              </w:rPr>
            </w:pPr>
            <w:r w:rsidRPr="00EF7D33">
              <w:rPr>
                <w:rFonts w:asciiTheme="minorHAnsi" w:hAnsiTheme="minorHAnsi" w:cstheme="minorHAnsi"/>
                <w:b/>
                <w:bCs/>
                <w:sz w:val="20"/>
                <w:szCs w:val="20"/>
              </w:rPr>
              <w:t>Risk If Reserve Not Held</w:t>
            </w:r>
          </w:p>
        </w:tc>
        <w:tc>
          <w:tcPr>
            <w:tcW w:w="1332" w:type="dxa"/>
          </w:tcPr>
          <w:p w14:paraId="7BF79407" w14:textId="09D005D2" w:rsidR="00935736" w:rsidRPr="00EF7D33" w:rsidRDefault="00935736" w:rsidP="00935736">
            <w:pPr>
              <w:jc w:val="center"/>
              <w:rPr>
                <w:rFonts w:asciiTheme="minorHAnsi" w:hAnsiTheme="minorHAnsi" w:cstheme="minorHAnsi"/>
                <w:b/>
                <w:bCs/>
                <w:sz w:val="20"/>
                <w:szCs w:val="20"/>
              </w:rPr>
            </w:pPr>
            <w:r w:rsidRPr="00EF7D33">
              <w:rPr>
                <w:rFonts w:asciiTheme="minorHAnsi" w:hAnsiTheme="minorHAnsi" w:cstheme="minorHAnsi"/>
                <w:b/>
                <w:bCs/>
                <w:sz w:val="20"/>
                <w:szCs w:val="20"/>
              </w:rPr>
              <w:t>Management and control</w:t>
            </w:r>
          </w:p>
        </w:tc>
        <w:tc>
          <w:tcPr>
            <w:tcW w:w="973" w:type="dxa"/>
          </w:tcPr>
          <w:p w14:paraId="0CA218EF" w14:textId="77777777" w:rsidR="00935736" w:rsidRPr="00EF7D33" w:rsidRDefault="00935736" w:rsidP="00935736">
            <w:pPr>
              <w:jc w:val="center"/>
              <w:rPr>
                <w:rFonts w:asciiTheme="minorHAnsi" w:hAnsiTheme="minorHAnsi" w:cstheme="minorHAnsi"/>
                <w:b/>
                <w:bCs/>
                <w:sz w:val="20"/>
                <w:szCs w:val="20"/>
              </w:rPr>
            </w:pPr>
            <w:r w:rsidRPr="00EF7D33">
              <w:rPr>
                <w:rFonts w:asciiTheme="minorHAnsi" w:hAnsiTheme="minorHAnsi" w:cstheme="minorHAnsi"/>
                <w:b/>
                <w:bCs/>
                <w:sz w:val="20"/>
                <w:szCs w:val="20"/>
              </w:rPr>
              <w:t>Review</w:t>
            </w:r>
          </w:p>
        </w:tc>
      </w:tr>
      <w:tr w:rsidR="00935736" w:rsidRPr="00EF7D33" w14:paraId="3D54A807" w14:textId="77777777" w:rsidTr="00935736">
        <w:trPr>
          <w:cantSplit/>
          <w:jc w:val="center"/>
        </w:trPr>
        <w:tc>
          <w:tcPr>
            <w:tcW w:w="1837" w:type="dxa"/>
          </w:tcPr>
          <w:p w14:paraId="2DEE4BEA" w14:textId="77777777" w:rsidR="00935736" w:rsidRPr="00EF7D33" w:rsidRDefault="00935736" w:rsidP="00EF3054">
            <w:pPr>
              <w:spacing w:line="240" w:lineRule="auto"/>
              <w:rPr>
                <w:rFonts w:asciiTheme="minorHAnsi" w:eastAsia="Times New Roman" w:hAnsiTheme="minorHAnsi" w:cstheme="minorHAnsi"/>
                <w:b/>
                <w:bCs/>
                <w:sz w:val="20"/>
                <w:szCs w:val="20"/>
              </w:rPr>
            </w:pPr>
          </w:p>
          <w:p w14:paraId="29E317F1" w14:textId="6B42672F" w:rsidR="00935736" w:rsidRPr="00EF7D33" w:rsidRDefault="00935736" w:rsidP="00EF3054">
            <w:pPr>
              <w:spacing w:line="240" w:lineRule="auto"/>
              <w:rPr>
                <w:rFonts w:asciiTheme="minorHAnsi" w:eastAsia="Times New Roman" w:hAnsiTheme="minorHAnsi" w:cstheme="minorHAnsi"/>
                <w:b/>
                <w:bCs/>
                <w:sz w:val="20"/>
                <w:szCs w:val="20"/>
              </w:rPr>
            </w:pPr>
            <w:r w:rsidRPr="00EF7D33">
              <w:rPr>
                <w:rFonts w:asciiTheme="minorHAnsi" w:eastAsia="Times New Roman" w:hAnsiTheme="minorHAnsi" w:cstheme="minorHAnsi"/>
                <w:b/>
                <w:bCs/>
                <w:sz w:val="20"/>
                <w:szCs w:val="20"/>
              </w:rPr>
              <w:t>GENERAL RESERVE</w:t>
            </w:r>
          </w:p>
          <w:p w14:paraId="081A3A6B" w14:textId="77777777" w:rsidR="00935736" w:rsidRPr="00EF7D33" w:rsidRDefault="00935736" w:rsidP="00EF3054">
            <w:pPr>
              <w:spacing w:line="240" w:lineRule="auto"/>
              <w:rPr>
                <w:rFonts w:asciiTheme="minorHAnsi" w:eastAsia="Times New Roman" w:hAnsiTheme="minorHAnsi" w:cstheme="minorHAnsi"/>
                <w:b/>
                <w:bCs/>
                <w:sz w:val="20"/>
                <w:szCs w:val="20"/>
              </w:rPr>
            </w:pPr>
          </w:p>
          <w:p w14:paraId="713FC162" w14:textId="77777777" w:rsidR="00935736" w:rsidRPr="00EF7D33" w:rsidRDefault="00935736" w:rsidP="00EF3054">
            <w:pPr>
              <w:spacing w:line="240" w:lineRule="auto"/>
              <w:rPr>
                <w:rFonts w:asciiTheme="minorHAnsi" w:eastAsia="Times New Roman" w:hAnsiTheme="minorHAnsi" w:cstheme="minorHAnsi"/>
                <w:b/>
                <w:bCs/>
                <w:sz w:val="20"/>
                <w:szCs w:val="20"/>
              </w:rPr>
            </w:pPr>
          </w:p>
          <w:p w14:paraId="35EAB461" w14:textId="77777777" w:rsidR="00935736" w:rsidRPr="00EF7D33" w:rsidRDefault="00935736" w:rsidP="00EF3054">
            <w:pPr>
              <w:spacing w:line="240" w:lineRule="auto"/>
              <w:rPr>
                <w:rFonts w:asciiTheme="minorHAnsi" w:eastAsia="Times New Roman" w:hAnsiTheme="minorHAnsi" w:cstheme="minorHAnsi"/>
                <w:b/>
                <w:bCs/>
                <w:sz w:val="20"/>
                <w:szCs w:val="20"/>
              </w:rPr>
            </w:pPr>
          </w:p>
        </w:tc>
        <w:tc>
          <w:tcPr>
            <w:tcW w:w="3261" w:type="dxa"/>
          </w:tcPr>
          <w:p w14:paraId="0816B6BF" w14:textId="77777777" w:rsidR="00935736" w:rsidRPr="00EF7D33" w:rsidRDefault="00935736" w:rsidP="00EF3054">
            <w:pPr>
              <w:spacing w:line="240" w:lineRule="auto"/>
              <w:rPr>
                <w:rFonts w:asciiTheme="minorHAnsi" w:eastAsia="Times New Roman" w:hAnsiTheme="minorHAnsi" w:cstheme="minorHAnsi"/>
                <w:sz w:val="20"/>
                <w:szCs w:val="20"/>
              </w:rPr>
            </w:pPr>
          </w:p>
          <w:p w14:paraId="6A6D7821" w14:textId="78259EF0"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maintain a degree of in-year financial flexibility</w:t>
            </w:r>
          </w:p>
          <w:p w14:paraId="564F622F" w14:textId="77777777" w:rsidR="00EF3054" w:rsidRPr="00EF7D33" w:rsidRDefault="00EF3054" w:rsidP="00EF3054">
            <w:pPr>
              <w:spacing w:line="240" w:lineRule="auto"/>
              <w:rPr>
                <w:rFonts w:asciiTheme="minorHAnsi" w:eastAsia="Times New Roman" w:hAnsiTheme="minorHAnsi" w:cstheme="minorHAnsi"/>
                <w:sz w:val="20"/>
                <w:szCs w:val="20"/>
              </w:rPr>
            </w:pPr>
          </w:p>
          <w:p w14:paraId="00A672CB" w14:textId="1C50CBAA"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enable NCFRA to deal with unforeseen circumstances and incidents</w:t>
            </w:r>
            <w:r w:rsidR="00EF3054" w:rsidRPr="00EF7D33">
              <w:rPr>
                <w:rFonts w:asciiTheme="minorHAnsi" w:eastAsia="Times New Roman" w:hAnsiTheme="minorHAnsi" w:cstheme="minorHAnsi"/>
                <w:sz w:val="20"/>
                <w:szCs w:val="20"/>
              </w:rPr>
              <w:t>.</w:t>
            </w:r>
          </w:p>
          <w:p w14:paraId="7176A56B" w14:textId="77777777" w:rsidR="00EF3054" w:rsidRPr="00EF7D33" w:rsidRDefault="00EF3054" w:rsidP="00EF3054">
            <w:pPr>
              <w:spacing w:line="240" w:lineRule="auto"/>
              <w:rPr>
                <w:rFonts w:asciiTheme="minorHAnsi" w:eastAsia="Times New Roman" w:hAnsiTheme="minorHAnsi" w:cstheme="minorHAnsi"/>
                <w:sz w:val="20"/>
                <w:szCs w:val="20"/>
              </w:rPr>
            </w:pPr>
          </w:p>
          <w:p w14:paraId="05852308" w14:textId="62A1FDC4"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manage and meet financial risks of any industrial action requirements</w:t>
            </w:r>
            <w:r w:rsidR="00EF3054" w:rsidRPr="00EF7D33">
              <w:rPr>
                <w:rFonts w:asciiTheme="minorHAnsi" w:eastAsia="Times New Roman" w:hAnsiTheme="minorHAnsi" w:cstheme="minorHAnsi"/>
                <w:sz w:val="20"/>
                <w:szCs w:val="20"/>
              </w:rPr>
              <w:t>.</w:t>
            </w:r>
          </w:p>
          <w:p w14:paraId="57FEB3E0" w14:textId="77777777" w:rsidR="00EF3054" w:rsidRPr="00EF7D33" w:rsidRDefault="00EF3054" w:rsidP="00EF3054">
            <w:pPr>
              <w:spacing w:line="240" w:lineRule="auto"/>
              <w:rPr>
                <w:rFonts w:asciiTheme="minorHAnsi" w:eastAsia="Times New Roman" w:hAnsiTheme="minorHAnsi" w:cstheme="minorHAnsi"/>
                <w:sz w:val="20"/>
                <w:szCs w:val="20"/>
              </w:rPr>
            </w:pPr>
          </w:p>
          <w:p w14:paraId="5F9DA8FF" w14:textId="7B912D34"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set aside sums for known and potential liabilities</w:t>
            </w:r>
            <w:r w:rsidR="00EF3054" w:rsidRPr="00EF7D33">
              <w:rPr>
                <w:rFonts w:asciiTheme="minorHAnsi" w:eastAsia="Times New Roman" w:hAnsiTheme="minorHAnsi" w:cstheme="minorHAnsi"/>
                <w:sz w:val="20"/>
                <w:szCs w:val="20"/>
              </w:rPr>
              <w:t>.</w:t>
            </w:r>
          </w:p>
          <w:p w14:paraId="26306DF2" w14:textId="7F896916" w:rsidR="00EF3054" w:rsidRPr="00EF7D33" w:rsidRDefault="00EF3054" w:rsidP="00EF3054">
            <w:pPr>
              <w:spacing w:line="240" w:lineRule="auto"/>
              <w:rPr>
                <w:rFonts w:asciiTheme="minorHAnsi" w:eastAsia="Times New Roman" w:hAnsiTheme="minorHAnsi" w:cstheme="minorHAnsi"/>
                <w:sz w:val="20"/>
                <w:szCs w:val="20"/>
              </w:rPr>
            </w:pPr>
          </w:p>
        </w:tc>
        <w:tc>
          <w:tcPr>
            <w:tcW w:w="2410" w:type="dxa"/>
          </w:tcPr>
          <w:p w14:paraId="2AF69FE7" w14:textId="77777777" w:rsidR="00935736" w:rsidRPr="00EF7D33" w:rsidRDefault="00935736" w:rsidP="00EF3054">
            <w:pPr>
              <w:spacing w:line="240" w:lineRule="auto"/>
              <w:rPr>
                <w:rFonts w:asciiTheme="minorHAnsi" w:eastAsia="Times New Roman" w:hAnsiTheme="minorHAnsi" w:cstheme="minorHAnsi"/>
                <w:sz w:val="20"/>
                <w:szCs w:val="20"/>
              </w:rPr>
            </w:pPr>
          </w:p>
          <w:p w14:paraId="5261233B"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 xml:space="preserve">To meet exceptional spending needs or overspends which are unable to be otherwise financed at the year end. </w:t>
            </w:r>
          </w:p>
          <w:p w14:paraId="55F2180B" w14:textId="77777777" w:rsidR="00EF3054" w:rsidRPr="00EF7D33" w:rsidRDefault="00EF3054" w:rsidP="00EF3054">
            <w:pPr>
              <w:spacing w:line="240" w:lineRule="auto"/>
              <w:rPr>
                <w:rFonts w:asciiTheme="minorHAnsi" w:eastAsia="Times New Roman" w:hAnsiTheme="minorHAnsi" w:cstheme="minorHAnsi"/>
                <w:sz w:val="20"/>
                <w:szCs w:val="20"/>
              </w:rPr>
            </w:pPr>
          </w:p>
          <w:p w14:paraId="2AED0787" w14:textId="6D03CE73"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smooth the profile of revenue over a medium term financial period</w:t>
            </w:r>
            <w:r w:rsidR="00EF3054" w:rsidRPr="00EF7D33">
              <w:rPr>
                <w:rFonts w:asciiTheme="minorHAnsi" w:eastAsia="Times New Roman" w:hAnsiTheme="minorHAnsi" w:cstheme="minorHAnsi"/>
                <w:sz w:val="20"/>
                <w:szCs w:val="20"/>
              </w:rPr>
              <w:t>.</w:t>
            </w:r>
          </w:p>
          <w:p w14:paraId="363D1139" w14:textId="77777777" w:rsidR="00EF3054" w:rsidRPr="00EF7D33" w:rsidRDefault="00EF3054" w:rsidP="00EF3054">
            <w:pPr>
              <w:spacing w:line="240" w:lineRule="auto"/>
              <w:rPr>
                <w:rFonts w:asciiTheme="minorHAnsi" w:eastAsia="Times New Roman" w:hAnsiTheme="minorHAnsi" w:cstheme="minorHAnsi"/>
                <w:sz w:val="20"/>
                <w:szCs w:val="20"/>
              </w:rPr>
            </w:pPr>
          </w:p>
          <w:p w14:paraId="48540B16" w14:textId="7F474A8C"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allow higher spending without raising council tax on a one-off basis</w:t>
            </w:r>
            <w:r w:rsidR="00EF3054" w:rsidRPr="00EF7D33">
              <w:rPr>
                <w:rFonts w:asciiTheme="minorHAnsi" w:eastAsia="Times New Roman" w:hAnsiTheme="minorHAnsi" w:cstheme="minorHAnsi"/>
                <w:sz w:val="20"/>
                <w:szCs w:val="20"/>
              </w:rPr>
              <w:t>.</w:t>
            </w:r>
          </w:p>
          <w:p w14:paraId="61B204E4" w14:textId="77777777" w:rsidR="00935736" w:rsidRPr="00EF7D33" w:rsidRDefault="00935736" w:rsidP="00EF3054">
            <w:pPr>
              <w:spacing w:line="240" w:lineRule="auto"/>
              <w:rPr>
                <w:rFonts w:asciiTheme="minorHAnsi" w:eastAsia="Times New Roman" w:hAnsiTheme="minorHAnsi" w:cstheme="minorHAnsi"/>
                <w:sz w:val="20"/>
                <w:szCs w:val="20"/>
              </w:rPr>
            </w:pPr>
          </w:p>
        </w:tc>
        <w:tc>
          <w:tcPr>
            <w:tcW w:w="1745" w:type="dxa"/>
          </w:tcPr>
          <w:p w14:paraId="18AACED3" w14:textId="77777777" w:rsidR="00935736" w:rsidRPr="00EF7D33" w:rsidRDefault="00935736" w:rsidP="00EF3054">
            <w:pPr>
              <w:spacing w:line="240" w:lineRule="auto"/>
              <w:rPr>
                <w:rFonts w:asciiTheme="minorHAnsi" w:eastAsia="Times New Roman" w:hAnsiTheme="minorHAnsi" w:cstheme="minorHAnsi"/>
                <w:sz w:val="20"/>
                <w:szCs w:val="20"/>
              </w:rPr>
            </w:pPr>
          </w:p>
          <w:p w14:paraId="6BCD2847"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maintain a sustainable level of £2.0m of 5% (whichever is the higher)</w:t>
            </w:r>
          </w:p>
          <w:p w14:paraId="388F0B67" w14:textId="77777777" w:rsidR="00935736" w:rsidRPr="00EF7D33" w:rsidRDefault="00935736" w:rsidP="00EF3054">
            <w:pPr>
              <w:spacing w:line="240" w:lineRule="auto"/>
              <w:rPr>
                <w:rFonts w:asciiTheme="minorHAnsi" w:eastAsia="Times New Roman" w:hAnsiTheme="minorHAnsi" w:cstheme="minorHAnsi"/>
                <w:sz w:val="20"/>
                <w:szCs w:val="20"/>
              </w:rPr>
            </w:pPr>
          </w:p>
        </w:tc>
        <w:tc>
          <w:tcPr>
            <w:tcW w:w="3691" w:type="dxa"/>
          </w:tcPr>
          <w:p w14:paraId="79EF7B49" w14:textId="77777777" w:rsidR="00935736" w:rsidRPr="00EF7D33" w:rsidRDefault="00935736" w:rsidP="00EF3054">
            <w:pPr>
              <w:spacing w:line="240" w:lineRule="auto"/>
              <w:rPr>
                <w:rFonts w:asciiTheme="minorHAnsi" w:eastAsia="Times New Roman" w:hAnsiTheme="minorHAnsi" w:cstheme="minorHAnsi"/>
                <w:sz w:val="20"/>
                <w:szCs w:val="20"/>
              </w:rPr>
            </w:pPr>
          </w:p>
          <w:p w14:paraId="7359899D"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The general reserve is held at a level which reflects risk, uncertainties and volatility.</w:t>
            </w:r>
          </w:p>
          <w:p w14:paraId="796C7775" w14:textId="77777777" w:rsidR="00EF3054" w:rsidRPr="00EF7D33" w:rsidRDefault="00EF3054" w:rsidP="00EF3054">
            <w:pPr>
              <w:spacing w:line="240" w:lineRule="auto"/>
              <w:rPr>
                <w:rFonts w:asciiTheme="minorHAnsi" w:eastAsia="Times New Roman" w:hAnsiTheme="minorHAnsi" w:cstheme="minorHAnsi"/>
                <w:sz w:val="20"/>
                <w:szCs w:val="20"/>
              </w:rPr>
            </w:pPr>
          </w:p>
          <w:p w14:paraId="4D015408" w14:textId="5FCA92BE"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If no reserve is held there may be insufficient resources available for major catastrophe, which could jeopardise financial status and reputation of NCFRA.</w:t>
            </w:r>
          </w:p>
          <w:p w14:paraId="320076A8" w14:textId="77777777" w:rsidR="00EF3054" w:rsidRPr="00EF7D33" w:rsidRDefault="00EF3054" w:rsidP="00EF3054">
            <w:pPr>
              <w:spacing w:line="240" w:lineRule="auto"/>
              <w:rPr>
                <w:rFonts w:asciiTheme="minorHAnsi" w:eastAsia="Times New Roman" w:hAnsiTheme="minorHAnsi" w:cstheme="minorHAnsi"/>
                <w:sz w:val="20"/>
                <w:szCs w:val="20"/>
              </w:rPr>
            </w:pPr>
          </w:p>
          <w:p w14:paraId="3A79E2FC" w14:textId="0D740B5F" w:rsidR="00935736" w:rsidRPr="00EF7D33" w:rsidRDefault="00935736" w:rsidP="00EF3054">
            <w:pPr>
              <w:spacing w:line="240" w:lineRule="auto"/>
              <w:rPr>
                <w:rFonts w:asciiTheme="minorHAnsi" w:eastAsia="Times New Roman" w:hAnsiTheme="minorHAnsi" w:cstheme="minorHAnsi"/>
                <w:sz w:val="20"/>
                <w:szCs w:val="20"/>
              </w:rPr>
            </w:pPr>
          </w:p>
        </w:tc>
        <w:tc>
          <w:tcPr>
            <w:tcW w:w="1332" w:type="dxa"/>
          </w:tcPr>
          <w:p w14:paraId="62B53F90" w14:textId="0B96FD23" w:rsidR="00935736" w:rsidRPr="00EF7D33" w:rsidRDefault="00935736" w:rsidP="00EF3054">
            <w:pPr>
              <w:spacing w:line="240" w:lineRule="auto"/>
              <w:rPr>
                <w:rFonts w:asciiTheme="minorHAnsi" w:eastAsia="Times New Roman" w:hAnsiTheme="minorHAnsi" w:cstheme="minorHAnsi"/>
                <w:sz w:val="20"/>
                <w:szCs w:val="20"/>
              </w:rPr>
            </w:pPr>
          </w:p>
          <w:p w14:paraId="5E546CA6"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 xml:space="preserve">PFCC, on advice from PFCC CFO </w:t>
            </w:r>
          </w:p>
        </w:tc>
        <w:tc>
          <w:tcPr>
            <w:tcW w:w="973" w:type="dxa"/>
          </w:tcPr>
          <w:p w14:paraId="666E791C" w14:textId="77777777" w:rsidR="00935736" w:rsidRPr="00EF7D33" w:rsidRDefault="00935736" w:rsidP="00EF3054">
            <w:pPr>
              <w:spacing w:line="240" w:lineRule="auto"/>
              <w:rPr>
                <w:rFonts w:asciiTheme="minorHAnsi" w:eastAsia="Times New Roman" w:hAnsiTheme="minorHAnsi" w:cstheme="minorHAnsi"/>
                <w:sz w:val="20"/>
                <w:szCs w:val="20"/>
              </w:rPr>
            </w:pPr>
          </w:p>
          <w:p w14:paraId="37290FEC"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Annual</w:t>
            </w:r>
          </w:p>
        </w:tc>
      </w:tr>
      <w:tr w:rsidR="00935736" w:rsidRPr="00450555" w14:paraId="08CC6F6E" w14:textId="77777777" w:rsidTr="00935736">
        <w:trPr>
          <w:cantSplit/>
          <w:jc w:val="center"/>
        </w:trPr>
        <w:tc>
          <w:tcPr>
            <w:tcW w:w="1837" w:type="dxa"/>
          </w:tcPr>
          <w:p w14:paraId="73BEDF78" w14:textId="77777777" w:rsidR="00935736" w:rsidRPr="00EF7D33" w:rsidRDefault="00935736" w:rsidP="00EF3054">
            <w:pPr>
              <w:spacing w:line="240" w:lineRule="auto"/>
              <w:rPr>
                <w:rFonts w:asciiTheme="minorHAnsi" w:eastAsia="Times New Roman" w:hAnsiTheme="minorHAnsi" w:cstheme="minorHAnsi"/>
                <w:b/>
                <w:bCs/>
                <w:sz w:val="20"/>
                <w:szCs w:val="20"/>
              </w:rPr>
            </w:pPr>
          </w:p>
          <w:p w14:paraId="7C8FF102" w14:textId="77777777" w:rsidR="00935736" w:rsidRPr="00EF7D33" w:rsidRDefault="00935736" w:rsidP="00EF3054">
            <w:pPr>
              <w:spacing w:line="240" w:lineRule="auto"/>
              <w:rPr>
                <w:rFonts w:asciiTheme="minorHAnsi" w:eastAsia="Times New Roman" w:hAnsiTheme="minorHAnsi" w:cstheme="minorHAnsi"/>
                <w:b/>
                <w:bCs/>
                <w:sz w:val="20"/>
                <w:szCs w:val="20"/>
              </w:rPr>
            </w:pPr>
            <w:r w:rsidRPr="00EF7D33">
              <w:rPr>
                <w:rFonts w:asciiTheme="minorHAnsi" w:eastAsia="Times New Roman" w:hAnsiTheme="minorHAnsi" w:cstheme="minorHAnsi"/>
                <w:b/>
                <w:bCs/>
                <w:sz w:val="20"/>
                <w:szCs w:val="20"/>
              </w:rPr>
              <w:t xml:space="preserve">EARMARKED - INSURANCE </w:t>
            </w:r>
          </w:p>
          <w:p w14:paraId="391DC1A7" w14:textId="77777777" w:rsidR="00935736" w:rsidRPr="00EF7D33" w:rsidRDefault="00935736" w:rsidP="00EF3054">
            <w:pPr>
              <w:spacing w:line="240" w:lineRule="auto"/>
              <w:rPr>
                <w:rFonts w:asciiTheme="minorHAnsi" w:eastAsia="Times New Roman" w:hAnsiTheme="minorHAnsi" w:cstheme="minorHAnsi"/>
                <w:b/>
                <w:bCs/>
                <w:sz w:val="20"/>
                <w:szCs w:val="20"/>
              </w:rPr>
            </w:pPr>
          </w:p>
          <w:p w14:paraId="459AFB1C" w14:textId="77777777" w:rsidR="00935736" w:rsidRPr="00EF7D33" w:rsidRDefault="00935736" w:rsidP="00EF3054">
            <w:pPr>
              <w:spacing w:line="240" w:lineRule="auto"/>
              <w:rPr>
                <w:rFonts w:asciiTheme="minorHAnsi" w:eastAsia="Times New Roman" w:hAnsiTheme="minorHAnsi" w:cstheme="minorHAnsi"/>
                <w:b/>
                <w:bCs/>
                <w:sz w:val="20"/>
                <w:szCs w:val="20"/>
              </w:rPr>
            </w:pPr>
          </w:p>
        </w:tc>
        <w:tc>
          <w:tcPr>
            <w:tcW w:w="3261" w:type="dxa"/>
          </w:tcPr>
          <w:p w14:paraId="65A03A09" w14:textId="77777777" w:rsidR="00935736" w:rsidRPr="00EF7D33" w:rsidRDefault="00935736" w:rsidP="00EF3054">
            <w:pPr>
              <w:spacing w:line="240" w:lineRule="auto"/>
              <w:rPr>
                <w:rFonts w:asciiTheme="minorHAnsi" w:eastAsia="Times New Roman" w:hAnsiTheme="minorHAnsi" w:cstheme="minorHAnsi"/>
                <w:sz w:val="20"/>
                <w:szCs w:val="20"/>
              </w:rPr>
            </w:pPr>
          </w:p>
          <w:p w14:paraId="4EDF5571"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cover the potential and contingent liabilities of uninsured risks as assessed annually by our insurers based on claims outstanding.</w:t>
            </w:r>
          </w:p>
        </w:tc>
        <w:tc>
          <w:tcPr>
            <w:tcW w:w="2410" w:type="dxa"/>
          </w:tcPr>
          <w:p w14:paraId="68DDB8A6" w14:textId="77777777" w:rsidR="00935736" w:rsidRPr="00EF7D33" w:rsidRDefault="00935736" w:rsidP="00EF3054">
            <w:pPr>
              <w:spacing w:line="240" w:lineRule="auto"/>
              <w:rPr>
                <w:rFonts w:asciiTheme="minorHAnsi" w:eastAsia="Times New Roman" w:hAnsiTheme="minorHAnsi" w:cstheme="minorHAnsi"/>
                <w:sz w:val="20"/>
                <w:szCs w:val="20"/>
              </w:rPr>
            </w:pPr>
          </w:p>
          <w:p w14:paraId="1D01A806" w14:textId="2E6F4994" w:rsidR="00935736" w:rsidRPr="00EF7D33" w:rsidRDefault="00EF7D33" w:rsidP="00EF3054">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The b</w:t>
            </w:r>
            <w:r w:rsidR="00935736" w:rsidRPr="00EF7D33">
              <w:rPr>
                <w:rFonts w:asciiTheme="minorHAnsi" w:eastAsia="Times New Roman" w:hAnsiTheme="minorHAnsi" w:cstheme="minorHAnsi"/>
                <w:sz w:val="20"/>
                <w:szCs w:val="20"/>
              </w:rPr>
              <w:t xml:space="preserve">alance </w:t>
            </w:r>
            <w:r>
              <w:rPr>
                <w:rFonts w:asciiTheme="minorHAnsi" w:eastAsia="Times New Roman" w:hAnsiTheme="minorHAnsi" w:cstheme="minorHAnsi"/>
                <w:sz w:val="20"/>
                <w:szCs w:val="20"/>
              </w:rPr>
              <w:t>may</w:t>
            </w:r>
            <w:r w:rsidR="00935736" w:rsidRPr="00EF7D33">
              <w:rPr>
                <w:rFonts w:asciiTheme="minorHAnsi" w:eastAsia="Times New Roman" w:hAnsiTheme="minorHAnsi" w:cstheme="minorHAnsi"/>
                <w:sz w:val="20"/>
                <w:szCs w:val="20"/>
              </w:rPr>
              <w:t xml:space="preserve"> increase or reduce annually dependent on the NCFRA outstanding claims record.</w:t>
            </w:r>
          </w:p>
          <w:p w14:paraId="14EC7989" w14:textId="79523A51"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 xml:space="preserve">Established in 2018/19 following advice from legal service advisors. </w:t>
            </w:r>
          </w:p>
          <w:p w14:paraId="1A8C882C"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Level of reserve reviewed annually with the legal services advisers.</w:t>
            </w:r>
          </w:p>
          <w:p w14:paraId="4EFF29A7" w14:textId="094AEDAC" w:rsidR="00EF3054" w:rsidRPr="00EF7D33" w:rsidRDefault="00EF3054" w:rsidP="00EF3054">
            <w:pPr>
              <w:spacing w:line="240" w:lineRule="auto"/>
              <w:rPr>
                <w:rFonts w:asciiTheme="minorHAnsi" w:eastAsia="Times New Roman" w:hAnsiTheme="minorHAnsi" w:cstheme="minorHAnsi"/>
                <w:sz w:val="20"/>
                <w:szCs w:val="20"/>
              </w:rPr>
            </w:pPr>
          </w:p>
        </w:tc>
        <w:tc>
          <w:tcPr>
            <w:tcW w:w="1745" w:type="dxa"/>
          </w:tcPr>
          <w:p w14:paraId="2DEDBDF1" w14:textId="77777777" w:rsidR="00935736" w:rsidRPr="00EF7D33" w:rsidRDefault="00935736" w:rsidP="00EF3054">
            <w:pPr>
              <w:spacing w:line="240" w:lineRule="auto"/>
              <w:rPr>
                <w:rFonts w:asciiTheme="minorHAnsi" w:eastAsia="Times New Roman" w:hAnsiTheme="minorHAnsi" w:cstheme="minorHAnsi"/>
                <w:sz w:val="20"/>
                <w:szCs w:val="20"/>
              </w:rPr>
            </w:pPr>
          </w:p>
          <w:p w14:paraId="149C8AF7" w14:textId="633ADD14" w:rsidR="00935736" w:rsidRPr="00EF7D33" w:rsidRDefault="00EF7D33" w:rsidP="00EF3054">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935736" w:rsidRPr="00EF7D33">
              <w:rPr>
                <w:rFonts w:asciiTheme="minorHAnsi" w:eastAsia="Times New Roman" w:hAnsiTheme="minorHAnsi" w:cstheme="minorHAnsi"/>
                <w:sz w:val="20"/>
                <w:szCs w:val="20"/>
              </w:rPr>
              <w:t xml:space="preserve"> according to annual risk assessment</w:t>
            </w:r>
            <w:r w:rsidR="00EF3054" w:rsidRPr="00EF7D33">
              <w:rPr>
                <w:rFonts w:asciiTheme="minorHAnsi" w:eastAsia="Times New Roman" w:hAnsiTheme="minorHAnsi" w:cstheme="minorHAnsi"/>
                <w:sz w:val="20"/>
                <w:szCs w:val="20"/>
              </w:rPr>
              <w:t>.</w:t>
            </w:r>
          </w:p>
          <w:p w14:paraId="548BD2FC" w14:textId="77777777" w:rsidR="00935736" w:rsidRPr="00EF7D33" w:rsidRDefault="00935736" w:rsidP="00EF3054">
            <w:pPr>
              <w:spacing w:line="240" w:lineRule="auto"/>
              <w:rPr>
                <w:rFonts w:asciiTheme="minorHAnsi" w:eastAsia="Times New Roman" w:hAnsiTheme="minorHAnsi" w:cstheme="minorHAnsi"/>
                <w:sz w:val="20"/>
                <w:szCs w:val="20"/>
              </w:rPr>
            </w:pPr>
          </w:p>
          <w:p w14:paraId="132A02AA" w14:textId="77777777" w:rsidR="00935736" w:rsidRPr="00EF7D33" w:rsidRDefault="00935736" w:rsidP="00EF3054">
            <w:pPr>
              <w:spacing w:line="240" w:lineRule="auto"/>
              <w:rPr>
                <w:rFonts w:asciiTheme="minorHAnsi" w:eastAsia="Times New Roman" w:hAnsiTheme="minorHAnsi" w:cstheme="minorHAnsi"/>
                <w:sz w:val="20"/>
                <w:szCs w:val="20"/>
              </w:rPr>
            </w:pPr>
          </w:p>
        </w:tc>
        <w:tc>
          <w:tcPr>
            <w:tcW w:w="3691" w:type="dxa"/>
          </w:tcPr>
          <w:p w14:paraId="20435645" w14:textId="77777777" w:rsidR="00935736" w:rsidRPr="00EF7D33" w:rsidRDefault="00935736" w:rsidP="00EF3054">
            <w:pPr>
              <w:spacing w:line="240" w:lineRule="auto"/>
              <w:rPr>
                <w:rFonts w:asciiTheme="minorHAnsi" w:eastAsia="Times New Roman" w:hAnsiTheme="minorHAnsi" w:cstheme="minorHAnsi"/>
                <w:sz w:val="20"/>
                <w:szCs w:val="20"/>
              </w:rPr>
            </w:pPr>
          </w:p>
          <w:p w14:paraId="4DE01C76" w14:textId="77777777" w:rsid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The reserve is held to cover potential uninsured risks.</w:t>
            </w:r>
            <w:r w:rsidR="00EF7D33">
              <w:rPr>
                <w:rFonts w:asciiTheme="minorHAnsi" w:eastAsia="Times New Roman" w:hAnsiTheme="minorHAnsi" w:cstheme="minorHAnsi"/>
                <w:sz w:val="20"/>
                <w:szCs w:val="20"/>
              </w:rPr>
              <w:t xml:space="preserve"> </w:t>
            </w:r>
          </w:p>
          <w:p w14:paraId="27E76741" w14:textId="77777777" w:rsidR="00EF7D33" w:rsidRDefault="00EF7D33" w:rsidP="00EF3054">
            <w:pPr>
              <w:spacing w:line="240" w:lineRule="auto"/>
              <w:rPr>
                <w:rFonts w:asciiTheme="minorHAnsi" w:eastAsia="Times New Roman" w:hAnsiTheme="minorHAnsi" w:cstheme="minorHAnsi"/>
                <w:sz w:val="20"/>
                <w:szCs w:val="20"/>
              </w:rPr>
            </w:pPr>
          </w:p>
          <w:p w14:paraId="16D3E614" w14:textId="29B0B695" w:rsidR="00935736"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 xml:space="preserve">If no reserve is held the NCFRA is potentially open to significant excess and claims payments in year beyond available revenue budgets which would fall on the general reserve. </w:t>
            </w:r>
          </w:p>
          <w:p w14:paraId="5127716F" w14:textId="77777777" w:rsidR="00EF7D33" w:rsidRPr="00EF7D33" w:rsidRDefault="00EF7D33" w:rsidP="00EF3054">
            <w:pPr>
              <w:spacing w:line="240" w:lineRule="auto"/>
              <w:rPr>
                <w:rFonts w:asciiTheme="minorHAnsi" w:eastAsia="Times New Roman" w:hAnsiTheme="minorHAnsi" w:cstheme="minorHAnsi"/>
                <w:sz w:val="20"/>
                <w:szCs w:val="20"/>
              </w:rPr>
            </w:pPr>
          </w:p>
          <w:p w14:paraId="017ED7FB" w14:textId="5A2E5B1D"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Assessment by insurers needs to be realistic not unduly pessimistic.</w:t>
            </w:r>
          </w:p>
        </w:tc>
        <w:tc>
          <w:tcPr>
            <w:tcW w:w="1332" w:type="dxa"/>
          </w:tcPr>
          <w:p w14:paraId="4DB4E390" w14:textId="7105AB05" w:rsidR="00935736" w:rsidRPr="00EF7D33" w:rsidRDefault="00935736" w:rsidP="00EF3054">
            <w:pPr>
              <w:spacing w:line="240" w:lineRule="auto"/>
              <w:rPr>
                <w:rFonts w:asciiTheme="minorHAnsi" w:eastAsia="Times New Roman" w:hAnsiTheme="minorHAnsi" w:cstheme="minorHAnsi"/>
                <w:sz w:val="20"/>
                <w:szCs w:val="20"/>
              </w:rPr>
            </w:pPr>
          </w:p>
          <w:p w14:paraId="2F8AE0CF" w14:textId="62943AB9"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PFCC, on advice from PFCC CFO</w:t>
            </w:r>
          </w:p>
        </w:tc>
        <w:tc>
          <w:tcPr>
            <w:tcW w:w="973" w:type="dxa"/>
          </w:tcPr>
          <w:p w14:paraId="3347D3F4" w14:textId="77777777" w:rsidR="00935736" w:rsidRPr="00EF7D33" w:rsidRDefault="00935736" w:rsidP="00EF3054">
            <w:pPr>
              <w:spacing w:line="240" w:lineRule="auto"/>
              <w:rPr>
                <w:rFonts w:asciiTheme="minorHAnsi" w:eastAsia="Times New Roman" w:hAnsiTheme="minorHAnsi" w:cstheme="minorHAnsi"/>
                <w:sz w:val="20"/>
                <w:szCs w:val="20"/>
              </w:rPr>
            </w:pPr>
          </w:p>
          <w:p w14:paraId="659B1047"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Annual</w:t>
            </w:r>
          </w:p>
        </w:tc>
      </w:tr>
      <w:tr w:rsidR="00EF3054" w:rsidRPr="00450555" w14:paraId="278A1005" w14:textId="77777777" w:rsidTr="00935736">
        <w:trPr>
          <w:cantSplit/>
          <w:jc w:val="center"/>
        </w:trPr>
        <w:tc>
          <w:tcPr>
            <w:tcW w:w="1837" w:type="dxa"/>
          </w:tcPr>
          <w:p w14:paraId="4A52A553" w14:textId="77777777" w:rsidR="00EF3054" w:rsidRPr="00EF7D33" w:rsidRDefault="00EF3054" w:rsidP="00EF3054">
            <w:pPr>
              <w:spacing w:line="240" w:lineRule="auto"/>
              <w:rPr>
                <w:rFonts w:asciiTheme="minorHAnsi" w:eastAsia="Times New Roman" w:hAnsiTheme="minorHAnsi" w:cstheme="minorHAnsi"/>
                <w:b/>
                <w:bCs/>
                <w:sz w:val="20"/>
                <w:szCs w:val="20"/>
              </w:rPr>
            </w:pPr>
          </w:p>
          <w:p w14:paraId="6F78A7C1" w14:textId="5F9D331F" w:rsidR="00EF3054" w:rsidRPr="00EF7D33" w:rsidRDefault="00EF3054" w:rsidP="00EF3054">
            <w:pPr>
              <w:rPr>
                <w:rFonts w:asciiTheme="minorHAnsi" w:hAnsiTheme="minorHAnsi" w:cstheme="minorHAnsi"/>
                <w:b/>
                <w:bCs/>
                <w:sz w:val="20"/>
                <w:szCs w:val="20"/>
              </w:rPr>
            </w:pPr>
            <w:r w:rsidRPr="00EF7D33">
              <w:rPr>
                <w:rFonts w:asciiTheme="minorHAnsi" w:eastAsia="Times New Roman" w:hAnsiTheme="minorHAnsi" w:cstheme="minorHAnsi"/>
                <w:b/>
                <w:bCs/>
                <w:sz w:val="20"/>
                <w:szCs w:val="20"/>
              </w:rPr>
              <w:t>EARMARKED - OPERATIONAL EQUIPMENT</w:t>
            </w:r>
          </w:p>
        </w:tc>
        <w:tc>
          <w:tcPr>
            <w:tcW w:w="3261" w:type="dxa"/>
          </w:tcPr>
          <w:p w14:paraId="7B113232" w14:textId="77777777" w:rsidR="00EF3054" w:rsidRPr="00EF7D33" w:rsidRDefault="00EF3054" w:rsidP="00EF3054">
            <w:pPr>
              <w:spacing w:line="240" w:lineRule="auto"/>
              <w:rPr>
                <w:rFonts w:asciiTheme="minorHAnsi" w:eastAsia="Times New Roman" w:hAnsiTheme="minorHAnsi" w:cstheme="minorHAnsi"/>
                <w:sz w:val="20"/>
                <w:szCs w:val="20"/>
              </w:rPr>
            </w:pPr>
          </w:p>
          <w:p w14:paraId="64F74972" w14:textId="5DBF939C" w:rsidR="00EF3054" w:rsidRPr="00EF7D33" w:rsidRDefault="00EF3054" w:rsidP="00EF3054">
            <w:pPr>
              <w:rPr>
                <w:rFonts w:asciiTheme="minorHAnsi" w:hAnsiTheme="minorHAnsi" w:cstheme="minorHAnsi"/>
                <w:sz w:val="20"/>
                <w:szCs w:val="20"/>
              </w:rPr>
            </w:pPr>
            <w:r w:rsidRPr="00EF7D33">
              <w:rPr>
                <w:rFonts w:asciiTheme="minorHAnsi" w:eastAsia="Times New Roman" w:hAnsiTheme="minorHAnsi" w:cstheme="minorHAnsi"/>
                <w:sz w:val="20"/>
                <w:szCs w:val="20"/>
              </w:rPr>
              <w:t>To smooth the impact of operational equipment purchases on the revenue budget</w:t>
            </w:r>
          </w:p>
        </w:tc>
        <w:tc>
          <w:tcPr>
            <w:tcW w:w="2410" w:type="dxa"/>
          </w:tcPr>
          <w:p w14:paraId="198EB3CC" w14:textId="77777777" w:rsidR="00EF3054" w:rsidRPr="00EF7D33" w:rsidRDefault="00EF3054" w:rsidP="00EF3054">
            <w:pPr>
              <w:spacing w:line="240" w:lineRule="auto"/>
              <w:rPr>
                <w:rFonts w:asciiTheme="minorHAnsi" w:eastAsia="Times New Roman" w:hAnsiTheme="minorHAnsi" w:cstheme="minorHAnsi"/>
                <w:sz w:val="20"/>
                <w:szCs w:val="20"/>
              </w:rPr>
            </w:pPr>
          </w:p>
          <w:p w14:paraId="2414F1EF" w14:textId="129450B6" w:rsidR="00EF3054" w:rsidRPr="00EF7D33" w:rsidRDefault="00EF3054" w:rsidP="00EF3054">
            <w:pPr>
              <w:rPr>
                <w:rFonts w:asciiTheme="minorHAnsi" w:hAnsiTheme="minorHAnsi" w:cstheme="minorHAnsi"/>
                <w:sz w:val="20"/>
                <w:szCs w:val="20"/>
              </w:rPr>
            </w:pPr>
            <w:r w:rsidRPr="00EF7D33">
              <w:rPr>
                <w:rFonts w:asciiTheme="minorHAnsi" w:eastAsia="Times New Roman" w:hAnsiTheme="minorHAnsi" w:cstheme="minorHAnsi"/>
                <w:sz w:val="20"/>
                <w:szCs w:val="20"/>
              </w:rPr>
              <w:t>To access the funds a costed request has to be provided.</w:t>
            </w:r>
          </w:p>
        </w:tc>
        <w:tc>
          <w:tcPr>
            <w:tcW w:w="1745" w:type="dxa"/>
          </w:tcPr>
          <w:p w14:paraId="5EE9010D" w14:textId="77777777" w:rsidR="00EF3054" w:rsidRPr="00EF7D33" w:rsidRDefault="00EF3054" w:rsidP="00EF3054">
            <w:pPr>
              <w:spacing w:line="240" w:lineRule="auto"/>
              <w:rPr>
                <w:rFonts w:asciiTheme="minorHAnsi" w:eastAsia="Times New Roman" w:hAnsiTheme="minorHAnsi" w:cstheme="minorHAnsi"/>
                <w:sz w:val="20"/>
                <w:szCs w:val="20"/>
              </w:rPr>
            </w:pPr>
          </w:p>
          <w:p w14:paraId="2BDA2CA3" w14:textId="7728AC70" w:rsidR="00EF3054" w:rsidRPr="00EF7D33" w:rsidRDefault="00EF7D33" w:rsidP="00EF3054">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EF3054" w:rsidRPr="00EF7D33">
              <w:rPr>
                <w:rFonts w:asciiTheme="minorHAnsi" w:eastAsia="Times New Roman" w:hAnsiTheme="minorHAnsi" w:cstheme="minorHAnsi"/>
                <w:sz w:val="20"/>
                <w:szCs w:val="20"/>
              </w:rPr>
              <w:t xml:space="preserve"> according to usage and annual risk assessment.</w:t>
            </w:r>
          </w:p>
          <w:p w14:paraId="25082D2B" w14:textId="77777777" w:rsidR="00EF3054" w:rsidRPr="00EF7D33" w:rsidRDefault="00EF3054" w:rsidP="00EF3054">
            <w:pPr>
              <w:rPr>
                <w:rFonts w:asciiTheme="minorHAnsi" w:hAnsiTheme="minorHAnsi" w:cstheme="minorHAnsi"/>
                <w:sz w:val="20"/>
                <w:szCs w:val="20"/>
              </w:rPr>
            </w:pPr>
          </w:p>
        </w:tc>
        <w:tc>
          <w:tcPr>
            <w:tcW w:w="3691" w:type="dxa"/>
          </w:tcPr>
          <w:p w14:paraId="50857474" w14:textId="77777777" w:rsidR="00EF3054" w:rsidRPr="00EF7D33" w:rsidRDefault="00EF3054" w:rsidP="00EF3054">
            <w:pPr>
              <w:spacing w:line="240" w:lineRule="auto"/>
              <w:rPr>
                <w:rFonts w:asciiTheme="minorHAnsi" w:eastAsia="Times New Roman" w:hAnsiTheme="minorHAnsi" w:cstheme="minorHAnsi"/>
                <w:sz w:val="20"/>
                <w:szCs w:val="20"/>
              </w:rPr>
            </w:pPr>
          </w:p>
          <w:p w14:paraId="2AD163E1" w14:textId="77777777" w:rsidR="00EF3054" w:rsidRPr="00EF7D33" w:rsidRDefault="00EF3054"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The reserve is held to smooth the impact of operational equipment replacement rather than have significant variations in the budget.</w:t>
            </w:r>
          </w:p>
          <w:p w14:paraId="3DF16B22" w14:textId="77777777" w:rsidR="00EF3054" w:rsidRPr="00EF7D33" w:rsidRDefault="00EF3054" w:rsidP="00EF3054">
            <w:pPr>
              <w:spacing w:line="240" w:lineRule="auto"/>
              <w:rPr>
                <w:rFonts w:asciiTheme="minorHAnsi" w:eastAsia="Times New Roman" w:hAnsiTheme="minorHAnsi" w:cstheme="minorHAnsi"/>
                <w:sz w:val="20"/>
                <w:szCs w:val="20"/>
              </w:rPr>
            </w:pPr>
          </w:p>
          <w:p w14:paraId="7F315197" w14:textId="77777777" w:rsidR="00EF3054" w:rsidRPr="00EF7D33" w:rsidRDefault="00EF3054"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If no reserve is held, the risk is that equipment would have to be replaced from the current year’s budget or capital programme.</w:t>
            </w:r>
          </w:p>
          <w:p w14:paraId="2CFB56F3" w14:textId="3C9A1C02" w:rsidR="00EF3054" w:rsidRPr="00EF7D33" w:rsidRDefault="00EF3054" w:rsidP="00EF3054">
            <w:pPr>
              <w:spacing w:line="240" w:lineRule="auto"/>
              <w:rPr>
                <w:rFonts w:asciiTheme="minorHAnsi" w:eastAsia="Times New Roman" w:hAnsiTheme="minorHAnsi" w:cstheme="minorHAnsi"/>
                <w:sz w:val="20"/>
                <w:szCs w:val="20"/>
              </w:rPr>
            </w:pPr>
          </w:p>
        </w:tc>
        <w:tc>
          <w:tcPr>
            <w:tcW w:w="1332" w:type="dxa"/>
          </w:tcPr>
          <w:p w14:paraId="306D66CE" w14:textId="77777777" w:rsidR="00EF3054" w:rsidRPr="00EF7D33" w:rsidRDefault="00EF3054" w:rsidP="00EF3054">
            <w:pPr>
              <w:spacing w:line="240" w:lineRule="auto"/>
              <w:rPr>
                <w:rFonts w:asciiTheme="minorHAnsi" w:eastAsia="Times New Roman" w:hAnsiTheme="minorHAnsi" w:cstheme="minorHAnsi"/>
                <w:sz w:val="20"/>
                <w:szCs w:val="20"/>
              </w:rPr>
            </w:pPr>
          </w:p>
          <w:p w14:paraId="782D167E" w14:textId="700DBB82" w:rsidR="00EF3054" w:rsidRPr="00EF7D33" w:rsidRDefault="00EF3054" w:rsidP="00EF3054">
            <w:pPr>
              <w:rPr>
                <w:rFonts w:asciiTheme="minorHAnsi" w:hAnsiTheme="minorHAnsi" w:cstheme="minorHAnsi"/>
                <w:sz w:val="20"/>
                <w:szCs w:val="20"/>
              </w:rPr>
            </w:pPr>
            <w:r w:rsidRPr="00EF7D33">
              <w:rPr>
                <w:rFonts w:asciiTheme="minorHAnsi" w:eastAsia="Times New Roman" w:hAnsiTheme="minorHAnsi" w:cstheme="minorHAnsi"/>
                <w:sz w:val="20"/>
                <w:szCs w:val="20"/>
              </w:rPr>
              <w:t>PFCC, on advice from PFCC CFO</w:t>
            </w:r>
          </w:p>
        </w:tc>
        <w:tc>
          <w:tcPr>
            <w:tcW w:w="973" w:type="dxa"/>
          </w:tcPr>
          <w:p w14:paraId="696AA212" w14:textId="77777777" w:rsidR="00EF3054" w:rsidRPr="00EF7D33" w:rsidRDefault="00EF3054" w:rsidP="00EF3054">
            <w:pPr>
              <w:spacing w:line="240" w:lineRule="auto"/>
              <w:rPr>
                <w:rFonts w:asciiTheme="minorHAnsi" w:eastAsia="Times New Roman" w:hAnsiTheme="minorHAnsi" w:cstheme="minorHAnsi"/>
                <w:sz w:val="20"/>
                <w:szCs w:val="20"/>
              </w:rPr>
            </w:pPr>
          </w:p>
          <w:p w14:paraId="7D9DBDDF" w14:textId="3AD876A3" w:rsidR="00EF3054" w:rsidRPr="00EF7D33" w:rsidRDefault="00EF3054" w:rsidP="00EF3054">
            <w:pPr>
              <w:rPr>
                <w:rFonts w:asciiTheme="minorHAnsi" w:hAnsiTheme="minorHAnsi" w:cstheme="minorHAnsi"/>
                <w:sz w:val="20"/>
                <w:szCs w:val="20"/>
              </w:rPr>
            </w:pPr>
            <w:r w:rsidRPr="00EF7D33">
              <w:rPr>
                <w:rFonts w:asciiTheme="minorHAnsi" w:eastAsia="Times New Roman" w:hAnsiTheme="minorHAnsi" w:cstheme="minorHAnsi"/>
                <w:sz w:val="20"/>
                <w:szCs w:val="20"/>
              </w:rPr>
              <w:t>Annual</w:t>
            </w:r>
          </w:p>
        </w:tc>
      </w:tr>
      <w:tr w:rsidR="00935736" w:rsidRPr="00450555" w14:paraId="524BC5F5" w14:textId="77777777" w:rsidTr="00935736">
        <w:trPr>
          <w:cantSplit/>
          <w:jc w:val="center"/>
        </w:trPr>
        <w:tc>
          <w:tcPr>
            <w:tcW w:w="1837" w:type="dxa"/>
          </w:tcPr>
          <w:p w14:paraId="76955AF7" w14:textId="77777777" w:rsidR="00935736" w:rsidRPr="00EF7D33" w:rsidRDefault="00935736" w:rsidP="00EF3054">
            <w:pPr>
              <w:spacing w:line="240" w:lineRule="auto"/>
              <w:rPr>
                <w:rFonts w:asciiTheme="minorHAnsi" w:eastAsia="Times New Roman" w:hAnsiTheme="minorHAnsi" w:cstheme="minorHAnsi"/>
                <w:b/>
                <w:bCs/>
                <w:sz w:val="20"/>
                <w:szCs w:val="20"/>
              </w:rPr>
            </w:pPr>
          </w:p>
          <w:p w14:paraId="5ACFBD0D" w14:textId="77777777" w:rsidR="00935736" w:rsidRPr="00EF7D33" w:rsidRDefault="00935736" w:rsidP="00EF3054">
            <w:pPr>
              <w:spacing w:line="240" w:lineRule="auto"/>
              <w:rPr>
                <w:rFonts w:asciiTheme="minorHAnsi" w:eastAsia="Times New Roman" w:hAnsiTheme="minorHAnsi" w:cstheme="minorHAnsi"/>
                <w:b/>
                <w:bCs/>
                <w:sz w:val="20"/>
                <w:szCs w:val="20"/>
              </w:rPr>
            </w:pPr>
            <w:r w:rsidRPr="00EF7D33">
              <w:rPr>
                <w:rFonts w:asciiTheme="minorHAnsi" w:eastAsia="Times New Roman" w:hAnsiTheme="minorHAnsi" w:cstheme="minorHAnsi"/>
                <w:b/>
                <w:bCs/>
                <w:sz w:val="20"/>
                <w:szCs w:val="20"/>
              </w:rPr>
              <w:t>EARMARKED – CARRY FORWARDS</w:t>
            </w:r>
          </w:p>
          <w:p w14:paraId="6E94775C" w14:textId="77777777" w:rsidR="00935736" w:rsidRPr="00EF7D33" w:rsidRDefault="00935736" w:rsidP="00EF3054">
            <w:pPr>
              <w:spacing w:line="240" w:lineRule="auto"/>
              <w:rPr>
                <w:rFonts w:asciiTheme="minorHAnsi" w:eastAsia="Times New Roman" w:hAnsiTheme="minorHAnsi" w:cstheme="minorHAnsi"/>
                <w:b/>
                <w:bCs/>
                <w:sz w:val="20"/>
                <w:szCs w:val="20"/>
              </w:rPr>
            </w:pPr>
          </w:p>
        </w:tc>
        <w:tc>
          <w:tcPr>
            <w:tcW w:w="3261" w:type="dxa"/>
          </w:tcPr>
          <w:p w14:paraId="50B3E3E1" w14:textId="77777777" w:rsidR="00935736" w:rsidRPr="00EF7D33" w:rsidRDefault="00935736" w:rsidP="00EF3054">
            <w:pPr>
              <w:spacing w:line="240" w:lineRule="auto"/>
              <w:rPr>
                <w:rFonts w:asciiTheme="minorHAnsi" w:eastAsia="Times New Roman" w:hAnsiTheme="minorHAnsi" w:cstheme="minorHAnsi"/>
                <w:sz w:val="20"/>
                <w:szCs w:val="20"/>
              </w:rPr>
            </w:pPr>
          </w:p>
          <w:p w14:paraId="63094100" w14:textId="48AED0AF" w:rsidR="00EF7D33" w:rsidRPr="00EF7D33" w:rsidRDefault="00EF7D33" w:rsidP="00EF7D33">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fund specific expenditure requested by the service from previous year underspends or earmarked funding received.</w:t>
            </w:r>
          </w:p>
          <w:p w14:paraId="203A1877" w14:textId="7A95E1ED" w:rsidR="00935736" w:rsidRPr="00EF7D33" w:rsidRDefault="00935736" w:rsidP="00EF3054">
            <w:pPr>
              <w:spacing w:line="240" w:lineRule="auto"/>
              <w:rPr>
                <w:rFonts w:asciiTheme="minorHAnsi" w:eastAsia="Times New Roman" w:hAnsiTheme="minorHAnsi" w:cstheme="minorHAnsi"/>
                <w:sz w:val="20"/>
                <w:szCs w:val="20"/>
              </w:rPr>
            </w:pPr>
          </w:p>
        </w:tc>
        <w:tc>
          <w:tcPr>
            <w:tcW w:w="2410" w:type="dxa"/>
          </w:tcPr>
          <w:p w14:paraId="6FC94C05" w14:textId="77777777" w:rsidR="00935736" w:rsidRPr="00EF7D33" w:rsidRDefault="00935736" w:rsidP="00EF3054">
            <w:pPr>
              <w:spacing w:line="240" w:lineRule="auto"/>
              <w:rPr>
                <w:rFonts w:asciiTheme="minorHAnsi" w:eastAsia="Times New Roman" w:hAnsiTheme="minorHAnsi" w:cstheme="minorHAnsi"/>
                <w:sz w:val="20"/>
                <w:szCs w:val="20"/>
              </w:rPr>
            </w:pPr>
          </w:p>
          <w:p w14:paraId="0B31718E" w14:textId="1908679E" w:rsidR="00935736" w:rsidRPr="00EF7D33" w:rsidRDefault="00EF7D33" w:rsidP="00EF3054">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Business cases provided as part of the outturn report or specific funding conditions.</w:t>
            </w:r>
          </w:p>
        </w:tc>
        <w:tc>
          <w:tcPr>
            <w:tcW w:w="1745" w:type="dxa"/>
          </w:tcPr>
          <w:p w14:paraId="02DE15A1" w14:textId="77777777" w:rsidR="00935736" w:rsidRPr="00EF7D33" w:rsidRDefault="00935736" w:rsidP="00EF3054">
            <w:pPr>
              <w:spacing w:line="240" w:lineRule="auto"/>
              <w:rPr>
                <w:rFonts w:asciiTheme="minorHAnsi" w:eastAsia="Times New Roman" w:hAnsiTheme="minorHAnsi" w:cstheme="minorHAnsi"/>
                <w:sz w:val="20"/>
                <w:szCs w:val="20"/>
              </w:rPr>
            </w:pPr>
          </w:p>
          <w:p w14:paraId="1CF06814" w14:textId="5D2CC8BC" w:rsidR="00935736" w:rsidRPr="00EF7D33" w:rsidRDefault="00EF7D33" w:rsidP="00EF3054">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935736" w:rsidRPr="00EF7D33">
              <w:rPr>
                <w:rFonts w:asciiTheme="minorHAnsi" w:eastAsia="Times New Roman" w:hAnsiTheme="minorHAnsi" w:cstheme="minorHAnsi"/>
                <w:sz w:val="20"/>
                <w:szCs w:val="20"/>
              </w:rPr>
              <w:t xml:space="preserve"> according to year end outturn and usage.</w:t>
            </w:r>
          </w:p>
        </w:tc>
        <w:tc>
          <w:tcPr>
            <w:tcW w:w="3691" w:type="dxa"/>
          </w:tcPr>
          <w:p w14:paraId="400BBDB4" w14:textId="77777777" w:rsidR="00935736" w:rsidRPr="00EF7D33" w:rsidRDefault="00935736" w:rsidP="00EF3054">
            <w:pPr>
              <w:spacing w:line="240" w:lineRule="auto"/>
              <w:rPr>
                <w:rFonts w:asciiTheme="minorHAnsi" w:eastAsia="Times New Roman" w:hAnsiTheme="minorHAnsi" w:cstheme="minorHAnsi"/>
                <w:sz w:val="20"/>
                <w:szCs w:val="20"/>
              </w:rPr>
            </w:pPr>
          </w:p>
          <w:p w14:paraId="731F0D37"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Establishing a reserve enables an incentive and opportunity to utilise year end underspends in a manner which will provide additionality or benefit for the service in future years, rather than finding resources from in-year or reserves.</w:t>
            </w:r>
          </w:p>
          <w:p w14:paraId="55BB4C61" w14:textId="2213F808" w:rsidR="00EF3054" w:rsidRPr="00EF7D33" w:rsidRDefault="00EF3054" w:rsidP="00EF3054">
            <w:pPr>
              <w:spacing w:line="240" w:lineRule="auto"/>
              <w:rPr>
                <w:rFonts w:asciiTheme="minorHAnsi" w:eastAsia="Times New Roman" w:hAnsiTheme="minorHAnsi" w:cstheme="minorHAnsi"/>
                <w:sz w:val="20"/>
                <w:szCs w:val="20"/>
              </w:rPr>
            </w:pPr>
          </w:p>
        </w:tc>
        <w:tc>
          <w:tcPr>
            <w:tcW w:w="1332" w:type="dxa"/>
          </w:tcPr>
          <w:p w14:paraId="4DD58FA6" w14:textId="41438111" w:rsidR="00935736" w:rsidRPr="00EF7D33" w:rsidRDefault="00935736" w:rsidP="00EF3054">
            <w:pPr>
              <w:spacing w:line="240" w:lineRule="auto"/>
              <w:rPr>
                <w:rFonts w:asciiTheme="minorHAnsi" w:eastAsia="Times New Roman" w:hAnsiTheme="minorHAnsi" w:cstheme="minorHAnsi"/>
                <w:sz w:val="20"/>
                <w:szCs w:val="20"/>
              </w:rPr>
            </w:pPr>
          </w:p>
          <w:p w14:paraId="14F4AF9F"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PFCC, on advice from PFCC CFO</w:t>
            </w:r>
          </w:p>
        </w:tc>
        <w:tc>
          <w:tcPr>
            <w:tcW w:w="973" w:type="dxa"/>
          </w:tcPr>
          <w:p w14:paraId="379B5015" w14:textId="77777777" w:rsidR="00935736" w:rsidRPr="00EF7D33" w:rsidRDefault="00935736" w:rsidP="00EF3054">
            <w:pPr>
              <w:spacing w:line="240" w:lineRule="auto"/>
              <w:rPr>
                <w:rFonts w:asciiTheme="minorHAnsi" w:eastAsia="Times New Roman" w:hAnsiTheme="minorHAnsi" w:cstheme="minorHAnsi"/>
                <w:sz w:val="20"/>
                <w:szCs w:val="20"/>
              </w:rPr>
            </w:pPr>
          </w:p>
          <w:p w14:paraId="5C5C0C2B"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Annual</w:t>
            </w:r>
          </w:p>
        </w:tc>
      </w:tr>
      <w:tr w:rsidR="00935736" w:rsidRPr="00450555" w14:paraId="1028C62B" w14:textId="77777777" w:rsidTr="00935736">
        <w:trPr>
          <w:cantSplit/>
          <w:jc w:val="center"/>
        </w:trPr>
        <w:tc>
          <w:tcPr>
            <w:tcW w:w="1837" w:type="dxa"/>
          </w:tcPr>
          <w:p w14:paraId="523C5C98" w14:textId="77777777" w:rsidR="00EF3054" w:rsidRPr="00EF7D33" w:rsidRDefault="00EF3054" w:rsidP="00EF3054">
            <w:pPr>
              <w:spacing w:line="240" w:lineRule="auto"/>
              <w:rPr>
                <w:rFonts w:asciiTheme="minorHAnsi" w:eastAsia="Times New Roman" w:hAnsiTheme="minorHAnsi" w:cstheme="minorHAnsi"/>
                <w:b/>
                <w:bCs/>
                <w:sz w:val="20"/>
                <w:szCs w:val="20"/>
              </w:rPr>
            </w:pPr>
          </w:p>
          <w:p w14:paraId="5ED98005" w14:textId="1BD4EAB2" w:rsidR="00935736" w:rsidRPr="00EF7D33" w:rsidRDefault="00935736" w:rsidP="00EF3054">
            <w:pPr>
              <w:spacing w:line="240" w:lineRule="auto"/>
              <w:rPr>
                <w:rFonts w:asciiTheme="minorHAnsi" w:eastAsia="Times New Roman" w:hAnsiTheme="minorHAnsi" w:cstheme="minorHAnsi"/>
                <w:b/>
                <w:bCs/>
                <w:sz w:val="20"/>
                <w:szCs w:val="20"/>
              </w:rPr>
            </w:pPr>
            <w:r w:rsidRPr="00EF7D33">
              <w:rPr>
                <w:rFonts w:asciiTheme="minorHAnsi" w:eastAsia="Times New Roman" w:hAnsiTheme="minorHAnsi" w:cstheme="minorHAnsi"/>
                <w:b/>
                <w:bCs/>
                <w:sz w:val="20"/>
                <w:szCs w:val="20"/>
              </w:rPr>
              <w:t>EARMARKED – SMOOTHING</w:t>
            </w:r>
          </w:p>
          <w:p w14:paraId="5911336E" w14:textId="77777777" w:rsidR="00935736" w:rsidRPr="00EF7D33" w:rsidRDefault="00935736" w:rsidP="00EF3054">
            <w:pPr>
              <w:spacing w:line="240" w:lineRule="auto"/>
              <w:rPr>
                <w:rFonts w:asciiTheme="minorHAnsi" w:eastAsia="Times New Roman" w:hAnsiTheme="minorHAnsi" w:cstheme="minorHAnsi"/>
                <w:b/>
                <w:bCs/>
                <w:sz w:val="20"/>
                <w:szCs w:val="20"/>
              </w:rPr>
            </w:pPr>
          </w:p>
        </w:tc>
        <w:tc>
          <w:tcPr>
            <w:tcW w:w="3261" w:type="dxa"/>
          </w:tcPr>
          <w:p w14:paraId="03EEE738" w14:textId="77777777" w:rsidR="00935736" w:rsidRPr="00EF7D33" w:rsidRDefault="00935736" w:rsidP="00EF3054">
            <w:pPr>
              <w:spacing w:line="240" w:lineRule="auto"/>
              <w:rPr>
                <w:rFonts w:asciiTheme="minorHAnsi" w:eastAsia="Times New Roman" w:hAnsiTheme="minorHAnsi" w:cstheme="minorHAnsi"/>
                <w:sz w:val="20"/>
                <w:szCs w:val="20"/>
              </w:rPr>
            </w:pPr>
          </w:p>
          <w:p w14:paraId="38386A02" w14:textId="77777777" w:rsidR="00EF7D33" w:rsidRPr="00EF7D33" w:rsidRDefault="00EF7D33" w:rsidP="00EF7D33">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The reserve is held to receive any efficiencies and funding in excess of the budget set and to utilise to ensure any future variations are smoothed where appropriate.</w:t>
            </w:r>
          </w:p>
          <w:p w14:paraId="6747AC3C" w14:textId="77777777" w:rsidR="00EF7D33" w:rsidRPr="00EF7D33" w:rsidRDefault="00EF7D33" w:rsidP="00EF7D33">
            <w:pPr>
              <w:spacing w:line="240" w:lineRule="auto"/>
              <w:rPr>
                <w:rFonts w:asciiTheme="minorHAnsi" w:eastAsia="Times New Roman" w:hAnsiTheme="minorHAnsi" w:cstheme="minorHAnsi"/>
                <w:sz w:val="20"/>
                <w:szCs w:val="20"/>
              </w:rPr>
            </w:pPr>
          </w:p>
          <w:p w14:paraId="43A76E03" w14:textId="77777777" w:rsidR="00EF7D33" w:rsidRPr="00EF7D33" w:rsidRDefault="00EF7D33" w:rsidP="00EF7D33">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This includes the impact of fluctuations in funding receipts from the collection fund if provided after the budget has been set.</w:t>
            </w:r>
          </w:p>
          <w:p w14:paraId="69BE3FC9" w14:textId="60D3CBA5" w:rsidR="00935736" w:rsidRPr="00EF7D33" w:rsidRDefault="00935736" w:rsidP="00EF3054">
            <w:pPr>
              <w:spacing w:line="240" w:lineRule="auto"/>
              <w:rPr>
                <w:rFonts w:asciiTheme="minorHAnsi" w:eastAsia="Times New Roman" w:hAnsiTheme="minorHAnsi" w:cstheme="minorHAnsi"/>
                <w:sz w:val="20"/>
                <w:szCs w:val="20"/>
              </w:rPr>
            </w:pPr>
          </w:p>
        </w:tc>
        <w:tc>
          <w:tcPr>
            <w:tcW w:w="2410" w:type="dxa"/>
          </w:tcPr>
          <w:p w14:paraId="42A1FD5A" w14:textId="77777777" w:rsidR="00935736" w:rsidRPr="00EF7D33" w:rsidRDefault="00935736" w:rsidP="00EF3054">
            <w:pPr>
              <w:spacing w:line="240" w:lineRule="auto"/>
              <w:rPr>
                <w:rFonts w:asciiTheme="minorHAnsi" w:eastAsia="Times New Roman" w:hAnsiTheme="minorHAnsi" w:cstheme="minorHAnsi"/>
                <w:sz w:val="20"/>
                <w:szCs w:val="20"/>
              </w:rPr>
            </w:pPr>
          </w:p>
          <w:p w14:paraId="5B813EC9" w14:textId="05EC176F" w:rsidR="00935736" w:rsidRPr="00EF7D33" w:rsidRDefault="00EF7D33"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The balance will increase or reduce annually dependent on budget levels and the savings programme.</w:t>
            </w:r>
          </w:p>
        </w:tc>
        <w:tc>
          <w:tcPr>
            <w:tcW w:w="1745" w:type="dxa"/>
          </w:tcPr>
          <w:p w14:paraId="08527DBD" w14:textId="77777777" w:rsidR="00935736" w:rsidRPr="00EF7D33" w:rsidRDefault="00935736" w:rsidP="00EF3054">
            <w:pPr>
              <w:spacing w:line="240" w:lineRule="auto"/>
              <w:rPr>
                <w:rFonts w:asciiTheme="minorHAnsi" w:eastAsia="Times New Roman" w:hAnsiTheme="minorHAnsi" w:cstheme="minorHAnsi"/>
                <w:sz w:val="20"/>
                <w:szCs w:val="20"/>
              </w:rPr>
            </w:pPr>
          </w:p>
          <w:p w14:paraId="279CC930" w14:textId="77777777" w:rsidR="00EF7D33" w:rsidRPr="00EF7D33" w:rsidRDefault="00EF7D33" w:rsidP="00EF7D33">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Variable according to usage and annual risk assessment.</w:t>
            </w:r>
          </w:p>
          <w:p w14:paraId="5FAE7188" w14:textId="244C8BD2" w:rsidR="00935736" w:rsidRPr="00EF7D33" w:rsidRDefault="00935736" w:rsidP="00EF3054">
            <w:pPr>
              <w:spacing w:line="240" w:lineRule="auto"/>
              <w:rPr>
                <w:rFonts w:asciiTheme="minorHAnsi" w:eastAsia="Times New Roman" w:hAnsiTheme="minorHAnsi" w:cstheme="minorHAnsi"/>
                <w:sz w:val="20"/>
                <w:szCs w:val="20"/>
              </w:rPr>
            </w:pPr>
          </w:p>
        </w:tc>
        <w:tc>
          <w:tcPr>
            <w:tcW w:w="3691" w:type="dxa"/>
          </w:tcPr>
          <w:p w14:paraId="562FF12B" w14:textId="77777777" w:rsidR="00935736" w:rsidRPr="00EF7D33" w:rsidRDefault="00935736" w:rsidP="00EF3054">
            <w:pPr>
              <w:spacing w:line="240" w:lineRule="auto"/>
              <w:rPr>
                <w:rFonts w:asciiTheme="minorHAnsi" w:eastAsia="Times New Roman" w:hAnsiTheme="minorHAnsi" w:cstheme="minorHAnsi"/>
                <w:sz w:val="20"/>
                <w:szCs w:val="20"/>
              </w:rPr>
            </w:pPr>
          </w:p>
          <w:p w14:paraId="17704429" w14:textId="4790C857" w:rsidR="00EF7D33" w:rsidRPr="00EF7D33" w:rsidRDefault="00EF7D33" w:rsidP="00EF7D33">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If funds were not maintained the PFCC and the Service could be required to balance the budget or funding shortfalls by in-year savings.</w:t>
            </w:r>
          </w:p>
          <w:p w14:paraId="48F3924A" w14:textId="77777777" w:rsidR="00EF7D33" w:rsidRPr="00EF7D33" w:rsidRDefault="00EF7D33" w:rsidP="00EF7D33">
            <w:pPr>
              <w:spacing w:line="240" w:lineRule="auto"/>
              <w:rPr>
                <w:rFonts w:asciiTheme="minorHAnsi" w:eastAsia="Times New Roman" w:hAnsiTheme="minorHAnsi" w:cstheme="minorHAnsi"/>
                <w:sz w:val="20"/>
                <w:szCs w:val="20"/>
              </w:rPr>
            </w:pPr>
          </w:p>
          <w:p w14:paraId="433FFFF8" w14:textId="77777777" w:rsidR="00EF7D33" w:rsidRPr="00EF7D33" w:rsidRDefault="00EF7D33" w:rsidP="00EF7D33">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There can be significant variations each year in the revenue budget whilst the timing of efficiency savings occur – this smoothing reserve will assist in mitigating that.</w:t>
            </w:r>
          </w:p>
          <w:p w14:paraId="52B3D359" w14:textId="15C9A36A" w:rsidR="00EF3054" w:rsidRPr="00EF7D33" w:rsidRDefault="00EF3054" w:rsidP="00EF3054">
            <w:pPr>
              <w:spacing w:line="240" w:lineRule="auto"/>
              <w:rPr>
                <w:rFonts w:asciiTheme="minorHAnsi" w:eastAsia="Times New Roman" w:hAnsiTheme="minorHAnsi" w:cstheme="minorHAnsi"/>
                <w:sz w:val="20"/>
                <w:szCs w:val="20"/>
              </w:rPr>
            </w:pPr>
          </w:p>
        </w:tc>
        <w:tc>
          <w:tcPr>
            <w:tcW w:w="1332" w:type="dxa"/>
          </w:tcPr>
          <w:p w14:paraId="42465F40" w14:textId="0D6E11F6" w:rsidR="00935736" w:rsidRPr="00EF7D33" w:rsidRDefault="00935736" w:rsidP="00EF3054">
            <w:pPr>
              <w:spacing w:line="240" w:lineRule="auto"/>
              <w:rPr>
                <w:rFonts w:asciiTheme="minorHAnsi" w:eastAsia="Times New Roman" w:hAnsiTheme="minorHAnsi" w:cstheme="minorHAnsi"/>
                <w:sz w:val="20"/>
                <w:szCs w:val="20"/>
              </w:rPr>
            </w:pPr>
          </w:p>
          <w:p w14:paraId="20C0E2DC"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PFCC, on advice from PFCC CFO</w:t>
            </w:r>
          </w:p>
        </w:tc>
        <w:tc>
          <w:tcPr>
            <w:tcW w:w="973" w:type="dxa"/>
          </w:tcPr>
          <w:p w14:paraId="2421E821" w14:textId="77777777" w:rsidR="00935736" w:rsidRPr="00EF7D33" w:rsidRDefault="00935736" w:rsidP="00EF3054">
            <w:pPr>
              <w:spacing w:line="240" w:lineRule="auto"/>
              <w:rPr>
                <w:rFonts w:asciiTheme="minorHAnsi" w:eastAsia="Times New Roman" w:hAnsiTheme="minorHAnsi" w:cstheme="minorHAnsi"/>
                <w:sz w:val="20"/>
                <w:szCs w:val="20"/>
              </w:rPr>
            </w:pPr>
          </w:p>
          <w:p w14:paraId="43D2FC60"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Annual</w:t>
            </w:r>
          </w:p>
        </w:tc>
      </w:tr>
      <w:tr w:rsidR="00935736" w:rsidRPr="00450555" w14:paraId="7FF6FD8F" w14:textId="77777777" w:rsidTr="00935736">
        <w:trPr>
          <w:cantSplit/>
          <w:jc w:val="center"/>
        </w:trPr>
        <w:tc>
          <w:tcPr>
            <w:tcW w:w="1837" w:type="dxa"/>
          </w:tcPr>
          <w:p w14:paraId="07472A8E" w14:textId="77777777" w:rsidR="00935736" w:rsidRPr="00A24D53" w:rsidRDefault="00935736" w:rsidP="00EF3054">
            <w:pPr>
              <w:spacing w:line="240" w:lineRule="auto"/>
              <w:rPr>
                <w:rFonts w:asciiTheme="minorHAnsi" w:eastAsia="Times New Roman" w:hAnsiTheme="minorHAnsi" w:cstheme="minorHAnsi"/>
                <w:b/>
                <w:bCs/>
                <w:sz w:val="20"/>
                <w:szCs w:val="20"/>
              </w:rPr>
            </w:pPr>
          </w:p>
          <w:p w14:paraId="50382F46" w14:textId="68B21BFD" w:rsidR="00935736" w:rsidRPr="00A24D53" w:rsidRDefault="00935736" w:rsidP="00EF3054">
            <w:pPr>
              <w:spacing w:line="240" w:lineRule="auto"/>
              <w:rPr>
                <w:rFonts w:asciiTheme="minorHAnsi" w:eastAsia="Times New Roman" w:hAnsiTheme="minorHAnsi" w:cstheme="minorHAnsi"/>
                <w:b/>
                <w:bCs/>
                <w:sz w:val="20"/>
                <w:szCs w:val="20"/>
              </w:rPr>
            </w:pPr>
            <w:r w:rsidRPr="00A24D53">
              <w:rPr>
                <w:rFonts w:asciiTheme="minorHAnsi" w:eastAsia="Times New Roman" w:hAnsiTheme="minorHAnsi" w:cstheme="minorHAnsi"/>
                <w:b/>
                <w:bCs/>
                <w:sz w:val="20"/>
                <w:szCs w:val="20"/>
              </w:rPr>
              <w:t xml:space="preserve">EARMARKED </w:t>
            </w:r>
            <w:r w:rsidR="00EF3054" w:rsidRPr="00A24D53">
              <w:rPr>
                <w:rFonts w:asciiTheme="minorHAnsi" w:eastAsia="Times New Roman" w:hAnsiTheme="minorHAnsi" w:cstheme="minorHAnsi"/>
                <w:b/>
                <w:bCs/>
                <w:sz w:val="20"/>
                <w:szCs w:val="20"/>
              </w:rPr>
              <w:t>-</w:t>
            </w:r>
            <w:r w:rsidRPr="00A24D53">
              <w:rPr>
                <w:rFonts w:asciiTheme="minorHAnsi" w:eastAsia="Times New Roman" w:hAnsiTheme="minorHAnsi" w:cstheme="minorHAnsi"/>
                <w:b/>
                <w:bCs/>
                <w:sz w:val="20"/>
                <w:szCs w:val="20"/>
              </w:rPr>
              <w:t>TRANSFORMATION</w:t>
            </w:r>
          </w:p>
        </w:tc>
        <w:tc>
          <w:tcPr>
            <w:tcW w:w="3261" w:type="dxa"/>
          </w:tcPr>
          <w:p w14:paraId="167A7848" w14:textId="77777777" w:rsidR="00935736" w:rsidRPr="00A24D53" w:rsidRDefault="00935736" w:rsidP="00EF3054">
            <w:pPr>
              <w:spacing w:line="240" w:lineRule="auto"/>
              <w:rPr>
                <w:rFonts w:asciiTheme="minorHAnsi" w:eastAsia="Times New Roman" w:hAnsiTheme="minorHAnsi" w:cstheme="minorHAnsi"/>
                <w:sz w:val="20"/>
                <w:szCs w:val="20"/>
              </w:rPr>
            </w:pPr>
          </w:p>
          <w:p w14:paraId="475C36C4" w14:textId="77777777" w:rsidR="00EF7D33" w:rsidRPr="00A24D53" w:rsidRDefault="00EF7D33" w:rsidP="00EF7D3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 xml:space="preserve">To fund transformative activities and opportunities and meet initial and upfront costs of approved projects.  </w:t>
            </w:r>
          </w:p>
          <w:p w14:paraId="7365328D" w14:textId="6B661C65" w:rsidR="00935736" w:rsidRPr="00A24D53" w:rsidRDefault="00935736" w:rsidP="00EF3054">
            <w:pPr>
              <w:spacing w:line="240" w:lineRule="auto"/>
              <w:rPr>
                <w:rFonts w:asciiTheme="minorHAnsi" w:eastAsia="Times New Roman" w:hAnsiTheme="minorHAnsi" w:cstheme="minorHAnsi"/>
                <w:sz w:val="20"/>
                <w:szCs w:val="20"/>
              </w:rPr>
            </w:pPr>
          </w:p>
        </w:tc>
        <w:tc>
          <w:tcPr>
            <w:tcW w:w="2410" w:type="dxa"/>
          </w:tcPr>
          <w:p w14:paraId="0C51479B" w14:textId="77777777" w:rsidR="00935736" w:rsidRPr="00A24D53" w:rsidRDefault="00935736" w:rsidP="00EF3054">
            <w:pPr>
              <w:spacing w:line="240" w:lineRule="auto"/>
              <w:rPr>
                <w:rFonts w:asciiTheme="minorHAnsi" w:eastAsia="Times New Roman" w:hAnsiTheme="minorHAnsi" w:cstheme="minorHAnsi"/>
                <w:sz w:val="20"/>
                <w:szCs w:val="20"/>
              </w:rPr>
            </w:pPr>
          </w:p>
          <w:p w14:paraId="2534CCDE" w14:textId="0561F88B" w:rsidR="00935736" w:rsidRPr="00A24D53" w:rsidRDefault="00A24D53"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To access the funds a costed request or business case has to be provided.</w:t>
            </w:r>
          </w:p>
        </w:tc>
        <w:tc>
          <w:tcPr>
            <w:tcW w:w="1745" w:type="dxa"/>
          </w:tcPr>
          <w:p w14:paraId="75A42607" w14:textId="77777777" w:rsidR="00935736" w:rsidRPr="00A24D53" w:rsidRDefault="00935736" w:rsidP="00EF3054">
            <w:pPr>
              <w:spacing w:line="240" w:lineRule="auto"/>
              <w:rPr>
                <w:rFonts w:asciiTheme="minorHAnsi" w:eastAsia="Times New Roman" w:hAnsiTheme="minorHAnsi" w:cstheme="minorHAnsi"/>
                <w:sz w:val="20"/>
                <w:szCs w:val="20"/>
              </w:rPr>
            </w:pPr>
          </w:p>
          <w:p w14:paraId="679F3E70" w14:textId="6D5FF309"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Variable according to outturn and change programme.</w:t>
            </w:r>
          </w:p>
          <w:p w14:paraId="6E20D5F1" w14:textId="77777777" w:rsidR="00935736" w:rsidRPr="00A24D53" w:rsidRDefault="00935736" w:rsidP="00EF3054">
            <w:pPr>
              <w:spacing w:line="240" w:lineRule="auto"/>
              <w:rPr>
                <w:rFonts w:asciiTheme="minorHAnsi" w:eastAsia="Times New Roman" w:hAnsiTheme="minorHAnsi" w:cstheme="minorHAnsi"/>
                <w:sz w:val="20"/>
                <w:szCs w:val="20"/>
              </w:rPr>
            </w:pPr>
          </w:p>
          <w:p w14:paraId="7CBC608E" w14:textId="77777777" w:rsidR="00935736" w:rsidRPr="00A24D53" w:rsidRDefault="00935736" w:rsidP="00EF3054">
            <w:pPr>
              <w:spacing w:line="240" w:lineRule="auto"/>
              <w:rPr>
                <w:rFonts w:asciiTheme="minorHAnsi" w:eastAsia="Times New Roman" w:hAnsiTheme="minorHAnsi" w:cstheme="minorHAnsi"/>
                <w:sz w:val="20"/>
                <w:szCs w:val="20"/>
              </w:rPr>
            </w:pPr>
          </w:p>
        </w:tc>
        <w:tc>
          <w:tcPr>
            <w:tcW w:w="3691" w:type="dxa"/>
          </w:tcPr>
          <w:p w14:paraId="6A7A94ED" w14:textId="77777777" w:rsidR="00935736" w:rsidRPr="00A24D53" w:rsidRDefault="00935736" w:rsidP="00EF3054">
            <w:pPr>
              <w:spacing w:line="240" w:lineRule="auto"/>
              <w:rPr>
                <w:rFonts w:asciiTheme="minorHAnsi" w:eastAsia="Times New Roman" w:hAnsiTheme="minorHAnsi" w:cstheme="minorHAnsi"/>
                <w:sz w:val="20"/>
                <w:szCs w:val="20"/>
              </w:rPr>
            </w:pPr>
          </w:p>
          <w:p w14:paraId="512135A2" w14:textId="77777777"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If funds were not provided, the risk is that equipment or services and resources required to implement transformative projects would have to be replaced from the current year’s budget or other reserves.</w:t>
            </w:r>
          </w:p>
          <w:p w14:paraId="02136B23" w14:textId="77777777" w:rsidR="00A24D53" w:rsidRPr="00A24D53" w:rsidRDefault="00A24D53" w:rsidP="00A24D53">
            <w:pPr>
              <w:spacing w:line="240" w:lineRule="auto"/>
              <w:rPr>
                <w:rFonts w:asciiTheme="minorHAnsi" w:eastAsia="Times New Roman" w:hAnsiTheme="minorHAnsi" w:cstheme="minorHAnsi"/>
                <w:sz w:val="20"/>
                <w:szCs w:val="20"/>
              </w:rPr>
            </w:pPr>
          </w:p>
          <w:p w14:paraId="3E01C4AE" w14:textId="77777777"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If no funds were available, it may be that innovative activity is hindered.</w:t>
            </w:r>
          </w:p>
          <w:p w14:paraId="7535CA16" w14:textId="54F26156" w:rsidR="00EF3054" w:rsidRPr="00A24D53" w:rsidRDefault="00EF3054" w:rsidP="00EF3054">
            <w:pPr>
              <w:spacing w:line="240" w:lineRule="auto"/>
              <w:rPr>
                <w:rFonts w:asciiTheme="minorHAnsi" w:eastAsia="Times New Roman" w:hAnsiTheme="minorHAnsi" w:cstheme="minorHAnsi"/>
                <w:sz w:val="20"/>
                <w:szCs w:val="20"/>
              </w:rPr>
            </w:pPr>
          </w:p>
        </w:tc>
        <w:tc>
          <w:tcPr>
            <w:tcW w:w="1332" w:type="dxa"/>
          </w:tcPr>
          <w:p w14:paraId="61D117E7" w14:textId="57BFD406" w:rsidR="00935736" w:rsidRPr="00A24D53" w:rsidRDefault="00935736" w:rsidP="00EF3054">
            <w:pPr>
              <w:spacing w:line="240" w:lineRule="auto"/>
              <w:rPr>
                <w:rFonts w:asciiTheme="minorHAnsi" w:eastAsia="Times New Roman" w:hAnsiTheme="minorHAnsi" w:cstheme="minorHAnsi"/>
                <w:sz w:val="20"/>
                <w:szCs w:val="20"/>
              </w:rPr>
            </w:pPr>
          </w:p>
          <w:p w14:paraId="2D8EDD8C" w14:textId="77777777"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PFCC, on advice from PFCC CFO</w:t>
            </w:r>
          </w:p>
        </w:tc>
        <w:tc>
          <w:tcPr>
            <w:tcW w:w="973" w:type="dxa"/>
          </w:tcPr>
          <w:p w14:paraId="7C7C3360" w14:textId="77777777" w:rsidR="00935736" w:rsidRPr="00A24D53" w:rsidRDefault="00935736" w:rsidP="00EF3054">
            <w:pPr>
              <w:spacing w:line="240" w:lineRule="auto"/>
              <w:rPr>
                <w:rFonts w:asciiTheme="minorHAnsi" w:eastAsia="Times New Roman" w:hAnsiTheme="minorHAnsi" w:cstheme="minorHAnsi"/>
                <w:sz w:val="20"/>
                <w:szCs w:val="20"/>
              </w:rPr>
            </w:pPr>
          </w:p>
          <w:p w14:paraId="43CBE402" w14:textId="77777777"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Annual</w:t>
            </w:r>
          </w:p>
        </w:tc>
      </w:tr>
      <w:tr w:rsidR="00935736" w:rsidRPr="00450555" w14:paraId="619D5D7A" w14:textId="77777777" w:rsidTr="00935736">
        <w:trPr>
          <w:cantSplit/>
          <w:jc w:val="center"/>
        </w:trPr>
        <w:tc>
          <w:tcPr>
            <w:tcW w:w="1837" w:type="dxa"/>
          </w:tcPr>
          <w:p w14:paraId="416A592D" w14:textId="77777777" w:rsidR="00935736" w:rsidRPr="00A24D53" w:rsidRDefault="00935736" w:rsidP="00EF3054">
            <w:pPr>
              <w:spacing w:line="240" w:lineRule="auto"/>
              <w:rPr>
                <w:rFonts w:asciiTheme="minorHAnsi" w:eastAsia="Times New Roman" w:hAnsiTheme="minorHAnsi" w:cstheme="minorHAnsi"/>
                <w:b/>
                <w:bCs/>
                <w:sz w:val="20"/>
                <w:szCs w:val="20"/>
              </w:rPr>
            </w:pPr>
          </w:p>
          <w:p w14:paraId="27EBE180" w14:textId="77777777" w:rsidR="00935736" w:rsidRPr="00A24D53" w:rsidRDefault="00935736" w:rsidP="00EF3054">
            <w:pPr>
              <w:spacing w:line="240" w:lineRule="auto"/>
              <w:rPr>
                <w:rFonts w:asciiTheme="minorHAnsi" w:eastAsia="Times New Roman" w:hAnsiTheme="minorHAnsi" w:cstheme="minorHAnsi"/>
                <w:b/>
                <w:bCs/>
                <w:sz w:val="20"/>
                <w:szCs w:val="20"/>
              </w:rPr>
            </w:pPr>
            <w:r w:rsidRPr="00A24D53">
              <w:rPr>
                <w:rFonts w:asciiTheme="minorHAnsi" w:eastAsia="Times New Roman" w:hAnsiTheme="minorHAnsi" w:cstheme="minorHAnsi"/>
                <w:b/>
                <w:bCs/>
                <w:sz w:val="20"/>
                <w:szCs w:val="20"/>
              </w:rPr>
              <w:t>EARMARKED - CAPITAL RECEIPTS</w:t>
            </w:r>
          </w:p>
        </w:tc>
        <w:tc>
          <w:tcPr>
            <w:tcW w:w="3261" w:type="dxa"/>
          </w:tcPr>
          <w:p w14:paraId="1F36B049" w14:textId="77777777" w:rsidR="00935736" w:rsidRPr="00A24D53" w:rsidRDefault="00935736" w:rsidP="00EF3054">
            <w:pPr>
              <w:spacing w:line="240" w:lineRule="auto"/>
              <w:rPr>
                <w:rFonts w:asciiTheme="minorHAnsi" w:eastAsia="Times New Roman" w:hAnsiTheme="minorHAnsi" w:cstheme="minorHAnsi"/>
                <w:sz w:val="20"/>
                <w:szCs w:val="20"/>
              </w:rPr>
            </w:pPr>
          </w:p>
          <w:p w14:paraId="755D4EBC" w14:textId="77777777"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To hold capital financing underspends or disposal proceeds.  These are to be used to fund the capital programme and minimise borrowing.</w:t>
            </w:r>
          </w:p>
          <w:p w14:paraId="1015B09F" w14:textId="59F05E44" w:rsidR="00935736" w:rsidRPr="00A24D53" w:rsidRDefault="00935736" w:rsidP="00EF3054">
            <w:pPr>
              <w:spacing w:line="240" w:lineRule="auto"/>
              <w:rPr>
                <w:rFonts w:asciiTheme="minorHAnsi" w:eastAsia="Times New Roman" w:hAnsiTheme="minorHAnsi" w:cstheme="minorHAnsi"/>
                <w:sz w:val="20"/>
                <w:szCs w:val="20"/>
              </w:rPr>
            </w:pPr>
          </w:p>
        </w:tc>
        <w:tc>
          <w:tcPr>
            <w:tcW w:w="2410" w:type="dxa"/>
          </w:tcPr>
          <w:p w14:paraId="2B257DE8" w14:textId="77777777" w:rsidR="00935736" w:rsidRPr="00A24D53" w:rsidRDefault="00935736" w:rsidP="00EF3054">
            <w:pPr>
              <w:spacing w:line="240" w:lineRule="auto"/>
              <w:rPr>
                <w:rFonts w:asciiTheme="minorHAnsi" w:eastAsia="Times New Roman" w:hAnsiTheme="minorHAnsi" w:cstheme="minorHAnsi"/>
                <w:sz w:val="20"/>
                <w:szCs w:val="20"/>
              </w:rPr>
            </w:pPr>
          </w:p>
          <w:p w14:paraId="585C0552" w14:textId="690FBAA9" w:rsidR="00935736" w:rsidRPr="00A24D53" w:rsidRDefault="00A24D53"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Released to fund capital projects where deemed the most cost efficient way to do so, in line with the Treasury Management Strategy.</w:t>
            </w:r>
          </w:p>
        </w:tc>
        <w:tc>
          <w:tcPr>
            <w:tcW w:w="1745" w:type="dxa"/>
          </w:tcPr>
          <w:p w14:paraId="5D450509" w14:textId="77777777" w:rsidR="00935736" w:rsidRPr="00A24D53" w:rsidRDefault="00935736" w:rsidP="00EF3054">
            <w:pPr>
              <w:spacing w:line="240" w:lineRule="auto"/>
              <w:rPr>
                <w:rFonts w:asciiTheme="minorHAnsi" w:eastAsia="Times New Roman" w:hAnsiTheme="minorHAnsi" w:cstheme="minorHAnsi"/>
                <w:sz w:val="20"/>
                <w:szCs w:val="20"/>
              </w:rPr>
            </w:pPr>
          </w:p>
          <w:p w14:paraId="276BA5E5" w14:textId="77777777"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Variable according to outturn, usage and annual risk assessment.</w:t>
            </w:r>
          </w:p>
          <w:p w14:paraId="78EF1256" w14:textId="77777777" w:rsidR="00935736" w:rsidRPr="00A24D53" w:rsidRDefault="00935736" w:rsidP="00EF3054">
            <w:pPr>
              <w:spacing w:line="240" w:lineRule="auto"/>
              <w:rPr>
                <w:rFonts w:asciiTheme="minorHAnsi" w:eastAsia="Times New Roman" w:hAnsiTheme="minorHAnsi" w:cstheme="minorHAnsi"/>
                <w:sz w:val="20"/>
                <w:szCs w:val="20"/>
              </w:rPr>
            </w:pPr>
          </w:p>
          <w:p w14:paraId="069F6728" w14:textId="77777777" w:rsidR="00935736" w:rsidRPr="00A24D53" w:rsidRDefault="00935736" w:rsidP="00EF3054">
            <w:pPr>
              <w:spacing w:line="240" w:lineRule="auto"/>
              <w:rPr>
                <w:rFonts w:asciiTheme="minorHAnsi" w:eastAsia="Times New Roman" w:hAnsiTheme="minorHAnsi" w:cstheme="minorHAnsi"/>
                <w:sz w:val="20"/>
                <w:szCs w:val="20"/>
              </w:rPr>
            </w:pPr>
          </w:p>
        </w:tc>
        <w:tc>
          <w:tcPr>
            <w:tcW w:w="3691" w:type="dxa"/>
          </w:tcPr>
          <w:p w14:paraId="2707E37A" w14:textId="77777777" w:rsidR="00935736" w:rsidRPr="00A24D53" w:rsidRDefault="00935736" w:rsidP="00EF3054">
            <w:pPr>
              <w:spacing w:line="240" w:lineRule="auto"/>
              <w:rPr>
                <w:rFonts w:asciiTheme="minorHAnsi" w:eastAsia="Times New Roman" w:hAnsiTheme="minorHAnsi" w:cstheme="minorHAnsi"/>
                <w:sz w:val="20"/>
                <w:szCs w:val="20"/>
              </w:rPr>
            </w:pPr>
          </w:p>
          <w:p w14:paraId="56EE4E9B" w14:textId="77777777"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If unavailable, the cost of financing capital expenditure could adversely impact revenue budgets into the future.</w:t>
            </w:r>
          </w:p>
          <w:p w14:paraId="0F4A6592" w14:textId="77777777" w:rsidR="00A24D53" w:rsidRPr="00A24D53" w:rsidRDefault="00A24D53" w:rsidP="00A24D53">
            <w:pPr>
              <w:spacing w:line="240" w:lineRule="auto"/>
              <w:rPr>
                <w:rFonts w:asciiTheme="minorHAnsi" w:eastAsia="Times New Roman" w:hAnsiTheme="minorHAnsi" w:cstheme="minorHAnsi"/>
                <w:sz w:val="20"/>
                <w:szCs w:val="20"/>
              </w:rPr>
            </w:pPr>
          </w:p>
          <w:p w14:paraId="4541E1AB" w14:textId="77777777" w:rsidR="00EF3054"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Capital projects may be deemed unaffordable.</w:t>
            </w:r>
          </w:p>
          <w:p w14:paraId="4BC5A705" w14:textId="3427515B" w:rsidR="00A24D53" w:rsidRPr="00A24D53" w:rsidRDefault="00A24D53" w:rsidP="00A24D53">
            <w:pPr>
              <w:spacing w:line="240" w:lineRule="auto"/>
              <w:rPr>
                <w:rFonts w:asciiTheme="minorHAnsi" w:eastAsia="Times New Roman" w:hAnsiTheme="minorHAnsi" w:cstheme="minorHAnsi"/>
                <w:sz w:val="20"/>
                <w:szCs w:val="20"/>
              </w:rPr>
            </w:pPr>
          </w:p>
        </w:tc>
        <w:tc>
          <w:tcPr>
            <w:tcW w:w="1332" w:type="dxa"/>
          </w:tcPr>
          <w:p w14:paraId="2C450B07" w14:textId="2B969B04" w:rsidR="00935736" w:rsidRPr="00A24D53" w:rsidRDefault="00935736" w:rsidP="00EF3054">
            <w:pPr>
              <w:spacing w:line="240" w:lineRule="auto"/>
              <w:rPr>
                <w:rFonts w:asciiTheme="minorHAnsi" w:eastAsia="Times New Roman" w:hAnsiTheme="minorHAnsi" w:cstheme="minorHAnsi"/>
                <w:sz w:val="20"/>
                <w:szCs w:val="20"/>
              </w:rPr>
            </w:pPr>
          </w:p>
          <w:p w14:paraId="6FC4C66F" w14:textId="77777777"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PFCC, on advice from PFCC CFO</w:t>
            </w:r>
          </w:p>
        </w:tc>
        <w:tc>
          <w:tcPr>
            <w:tcW w:w="973" w:type="dxa"/>
          </w:tcPr>
          <w:p w14:paraId="5E4D1277" w14:textId="77777777" w:rsidR="00935736" w:rsidRPr="00A24D53" w:rsidRDefault="00935736" w:rsidP="00EF3054">
            <w:pPr>
              <w:spacing w:line="240" w:lineRule="auto"/>
              <w:rPr>
                <w:rFonts w:asciiTheme="minorHAnsi" w:eastAsia="Times New Roman" w:hAnsiTheme="minorHAnsi" w:cstheme="minorHAnsi"/>
                <w:sz w:val="20"/>
                <w:szCs w:val="20"/>
              </w:rPr>
            </w:pPr>
          </w:p>
          <w:p w14:paraId="4DCA3699" w14:textId="77777777"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Annual</w:t>
            </w:r>
          </w:p>
        </w:tc>
      </w:tr>
      <w:tr w:rsidR="00935736" w:rsidRPr="00450555" w14:paraId="68F378D1" w14:textId="77777777" w:rsidTr="00935736">
        <w:trPr>
          <w:cantSplit/>
          <w:jc w:val="center"/>
        </w:trPr>
        <w:tc>
          <w:tcPr>
            <w:tcW w:w="1837" w:type="dxa"/>
          </w:tcPr>
          <w:p w14:paraId="6D17FF9D" w14:textId="77777777" w:rsidR="00935736" w:rsidRPr="00A24D53" w:rsidRDefault="00935736" w:rsidP="00EF3054">
            <w:pPr>
              <w:spacing w:line="240" w:lineRule="auto"/>
              <w:rPr>
                <w:rFonts w:asciiTheme="minorHAnsi" w:eastAsia="Times New Roman" w:hAnsiTheme="minorHAnsi" w:cstheme="minorHAnsi"/>
                <w:b/>
                <w:bCs/>
                <w:sz w:val="20"/>
                <w:szCs w:val="20"/>
              </w:rPr>
            </w:pPr>
          </w:p>
          <w:p w14:paraId="4CB61243" w14:textId="63D258CA" w:rsidR="00935736" w:rsidRPr="00A24D53" w:rsidRDefault="00935736" w:rsidP="00EF3054">
            <w:pPr>
              <w:spacing w:line="240" w:lineRule="auto"/>
              <w:rPr>
                <w:rFonts w:asciiTheme="minorHAnsi" w:eastAsia="Times New Roman" w:hAnsiTheme="minorHAnsi" w:cstheme="minorHAnsi"/>
                <w:b/>
                <w:bCs/>
                <w:sz w:val="20"/>
                <w:szCs w:val="20"/>
              </w:rPr>
            </w:pPr>
            <w:r w:rsidRPr="00A24D53">
              <w:rPr>
                <w:rFonts w:asciiTheme="minorHAnsi" w:eastAsia="Times New Roman" w:hAnsiTheme="minorHAnsi" w:cstheme="minorHAnsi"/>
                <w:b/>
                <w:bCs/>
                <w:sz w:val="20"/>
                <w:szCs w:val="20"/>
              </w:rPr>
              <w:t xml:space="preserve">EARMARKED </w:t>
            </w:r>
            <w:r w:rsidR="00EF3054" w:rsidRPr="00A24D53">
              <w:rPr>
                <w:rFonts w:asciiTheme="minorHAnsi" w:eastAsia="Times New Roman" w:hAnsiTheme="minorHAnsi" w:cstheme="minorHAnsi"/>
                <w:b/>
                <w:bCs/>
                <w:sz w:val="20"/>
                <w:szCs w:val="20"/>
              </w:rPr>
              <w:t>-</w:t>
            </w:r>
            <w:r w:rsidRPr="00A24D53">
              <w:rPr>
                <w:rFonts w:asciiTheme="minorHAnsi" w:eastAsia="Times New Roman" w:hAnsiTheme="minorHAnsi" w:cstheme="minorHAnsi"/>
                <w:b/>
                <w:bCs/>
                <w:sz w:val="20"/>
                <w:szCs w:val="20"/>
              </w:rPr>
              <w:t xml:space="preserve"> CAPITAL </w:t>
            </w:r>
            <w:r w:rsidR="00A24D53" w:rsidRPr="00A24D53">
              <w:rPr>
                <w:rFonts w:asciiTheme="minorHAnsi" w:eastAsia="Times New Roman" w:hAnsiTheme="minorHAnsi" w:cstheme="minorHAnsi"/>
                <w:b/>
                <w:bCs/>
                <w:sz w:val="20"/>
                <w:szCs w:val="20"/>
              </w:rPr>
              <w:t xml:space="preserve">AND ESN </w:t>
            </w:r>
            <w:r w:rsidRPr="00A24D53">
              <w:rPr>
                <w:rFonts w:asciiTheme="minorHAnsi" w:eastAsia="Times New Roman" w:hAnsiTheme="minorHAnsi" w:cstheme="minorHAnsi"/>
                <w:b/>
                <w:bCs/>
                <w:sz w:val="20"/>
                <w:szCs w:val="20"/>
              </w:rPr>
              <w:t>RESERVE</w:t>
            </w:r>
          </w:p>
          <w:p w14:paraId="7FE7614A" w14:textId="77777777" w:rsidR="00935736" w:rsidRPr="00A24D53" w:rsidRDefault="00935736" w:rsidP="00EF3054">
            <w:pPr>
              <w:spacing w:line="240" w:lineRule="auto"/>
              <w:rPr>
                <w:rFonts w:asciiTheme="minorHAnsi" w:eastAsia="Times New Roman" w:hAnsiTheme="minorHAnsi" w:cstheme="minorHAnsi"/>
                <w:b/>
                <w:bCs/>
                <w:sz w:val="20"/>
                <w:szCs w:val="20"/>
              </w:rPr>
            </w:pPr>
          </w:p>
        </w:tc>
        <w:tc>
          <w:tcPr>
            <w:tcW w:w="3261" w:type="dxa"/>
          </w:tcPr>
          <w:p w14:paraId="6A8C42A0" w14:textId="77777777" w:rsidR="00935736" w:rsidRPr="00A24D53" w:rsidRDefault="00935736" w:rsidP="00EF3054">
            <w:pPr>
              <w:spacing w:line="240" w:lineRule="auto"/>
              <w:rPr>
                <w:rFonts w:asciiTheme="minorHAnsi" w:eastAsia="Times New Roman" w:hAnsiTheme="minorHAnsi" w:cstheme="minorHAnsi"/>
                <w:sz w:val="20"/>
                <w:szCs w:val="20"/>
              </w:rPr>
            </w:pPr>
          </w:p>
          <w:p w14:paraId="21E4DFF3" w14:textId="785E9A5F"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To meet the costs of ESN and other capital requirements to support the funding of the capital programme.</w:t>
            </w:r>
          </w:p>
          <w:p w14:paraId="64702F5D" w14:textId="77777777" w:rsidR="00935736" w:rsidRPr="00A24D53" w:rsidRDefault="00935736" w:rsidP="00EF3054">
            <w:pPr>
              <w:spacing w:line="240" w:lineRule="auto"/>
              <w:rPr>
                <w:rFonts w:asciiTheme="minorHAnsi" w:eastAsia="Times New Roman" w:hAnsiTheme="minorHAnsi" w:cstheme="minorHAnsi"/>
                <w:sz w:val="20"/>
                <w:szCs w:val="20"/>
              </w:rPr>
            </w:pPr>
          </w:p>
        </w:tc>
        <w:tc>
          <w:tcPr>
            <w:tcW w:w="2410" w:type="dxa"/>
          </w:tcPr>
          <w:p w14:paraId="3ED5E491" w14:textId="77777777" w:rsidR="00935736" w:rsidRPr="00A24D53" w:rsidRDefault="00935736" w:rsidP="00EF3054">
            <w:pPr>
              <w:spacing w:line="240" w:lineRule="auto"/>
              <w:rPr>
                <w:rFonts w:asciiTheme="minorHAnsi" w:eastAsia="Times New Roman" w:hAnsiTheme="minorHAnsi" w:cstheme="minorHAnsi"/>
                <w:sz w:val="20"/>
                <w:szCs w:val="20"/>
              </w:rPr>
            </w:pPr>
          </w:p>
          <w:p w14:paraId="2EAE6A17" w14:textId="3B225FF1"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Used to support funding the capital programme to minimise the cost of external borrowing on NCFRA and the taxpayer.</w:t>
            </w:r>
          </w:p>
        </w:tc>
        <w:tc>
          <w:tcPr>
            <w:tcW w:w="1745" w:type="dxa"/>
          </w:tcPr>
          <w:p w14:paraId="7428BEE8" w14:textId="77777777" w:rsidR="00935736" w:rsidRPr="00A24D53" w:rsidRDefault="00935736" w:rsidP="00EF3054">
            <w:pPr>
              <w:spacing w:line="240" w:lineRule="auto"/>
              <w:rPr>
                <w:rFonts w:asciiTheme="minorHAnsi" w:eastAsia="Times New Roman" w:hAnsiTheme="minorHAnsi" w:cstheme="minorHAnsi"/>
                <w:sz w:val="20"/>
                <w:szCs w:val="20"/>
              </w:rPr>
            </w:pPr>
          </w:p>
          <w:p w14:paraId="5A30C038" w14:textId="6E192105" w:rsidR="00935736" w:rsidRPr="00A24D53" w:rsidRDefault="00A24D53"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Variable</w:t>
            </w:r>
            <w:r w:rsidR="00935736" w:rsidRPr="00A24D53">
              <w:rPr>
                <w:rFonts w:asciiTheme="minorHAnsi" w:eastAsia="Times New Roman" w:hAnsiTheme="minorHAnsi" w:cstheme="minorHAnsi"/>
                <w:sz w:val="20"/>
                <w:szCs w:val="20"/>
              </w:rPr>
              <w:t xml:space="preserve"> according to activities.</w:t>
            </w:r>
          </w:p>
          <w:p w14:paraId="1B4AFA97" w14:textId="77777777" w:rsidR="00935736" w:rsidRPr="00A24D53" w:rsidRDefault="00935736" w:rsidP="00EF3054">
            <w:pPr>
              <w:spacing w:line="240" w:lineRule="auto"/>
              <w:rPr>
                <w:rFonts w:asciiTheme="minorHAnsi" w:eastAsia="Times New Roman" w:hAnsiTheme="minorHAnsi" w:cstheme="minorHAnsi"/>
                <w:sz w:val="20"/>
                <w:szCs w:val="20"/>
              </w:rPr>
            </w:pPr>
          </w:p>
          <w:p w14:paraId="267C28F5" w14:textId="77777777" w:rsidR="00935736" w:rsidRPr="00A24D53" w:rsidRDefault="00935736" w:rsidP="00EF3054">
            <w:pPr>
              <w:spacing w:line="240" w:lineRule="auto"/>
              <w:rPr>
                <w:rFonts w:asciiTheme="minorHAnsi" w:eastAsia="Times New Roman" w:hAnsiTheme="minorHAnsi" w:cstheme="minorHAnsi"/>
                <w:sz w:val="20"/>
                <w:szCs w:val="20"/>
              </w:rPr>
            </w:pPr>
          </w:p>
        </w:tc>
        <w:tc>
          <w:tcPr>
            <w:tcW w:w="3691" w:type="dxa"/>
          </w:tcPr>
          <w:p w14:paraId="5D009B4F" w14:textId="77777777" w:rsidR="00935736" w:rsidRPr="00A24D53" w:rsidRDefault="00935736" w:rsidP="00EF3054">
            <w:pPr>
              <w:spacing w:line="240" w:lineRule="auto"/>
              <w:rPr>
                <w:rFonts w:asciiTheme="minorHAnsi" w:eastAsia="Times New Roman" w:hAnsiTheme="minorHAnsi" w:cstheme="minorHAnsi"/>
                <w:sz w:val="20"/>
                <w:szCs w:val="20"/>
              </w:rPr>
            </w:pPr>
          </w:p>
          <w:p w14:paraId="1876AA51" w14:textId="77777777"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 xml:space="preserve">If funds were not provided, the risk is that the additional costs would have to be factored into the capital programme. </w:t>
            </w:r>
          </w:p>
          <w:p w14:paraId="7561E88E" w14:textId="4730268C" w:rsidR="00EF3054" w:rsidRPr="00A24D53" w:rsidRDefault="00EF3054" w:rsidP="00EF3054">
            <w:pPr>
              <w:spacing w:line="240" w:lineRule="auto"/>
              <w:rPr>
                <w:rFonts w:asciiTheme="minorHAnsi" w:eastAsia="Times New Roman" w:hAnsiTheme="minorHAnsi" w:cstheme="minorHAnsi"/>
                <w:sz w:val="20"/>
                <w:szCs w:val="20"/>
              </w:rPr>
            </w:pPr>
          </w:p>
        </w:tc>
        <w:tc>
          <w:tcPr>
            <w:tcW w:w="1332" w:type="dxa"/>
          </w:tcPr>
          <w:p w14:paraId="043BF807" w14:textId="78A537FD" w:rsidR="00935736" w:rsidRPr="00A24D53" w:rsidRDefault="00935736" w:rsidP="00EF3054">
            <w:pPr>
              <w:spacing w:line="240" w:lineRule="auto"/>
              <w:rPr>
                <w:rFonts w:asciiTheme="minorHAnsi" w:eastAsia="Times New Roman" w:hAnsiTheme="minorHAnsi" w:cstheme="minorHAnsi"/>
                <w:sz w:val="20"/>
                <w:szCs w:val="20"/>
              </w:rPr>
            </w:pPr>
          </w:p>
          <w:p w14:paraId="0BA6E0CA" w14:textId="77777777"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PFCC, on advice from PFCC CFO</w:t>
            </w:r>
          </w:p>
        </w:tc>
        <w:tc>
          <w:tcPr>
            <w:tcW w:w="973" w:type="dxa"/>
          </w:tcPr>
          <w:p w14:paraId="5C9831B0" w14:textId="77777777" w:rsidR="00935736" w:rsidRPr="00A24D53" w:rsidRDefault="00935736" w:rsidP="00EF3054">
            <w:pPr>
              <w:spacing w:line="240" w:lineRule="auto"/>
              <w:rPr>
                <w:rFonts w:asciiTheme="minorHAnsi" w:eastAsia="Times New Roman" w:hAnsiTheme="minorHAnsi" w:cstheme="minorHAnsi"/>
                <w:sz w:val="20"/>
                <w:szCs w:val="20"/>
              </w:rPr>
            </w:pPr>
          </w:p>
          <w:p w14:paraId="55B702CE" w14:textId="77777777"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Annual</w:t>
            </w:r>
          </w:p>
        </w:tc>
      </w:tr>
      <w:tr w:rsidR="00935736" w:rsidRPr="00450555" w14:paraId="43918D05" w14:textId="77777777" w:rsidTr="00935736">
        <w:trPr>
          <w:cantSplit/>
          <w:jc w:val="center"/>
        </w:trPr>
        <w:tc>
          <w:tcPr>
            <w:tcW w:w="1837" w:type="dxa"/>
          </w:tcPr>
          <w:p w14:paraId="5F6EDDEA" w14:textId="77777777" w:rsidR="00935736" w:rsidRPr="006A4F31" w:rsidRDefault="00935736" w:rsidP="00EF3054">
            <w:pPr>
              <w:spacing w:line="240" w:lineRule="auto"/>
              <w:rPr>
                <w:rFonts w:asciiTheme="minorHAnsi" w:eastAsia="Times New Roman" w:hAnsiTheme="minorHAnsi" w:cstheme="minorHAnsi"/>
                <w:b/>
                <w:bCs/>
                <w:sz w:val="20"/>
                <w:szCs w:val="20"/>
              </w:rPr>
            </w:pPr>
          </w:p>
          <w:p w14:paraId="3B443ABE" w14:textId="590117DB" w:rsidR="00935736" w:rsidRPr="006A4F31" w:rsidRDefault="00935736" w:rsidP="00EF3054">
            <w:pPr>
              <w:spacing w:line="240" w:lineRule="auto"/>
              <w:rPr>
                <w:rFonts w:asciiTheme="minorHAnsi" w:eastAsia="Times New Roman" w:hAnsiTheme="minorHAnsi" w:cstheme="minorHAnsi"/>
                <w:b/>
                <w:bCs/>
                <w:sz w:val="20"/>
                <w:szCs w:val="20"/>
              </w:rPr>
            </w:pPr>
            <w:r w:rsidRPr="006A4F31">
              <w:rPr>
                <w:rFonts w:asciiTheme="minorHAnsi" w:eastAsia="Times New Roman" w:hAnsiTheme="minorHAnsi" w:cstheme="minorHAnsi"/>
                <w:b/>
                <w:bCs/>
                <w:sz w:val="20"/>
                <w:szCs w:val="20"/>
              </w:rPr>
              <w:t xml:space="preserve">EARMARKED </w:t>
            </w:r>
            <w:r w:rsidR="00EF3054" w:rsidRPr="006A4F31">
              <w:rPr>
                <w:rFonts w:asciiTheme="minorHAnsi" w:eastAsia="Times New Roman" w:hAnsiTheme="minorHAnsi" w:cstheme="minorHAnsi"/>
                <w:b/>
                <w:bCs/>
                <w:sz w:val="20"/>
                <w:szCs w:val="20"/>
              </w:rPr>
              <w:t>- DEVELOPER CONTRIBUTIONS (</w:t>
            </w:r>
            <w:r w:rsidRPr="006A4F31">
              <w:rPr>
                <w:rFonts w:asciiTheme="minorHAnsi" w:eastAsia="Times New Roman" w:hAnsiTheme="minorHAnsi" w:cstheme="minorHAnsi"/>
                <w:b/>
                <w:bCs/>
                <w:sz w:val="20"/>
                <w:szCs w:val="20"/>
              </w:rPr>
              <w:t>S106</w:t>
            </w:r>
            <w:r w:rsidR="00EF3054" w:rsidRPr="006A4F31">
              <w:rPr>
                <w:rFonts w:asciiTheme="minorHAnsi" w:eastAsia="Times New Roman" w:hAnsiTheme="minorHAnsi" w:cstheme="minorHAnsi"/>
                <w:b/>
                <w:bCs/>
                <w:sz w:val="20"/>
                <w:szCs w:val="20"/>
              </w:rPr>
              <w:t>)</w:t>
            </w:r>
          </w:p>
        </w:tc>
        <w:tc>
          <w:tcPr>
            <w:tcW w:w="3261" w:type="dxa"/>
          </w:tcPr>
          <w:p w14:paraId="438E519B" w14:textId="77777777" w:rsidR="00935736" w:rsidRPr="006A4F31" w:rsidRDefault="00935736" w:rsidP="00EF3054">
            <w:pPr>
              <w:spacing w:line="240" w:lineRule="auto"/>
              <w:rPr>
                <w:rFonts w:asciiTheme="minorHAnsi" w:eastAsia="Times New Roman" w:hAnsiTheme="minorHAnsi" w:cstheme="minorHAnsi"/>
                <w:sz w:val="20"/>
                <w:szCs w:val="20"/>
              </w:rPr>
            </w:pPr>
          </w:p>
          <w:p w14:paraId="7D1CED2A" w14:textId="77777777" w:rsidR="00A24D53" w:rsidRPr="006A4F31" w:rsidRDefault="00A24D53" w:rsidP="00A24D53">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The reserve is held for funds allocated to the PFCC from developers towards the cost of infrastructure developments for Policing.</w:t>
            </w:r>
          </w:p>
          <w:p w14:paraId="59C35CAB" w14:textId="77777777" w:rsidR="00A24D53" w:rsidRPr="006A4F31" w:rsidRDefault="00A24D53" w:rsidP="00A24D53">
            <w:pPr>
              <w:spacing w:line="240" w:lineRule="auto"/>
              <w:rPr>
                <w:rFonts w:asciiTheme="minorHAnsi" w:eastAsia="Times New Roman" w:hAnsiTheme="minorHAnsi" w:cstheme="minorHAnsi"/>
                <w:sz w:val="20"/>
                <w:szCs w:val="20"/>
              </w:rPr>
            </w:pPr>
          </w:p>
          <w:p w14:paraId="45DD8532" w14:textId="36C6E211" w:rsidR="00935736" w:rsidRPr="006A4F31" w:rsidRDefault="00A24D53" w:rsidP="00A24D53">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To meet the additional cost of operational requirements</w:t>
            </w:r>
          </w:p>
        </w:tc>
        <w:tc>
          <w:tcPr>
            <w:tcW w:w="2410" w:type="dxa"/>
          </w:tcPr>
          <w:p w14:paraId="5E4B997E" w14:textId="77777777" w:rsidR="00935736" w:rsidRPr="006A4F31" w:rsidRDefault="00935736" w:rsidP="00EF3054">
            <w:pPr>
              <w:spacing w:line="240" w:lineRule="auto"/>
              <w:rPr>
                <w:rFonts w:asciiTheme="minorHAnsi" w:eastAsia="Times New Roman" w:hAnsiTheme="minorHAnsi" w:cstheme="minorHAnsi"/>
                <w:sz w:val="20"/>
                <w:szCs w:val="20"/>
              </w:rPr>
            </w:pPr>
          </w:p>
          <w:p w14:paraId="154C57CF" w14:textId="34E77B55" w:rsidR="00935736" w:rsidRPr="006A4F31" w:rsidRDefault="00A24D53"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To access the funds a costed request has to be provided which is consistent with the conditions of the developer contribution.</w:t>
            </w:r>
          </w:p>
        </w:tc>
        <w:tc>
          <w:tcPr>
            <w:tcW w:w="1745" w:type="dxa"/>
          </w:tcPr>
          <w:p w14:paraId="2CD15C4B" w14:textId="77777777" w:rsidR="00935736" w:rsidRPr="006A4F31" w:rsidRDefault="00935736" w:rsidP="00EF3054">
            <w:pPr>
              <w:spacing w:line="240" w:lineRule="auto"/>
              <w:rPr>
                <w:rFonts w:asciiTheme="minorHAnsi" w:eastAsia="Times New Roman" w:hAnsiTheme="minorHAnsi" w:cstheme="minorHAnsi"/>
                <w:sz w:val="20"/>
                <w:szCs w:val="20"/>
              </w:rPr>
            </w:pPr>
          </w:p>
          <w:p w14:paraId="71167CF5" w14:textId="77777777" w:rsidR="00A24D53" w:rsidRPr="006A4F31" w:rsidRDefault="00A24D53" w:rsidP="00A24D53">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Variable according to usage.</w:t>
            </w:r>
          </w:p>
          <w:p w14:paraId="69AA8A21" w14:textId="77777777" w:rsidR="00935736" w:rsidRPr="006A4F31" w:rsidRDefault="00935736" w:rsidP="00EF3054">
            <w:pPr>
              <w:spacing w:line="240" w:lineRule="auto"/>
              <w:rPr>
                <w:rFonts w:asciiTheme="minorHAnsi" w:eastAsia="Times New Roman" w:hAnsiTheme="minorHAnsi" w:cstheme="minorHAnsi"/>
                <w:sz w:val="20"/>
                <w:szCs w:val="20"/>
              </w:rPr>
            </w:pPr>
          </w:p>
          <w:p w14:paraId="4E820D4C" w14:textId="77777777" w:rsidR="00935736" w:rsidRPr="006A4F31" w:rsidRDefault="00935736" w:rsidP="00EF3054">
            <w:pPr>
              <w:spacing w:line="240" w:lineRule="auto"/>
              <w:rPr>
                <w:rFonts w:asciiTheme="minorHAnsi" w:eastAsia="Times New Roman" w:hAnsiTheme="minorHAnsi" w:cstheme="minorHAnsi"/>
                <w:sz w:val="20"/>
                <w:szCs w:val="20"/>
              </w:rPr>
            </w:pPr>
          </w:p>
        </w:tc>
        <w:tc>
          <w:tcPr>
            <w:tcW w:w="3691" w:type="dxa"/>
          </w:tcPr>
          <w:p w14:paraId="547DDDF0" w14:textId="77777777" w:rsidR="00935736" w:rsidRPr="006A4F31" w:rsidRDefault="00935736" w:rsidP="00EF3054">
            <w:pPr>
              <w:spacing w:line="240" w:lineRule="auto"/>
              <w:rPr>
                <w:rFonts w:asciiTheme="minorHAnsi" w:eastAsia="Times New Roman" w:hAnsiTheme="minorHAnsi" w:cstheme="minorHAnsi"/>
                <w:sz w:val="20"/>
                <w:szCs w:val="20"/>
              </w:rPr>
            </w:pPr>
          </w:p>
          <w:p w14:paraId="2E679C61" w14:textId="77777777" w:rsidR="006A4F31" w:rsidRPr="006A4F31" w:rsidRDefault="006A4F31" w:rsidP="006A4F31">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If unavailable, the cost of financing capital expenditure could adversely impact revenue budgets into the future.</w:t>
            </w:r>
          </w:p>
          <w:p w14:paraId="57E6FCDE" w14:textId="77777777" w:rsidR="006A4F31" w:rsidRPr="006A4F31" w:rsidRDefault="006A4F31" w:rsidP="006A4F31">
            <w:pPr>
              <w:spacing w:line="240" w:lineRule="auto"/>
              <w:rPr>
                <w:rFonts w:asciiTheme="minorHAnsi" w:eastAsia="Times New Roman" w:hAnsiTheme="minorHAnsi" w:cstheme="minorHAnsi"/>
                <w:sz w:val="20"/>
                <w:szCs w:val="20"/>
              </w:rPr>
            </w:pPr>
          </w:p>
          <w:p w14:paraId="1824C090" w14:textId="537FC35D" w:rsidR="00EF3054" w:rsidRPr="006A4F31" w:rsidRDefault="006A4F31" w:rsidP="006A4F31">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Capital projects may be deemed unaffordable.</w:t>
            </w:r>
          </w:p>
        </w:tc>
        <w:tc>
          <w:tcPr>
            <w:tcW w:w="1332" w:type="dxa"/>
          </w:tcPr>
          <w:p w14:paraId="6E44F95E" w14:textId="48239555" w:rsidR="00935736" w:rsidRPr="006A4F31" w:rsidRDefault="00935736" w:rsidP="00EF3054">
            <w:pPr>
              <w:spacing w:line="240" w:lineRule="auto"/>
              <w:rPr>
                <w:rFonts w:asciiTheme="minorHAnsi" w:eastAsia="Times New Roman" w:hAnsiTheme="minorHAnsi" w:cstheme="minorHAnsi"/>
                <w:sz w:val="20"/>
                <w:szCs w:val="20"/>
              </w:rPr>
            </w:pPr>
          </w:p>
          <w:p w14:paraId="671F8667" w14:textId="77777777"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PFCC, on advice from PFCC CFO</w:t>
            </w:r>
          </w:p>
        </w:tc>
        <w:tc>
          <w:tcPr>
            <w:tcW w:w="973" w:type="dxa"/>
          </w:tcPr>
          <w:p w14:paraId="6D55A6DE" w14:textId="77777777" w:rsidR="00935736" w:rsidRPr="006A4F31" w:rsidRDefault="00935736" w:rsidP="00EF3054">
            <w:pPr>
              <w:spacing w:line="240" w:lineRule="auto"/>
              <w:rPr>
                <w:rFonts w:asciiTheme="minorHAnsi" w:eastAsia="Times New Roman" w:hAnsiTheme="minorHAnsi" w:cstheme="minorHAnsi"/>
                <w:sz w:val="20"/>
                <w:szCs w:val="20"/>
              </w:rPr>
            </w:pPr>
          </w:p>
          <w:p w14:paraId="09EF7CC0" w14:textId="77777777"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Annual</w:t>
            </w:r>
          </w:p>
        </w:tc>
      </w:tr>
      <w:tr w:rsidR="00935736" w:rsidRPr="00450555" w14:paraId="0704E96E" w14:textId="77777777" w:rsidTr="00935736">
        <w:trPr>
          <w:cantSplit/>
          <w:jc w:val="center"/>
        </w:trPr>
        <w:tc>
          <w:tcPr>
            <w:tcW w:w="1837" w:type="dxa"/>
          </w:tcPr>
          <w:p w14:paraId="41DBC64B" w14:textId="77777777" w:rsidR="00935736" w:rsidRPr="006A4F31" w:rsidRDefault="00935736" w:rsidP="00EF3054">
            <w:pPr>
              <w:spacing w:line="240" w:lineRule="auto"/>
              <w:rPr>
                <w:rFonts w:asciiTheme="minorHAnsi" w:eastAsia="Times New Roman" w:hAnsiTheme="minorHAnsi" w:cstheme="minorHAnsi"/>
                <w:b/>
                <w:bCs/>
                <w:sz w:val="20"/>
                <w:szCs w:val="20"/>
              </w:rPr>
            </w:pPr>
          </w:p>
          <w:p w14:paraId="2752FE0B" w14:textId="77777777" w:rsidR="00935736" w:rsidRPr="006A4F31" w:rsidRDefault="00935736" w:rsidP="00EF3054">
            <w:pPr>
              <w:spacing w:line="240" w:lineRule="auto"/>
              <w:rPr>
                <w:rFonts w:asciiTheme="minorHAnsi" w:eastAsia="Times New Roman" w:hAnsiTheme="minorHAnsi" w:cstheme="minorHAnsi"/>
                <w:b/>
                <w:bCs/>
                <w:sz w:val="20"/>
                <w:szCs w:val="20"/>
              </w:rPr>
            </w:pPr>
            <w:r w:rsidRPr="006A4F31">
              <w:rPr>
                <w:rFonts w:asciiTheme="minorHAnsi" w:eastAsia="Times New Roman" w:hAnsiTheme="minorHAnsi" w:cstheme="minorHAnsi"/>
                <w:b/>
                <w:bCs/>
                <w:sz w:val="20"/>
                <w:szCs w:val="20"/>
              </w:rPr>
              <w:t>EARMARKED - CAPITAL GRANTS UNAPPLIED</w:t>
            </w:r>
          </w:p>
        </w:tc>
        <w:tc>
          <w:tcPr>
            <w:tcW w:w="3261" w:type="dxa"/>
          </w:tcPr>
          <w:p w14:paraId="35E8BAD2" w14:textId="77777777" w:rsidR="00935736" w:rsidRPr="006A4F31" w:rsidRDefault="00935736" w:rsidP="00EF3054">
            <w:pPr>
              <w:spacing w:line="240" w:lineRule="auto"/>
              <w:rPr>
                <w:rFonts w:asciiTheme="minorHAnsi" w:eastAsia="Times New Roman" w:hAnsiTheme="minorHAnsi" w:cstheme="minorHAnsi"/>
                <w:sz w:val="20"/>
                <w:szCs w:val="20"/>
              </w:rPr>
            </w:pPr>
          </w:p>
          <w:p w14:paraId="3C53E76D" w14:textId="0405A248" w:rsidR="00935736" w:rsidRPr="006A4F31" w:rsidRDefault="006A4F31"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Used to earmark u</w:t>
            </w:r>
            <w:r w:rsidR="00935736" w:rsidRPr="006A4F31">
              <w:rPr>
                <w:rFonts w:asciiTheme="minorHAnsi" w:eastAsia="Times New Roman" w:hAnsiTheme="minorHAnsi" w:cstheme="minorHAnsi"/>
                <w:sz w:val="20"/>
                <w:szCs w:val="20"/>
              </w:rPr>
              <w:t>napplied grants brought forward from the Governance Transfer with Northamptonshire County Council and</w:t>
            </w:r>
            <w:r w:rsidRPr="006A4F31">
              <w:rPr>
                <w:rFonts w:asciiTheme="minorHAnsi" w:eastAsia="Times New Roman" w:hAnsiTheme="minorHAnsi" w:cstheme="minorHAnsi"/>
                <w:sz w:val="20"/>
                <w:szCs w:val="20"/>
              </w:rPr>
              <w:t xml:space="preserve"> any</w:t>
            </w:r>
            <w:r w:rsidR="00935736" w:rsidRPr="006A4F31">
              <w:rPr>
                <w:rFonts w:asciiTheme="minorHAnsi" w:eastAsia="Times New Roman" w:hAnsiTheme="minorHAnsi" w:cstheme="minorHAnsi"/>
                <w:sz w:val="20"/>
                <w:szCs w:val="20"/>
              </w:rPr>
              <w:t xml:space="preserve"> additional one off grant received from the Home Office.</w:t>
            </w:r>
          </w:p>
        </w:tc>
        <w:tc>
          <w:tcPr>
            <w:tcW w:w="2410" w:type="dxa"/>
          </w:tcPr>
          <w:p w14:paraId="79E211F7" w14:textId="77777777" w:rsidR="00935736" w:rsidRPr="006A4F31" w:rsidRDefault="00935736" w:rsidP="00EF3054">
            <w:pPr>
              <w:spacing w:line="240" w:lineRule="auto"/>
              <w:rPr>
                <w:rFonts w:asciiTheme="minorHAnsi" w:eastAsia="Times New Roman" w:hAnsiTheme="minorHAnsi" w:cstheme="minorHAnsi"/>
                <w:sz w:val="20"/>
                <w:szCs w:val="20"/>
              </w:rPr>
            </w:pPr>
          </w:p>
          <w:p w14:paraId="70D83AF8" w14:textId="77777777"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 xml:space="preserve">Used to support funding in accordance with the grant requirements to minimise the cost of external borrowing on NCFRA and the taxpayer if purchased from capital. </w:t>
            </w:r>
          </w:p>
        </w:tc>
        <w:tc>
          <w:tcPr>
            <w:tcW w:w="1745" w:type="dxa"/>
          </w:tcPr>
          <w:p w14:paraId="325B413E" w14:textId="77777777" w:rsidR="00935736" w:rsidRPr="006A4F31" w:rsidRDefault="00935736" w:rsidP="00EF3054">
            <w:pPr>
              <w:spacing w:line="240" w:lineRule="auto"/>
              <w:rPr>
                <w:rFonts w:asciiTheme="minorHAnsi" w:eastAsia="Times New Roman" w:hAnsiTheme="minorHAnsi" w:cstheme="minorHAnsi"/>
                <w:sz w:val="20"/>
                <w:szCs w:val="20"/>
              </w:rPr>
            </w:pPr>
          </w:p>
          <w:p w14:paraId="71E2B8D1" w14:textId="642BB1DA" w:rsidR="00935736" w:rsidRPr="006A4F31" w:rsidRDefault="006A4F31"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Variable</w:t>
            </w:r>
            <w:r w:rsidR="00935736" w:rsidRPr="006A4F31">
              <w:rPr>
                <w:rFonts w:asciiTheme="minorHAnsi" w:eastAsia="Times New Roman" w:hAnsiTheme="minorHAnsi" w:cstheme="minorHAnsi"/>
                <w:sz w:val="20"/>
                <w:szCs w:val="20"/>
              </w:rPr>
              <w:t xml:space="preserve"> according to activities.</w:t>
            </w:r>
          </w:p>
          <w:p w14:paraId="21D92D34" w14:textId="77777777" w:rsidR="00935736" w:rsidRPr="006A4F31" w:rsidRDefault="00935736" w:rsidP="00EF3054">
            <w:pPr>
              <w:spacing w:line="240" w:lineRule="auto"/>
              <w:rPr>
                <w:rFonts w:asciiTheme="minorHAnsi" w:eastAsia="Times New Roman" w:hAnsiTheme="minorHAnsi" w:cstheme="minorHAnsi"/>
                <w:sz w:val="20"/>
                <w:szCs w:val="20"/>
              </w:rPr>
            </w:pPr>
          </w:p>
          <w:p w14:paraId="23A7E05C" w14:textId="77777777" w:rsidR="00935736" w:rsidRPr="006A4F31" w:rsidRDefault="00935736" w:rsidP="00EF3054">
            <w:pPr>
              <w:spacing w:line="240" w:lineRule="auto"/>
              <w:rPr>
                <w:rFonts w:asciiTheme="minorHAnsi" w:eastAsia="Times New Roman" w:hAnsiTheme="minorHAnsi" w:cstheme="minorHAnsi"/>
                <w:sz w:val="20"/>
                <w:szCs w:val="20"/>
              </w:rPr>
            </w:pPr>
          </w:p>
        </w:tc>
        <w:tc>
          <w:tcPr>
            <w:tcW w:w="3691" w:type="dxa"/>
          </w:tcPr>
          <w:p w14:paraId="7BF64471" w14:textId="77777777" w:rsidR="00935736" w:rsidRPr="006A4F31" w:rsidRDefault="00935736" w:rsidP="00EF3054">
            <w:pPr>
              <w:spacing w:line="240" w:lineRule="auto"/>
              <w:rPr>
                <w:rFonts w:asciiTheme="minorHAnsi" w:eastAsia="Times New Roman" w:hAnsiTheme="minorHAnsi" w:cstheme="minorHAnsi"/>
                <w:sz w:val="20"/>
                <w:szCs w:val="20"/>
              </w:rPr>
            </w:pPr>
          </w:p>
          <w:p w14:paraId="31AC91A5" w14:textId="63F9007F"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The reserve is held for grants awarded for a specific capital purpose.</w:t>
            </w:r>
          </w:p>
          <w:p w14:paraId="6294F023" w14:textId="77777777" w:rsidR="00EF3054" w:rsidRPr="006A4F31" w:rsidRDefault="00EF3054" w:rsidP="00EF3054">
            <w:pPr>
              <w:spacing w:line="240" w:lineRule="auto"/>
              <w:rPr>
                <w:rFonts w:asciiTheme="minorHAnsi" w:eastAsia="Times New Roman" w:hAnsiTheme="minorHAnsi" w:cstheme="minorHAnsi"/>
                <w:sz w:val="20"/>
                <w:szCs w:val="20"/>
              </w:rPr>
            </w:pPr>
          </w:p>
          <w:p w14:paraId="7C062BCD" w14:textId="77777777"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This enables funds to b</w:t>
            </w:r>
            <w:r w:rsidR="00EF3054" w:rsidRPr="006A4F31">
              <w:rPr>
                <w:rFonts w:asciiTheme="minorHAnsi" w:eastAsia="Times New Roman" w:hAnsiTheme="minorHAnsi" w:cstheme="minorHAnsi"/>
                <w:sz w:val="20"/>
                <w:szCs w:val="20"/>
              </w:rPr>
              <w:t>e</w:t>
            </w:r>
            <w:r w:rsidRPr="006A4F31">
              <w:rPr>
                <w:rFonts w:asciiTheme="minorHAnsi" w:eastAsia="Times New Roman" w:hAnsiTheme="minorHAnsi" w:cstheme="minorHAnsi"/>
                <w:sz w:val="20"/>
                <w:szCs w:val="20"/>
              </w:rPr>
              <w:t xml:space="preserve"> used in the most appropriate manner to meet capital expenditure and minimise the cost of borrowing. </w:t>
            </w:r>
          </w:p>
          <w:p w14:paraId="65087370" w14:textId="0D11B980" w:rsidR="00EF3054" w:rsidRPr="006A4F31" w:rsidRDefault="00EF3054" w:rsidP="00EF3054">
            <w:pPr>
              <w:spacing w:line="240" w:lineRule="auto"/>
              <w:rPr>
                <w:rFonts w:asciiTheme="minorHAnsi" w:eastAsia="Times New Roman" w:hAnsiTheme="minorHAnsi" w:cstheme="minorHAnsi"/>
                <w:sz w:val="20"/>
                <w:szCs w:val="20"/>
              </w:rPr>
            </w:pPr>
          </w:p>
        </w:tc>
        <w:tc>
          <w:tcPr>
            <w:tcW w:w="1332" w:type="dxa"/>
          </w:tcPr>
          <w:p w14:paraId="7A56F34C" w14:textId="54FC1041" w:rsidR="00935736" w:rsidRPr="006A4F31" w:rsidRDefault="00935736" w:rsidP="00EF3054">
            <w:pPr>
              <w:spacing w:line="240" w:lineRule="auto"/>
              <w:rPr>
                <w:rFonts w:asciiTheme="minorHAnsi" w:eastAsia="Times New Roman" w:hAnsiTheme="minorHAnsi" w:cstheme="minorHAnsi"/>
                <w:sz w:val="20"/>
                <w:szCs w:val="20"/>
              </w:rPr>
            </w:pPr>
          </w:p>
          <w:p w14:paraId="74C0AE8E" w14:textId="77777777"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PFCC, on advice from PFCC CFO</w:t>
            </w:r>
          </w:p>
        </w:tc>
        <w:tc>
          <w:tcPr>
            <w:tcW w:w="973" w:type="dxa"/>
          </w:tcPr>
          <w:p w14:paraId="08711077" w14:textId="77777777" w:rsidR="00935736" w:rsidRPr="006A4F31" w:rsidRDefault="00935736" w:rsidP="00EF3054">
            <w:pPr>
              <w:spacing w:line="240" w:lineRule="auto"/>
              <w:rPr>
                <w:rFonts w:asciiTheme="minorHAnsi" w:eastAsia="Times New Roman" w:hAnsiTheme="minorHAnsi" w:cstheme="minorHAnsi"/>
                <w:sz w:val="20"/>
                <w:szCs w:val="20"/>
              </w:rPr>
            </w:pPr>
          </w:p>
          <w:p w14:paraId="749158B4" w14:textId="77777777"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Annual</w:t>
            </w:r>
          </w:p>
        </w:tc>
      </w:tr>
    </w:tbl>
    <w:p w14:paraId="627BD423" w14:textId="77777777" w:rsidR="00F115BD" w:rsidRPr="00450555" w:rsidRDefault="00F115BD" w:rsidP="00F115BD">
      <w:pPr>
        <w:rPr>
          <w:rFonts w:asciiTheme="minorHAnsi" w:hAnsiTheme="minorHAnsi" w:cstheme="minorHAnsi"/>
          <w:sz w:val="20"/>
          <w:szCs w:val="20"/>
          <w:highlight w:val="yellow"/>
        </w:rPr>
      </w:pPr>
      <w:r w:rsidRPr="00450555">
        <w:rPr>
          <w:rFonts w:asciiTheme="minorHAnsi" w:hAnsiTheme="minorHAnsi" w:cstheme="minorHAnsi"/>
          <w:sz w:val="20"/>
          <w:szCs w:val="20"/>
          <w:highlight w:val="yellow"/>
        </w:rPr>
        <w:br w:type="page"/>
      </w:r>
    </w:p>
    <w:p w14:paraId="33913F32" w14:textId="77777777" w:rsidR="00E02D66" w:rsidRPr="00450555" w:rsidRDefault="00E02D66" w:rsidP="00EF3054">
      <w:pPr>
        <w:rPr>
          <w:b/>
          <w:highlight w:val="yellow"/>
        </w:rPr>
        <w:sectPr w:rsidR="00E02D66" w:rsidRPr="00450555" w:rsidSect="00F115BD">
          <w:headerReference w:type="even" r:id="rId25"/>
          <w:headerReference w:type="default" r:id="rId26"/>
          <w:footerReference w:type="even" r:id="rId27"/>
          <w:footerReference w:type="default" r:id="rId28"/>
          <w:headerReference w:type="first" r:id="rId29"/>
          <w:footerReference w:type="first" r:id="rId30"/>
          <w:pgSz w:w="16838" w:h="11906" w:orient="landscape"/>
          <w:pgMar w:top="1440" w:right="1440" w:bottom="1440" w:left="1440" w:header="709" w:footer="709" w:gutter="0"/>
          <w:cols w:space="708"/>
          <w:docGrid w:linePitch="360"/>
        </w:sectPr>
      </w:pPr>
    </w:p>
    <w:p w14:paraId="43861EE0" w14:textId="4611E29A" w:rsidR="00F115BD" w:rsidRPr="006A4F31" w:rsidRDefault="000F4427" w:rsidP="00EF3054">
      <w:pPr>
        <w:rPr>
          <w:b/>
        </w:rPr>
      </w:pPr>
      <w:r w:rsidRPr="006A4F31">
        <w:rPr>
          <w:b/>
        </w:rPr>
        <w:lastRenderedPageBreak/>
        <w:t>Annexe 3</w:t>
      </w:r>
    </w:p>
    <w:p w14:paraId="4BAEA0FA" w14:textId="480C35D7" w:rsidR="00F115BD" w:rsidRPr="004C6107" w:rsidRDefault="00F115BD" w:rsidP="00EF3054">
      <w:pPr>
        <w:jc w:val="center"/>
        <w:rPr>
          <w:b/>
        </w:rPr>
      </w:pPr>
      <w:r w:rsidRPr="004C6107">
        <w:rPr>
          <w:b/>
        </w:rPr>
        <w:t xml:space="preserve">Summary of </w:t>
      </w:r>
      <w:r w:rsidR="0081263C" w:rsidRPr="004C6107">
        <w:rPr>
          <w:b/>
        </w:rPr>
        <w:t>Reserve</w:t>
      </w:r>
      <w:r w:rsidRPr="004C6107">
        <w:rPr>
          <w:b/>
        </w:rPr>
        <w:t>s 202</w:t>
      </w:r>
      <w:r w:rsidR="00957066">
        <w:rPr>
          <w:b/>
        </w:rPr>
        <w:t>4</w:t>
      </w:r>
      <w:r w:rsidRPr="004C6107">
        <w:rPr>
          <w:b/>
        </w:rPr>
        <w:t>/2</w:t>
      </w:r>
      <w:r w:rsidR="00957066">
        <w:rPr>
          <w:b/>
        </w:rPr>
        <w:t>5</w:t>
      </w:r>
      <w:r w:rsidRPr="004C6107">
        <w:rPr>
          <w:b/>
        </w:rPr>
        <w:t xml:space="preserve"> to 202</w:t>
      </w:r>
      <w:r w:rsidR="004C6107" w:rsidRPr="004C6107">
        <w:rPr>
          <w:b/>
        </w:rPr>
        <w:t>9</w:t>
      </w:r>
      <w:r w:rsidRPr="004C6107">
        <w:rPr>
          <w:b/>
        </w:rPr>
        <w:t>/20</w:t>
      </w:r>
      <w:r w:rsidR="004C6107" w:rsidRPr="004C6107">
        <w:rPr>
          <w:b/>
        </w:rPr>
        <w:t>30</w:t>
      </w:r>
    </w:p>
    <w:tbl>
      <w:tblPr>
        <w:tblW w:w="9900" w:type="dxa"/>
        <w:tblInd w:w="-431" w:type="dxa"/>
        <w:tblLook w:val="04A0" w:firstRow="1" w:lastRow="0" w:firstColumn="1" w:lastColumn="0" w:noHBand="0" w:noVBand="1"/>
      </w:tblPr>
      <w:tblGrid>
        <w:gridCol w:w="3660"/>
        <w:gridCol w:w="1040"/>
        <w:gridCol w:w="1040"/>
        <w:gridCol w:w="1040"/>
        <w:gridCol w:w="1040"/>
        <w:gridCol w:w="1040"/>
        <w:gridCol w:w="1040"/>
      </w:tblGrid>
      <w:tr w:rsidR="005C15BE" w:rsidRPr="005C15BE" w14:paraId="7180BE25" w14:textId="77777777" w:rsidTr="00957066">
        <w:trPr>
          <w:trHeight w:val="1980"/>
        </w:trPr>
        <w:tc>
          <w:tcPr>
            <w:tcW w:w="3660" w:type="dxa"/>
            <w:tcBorders>
              <w:top w:val="single" w:sz="4" w:space="0" w:color="auto"/>
              <w:left w:val="single" w:sz="4" w:space="0" w:color="auto"/>
              <w:bottom w:val="nil"/>
              <w:right w:val="single" w:sz="4" w:space="0" w:color="auto"/>
            </w:tcBorders>
            <w:shd w:val="clear" w:color="000000" w:fill="C00000"/>
            <w:vAlign w:val="center"/>
            <w:hideMark/>
          </w:tcPr>
          <w:p w14:paraId="2E4404EC"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w:t>
            </w:r>
          </w:p>
        </w:tc>
        <w:tc>
          <w:tcPr>
            <w:tcW w:w="1040" w:type="dxa"/>
            <w:tcBorders>
              <w:top w:val="single" w:sz="4" w:space="0" w:color="auto"/>
              <w:left w:val="nil"/>
              <w:bottom w:val="nil"/>
              <w:right w:val="single" w:sz="4" w:space="0" w:color="auto"/>
            </w:tcBorders>
            <w:shd w:val="clear" w:color="000000" w:fill="C00000"/>
            <w:vAlign w:val="center"/>
            <w:hideMark/>
          </w:tcPr>
          <w:p w14:paraId="027D9759"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Forecast Balance at </w:t>
            </w:r>
            <w:r w:rsidRPr="005C15BE">
              <w:rPr>
                <w:rFonts w:eastAsia="Times New Roman" w:cs="Calibri"/>
                <w:b/>
                <w:bCs/>
                <w:color w:val="FFFFFF"/>
                <w:sz w:val="20"/>
                <w:szCs w:val="20"/>
                <w:lang w:eastAsia="en-GB"/>
              </w:rPr>
              <w:br/>
              <w:t>31 March 2025</w:t>
            </w:r>
          </w:p>
        </w:tc>
        <w:tc>
          <w:tcPr>
            <w:tcW w:w="1040" w:type="dxa"/>
            <w:tcBorders>
              <w:top w:val="single" w:sz="4" w:space="0" w:color="auto"/>
              <w:left w:val="nil"/>
              <w:bottom w:val="nil"/>
              <w:right w:val="single" w:sz="4" w:space="0" w:color="auto"/>
            </w:tcBorders>
            <w:shd w:val="clear" w:color="000000" w:fill="C00000"/>
            <w:vAlign w:val="center"/>
            <w:hideMark/>
          </w:tcPr>
          <w:p w14:paraId="2723DAFE"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Forecast Balance at </w:t>
            </w:r>
            <w:r w:rsidRPr="005C15BE">
              <w:rPr>
                <w:rFonts w:eastAsia="Times New Roman" w:cs="Calibri"/>
                <w:b/>
                <w:bCs/>
                <w:color w:val="FFFFFF"/>
                <w:sz w:val="20"/>
                <w:szCs w:val="20"/>
                <w:lang w:eastAsia="en-GB"/>
              </w:rPr>
              <w:br/>
              <w:t>31 March 2026</w:t>
            </w:r>
          </w:p>
        </w:tc>
        <w:tc>
          <w:tcPr>
            <w:tcW w:w="1040" w:type="dxa"/>
            <w:tcBorders>
              <w:top w:val="single" w:sz="4" w:space="0" w:color="auto"/>
              <w:left w:val="nil"/>
              <w:bottom w:val="nil"/>
              <w:right w:val="single" w:sz="4" w:space="0" w:color="auto"/>
            </w:tcBorders>
            <w:shd w:val="clear" w:color="000000" w:fill="C00000"/>
            <w:vAlign w:val="center"/>
            <w:hideMark/>
          </w:tcPr>
          <w:p w14:paraId="25951BD1"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Forecast Balance at </w:t>
            </w:r>
            <w:r w:rsidRPr="005C15BE">
              <w:rPr>
                <w:rFonts w:eastAsia="Times New Roman" w:cs="Calibri"/>
                <w:b/>
                <w:bCs/>
                <w:color w:val="FFFFFF"/>
                <w:sz w:val="20"/>
                <w:szCs w:val="20"/>
                <w:lang w:eastAsia="en-GB"/>
              </w:rPr>
              <w:br/>
              <w:t>31 March 2027</w:t>
            </w:r>
          </w:p>
        </w:tc>
        <w:tc>
          <w:tcPr>
            <w:tcW w:w="1040" w:type="dxa"/>
            <w:tcBorders>
              <w:top w:val="single" w:sz="4" w:space="0" w:color="auto"/>
              <w:left w:val="nil"/>
              <w:bottom w:val="nil"/>
              <w:right w:val="single" w:sz="4" w:space="0" w:color="auto"/>
            </w:tcBorders>
            <w:shd w:val="clear" w:color="000000" w:fill="C00000"/>
            <w:vAlign w:val="center"/>
            <w:hideMark/>
          </w:tcPr>
          <w:p w14:paraId="6458EDBA"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Forecast Balance at </w:t>
            </w:r>
            <w:r w:rsidRPr="005C15BE">
              <w:rPr>
                <w:rFonts w:eastAsia="Times New Roman" w:cs="Calibri"/>
                <w:b/>
                <w:bCs/>
                <w:color w:val="FFFFFF"/>
                <w:sz w:val="20"/>
                <w:szCs w:val="20"/>
                <w:lang w:eastAsia="en-GB"/>
              </w:rPr>
              <w:br/>
              <w:t>31 March 2028</w:t>
            </w:r>
          </w:p>
        </w:tc>
        <w:tc>
          <w:tcPr>
            <w:tcW w:w="1040" w:type="dxa"/>
            <w:tcBorders>
              <w:top w:val="single" w:sz="4" w:space="0" w:color="auto"/>
              <w:left w:val="nil"/>
              <w:bottom w:val="nil"/>
              <w:right w:val="single" w:sz="4" w:space="0" w:color="auto"/>
            </w:tcBorders>
            <w:shd w:val="clear" w:color="000000" w:fill="C00000"/>
            <w:vAlign w:val="center"/>
            <w:hideMark/>
          </w:tcPr>
          <w:p w14:paraId="42A4D961"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Forecast Balance at </w:t>
            </w:r>
            <w:r w:rsidRPr="005C15BE">
              <w:rPr>
                <w:rFonts w:eastAsia="Times New Roman" w:cs="Calibri"/>
                <w:b/>
                <w:bCs/>
                <w:color w:val="FFFFFF"/>
                <w:sz w:val="20"/>
                <w:szCs w:val="20"/>
                <w:lang w:eastAsia="en-GB"/>
              </w:rPr>
              <w:br/>
              <w:t>31 March 2029</w:t>
            </w:r>
          </w:p>
        </w:tc>
        <w:tc>
          <w:tcPr>
            <w:tcW w:w="1040" w:type="dxa"/>
            <w:tcBorders>
              <w:top w:val="single" w:sz="4" w:space="0" w:color="auto"/>
              <w:left w:val="nil"/>
              <w:bottom w:val="nil"/>
              <w:right w:val="single" w:sz="4" w:space="0" w:color="auto"/>
            </w:tcBorders>
            <w:shd w:val="clear" w:color="000000" w:fill="C00000"/>
            <w:vAlign w:val="center"/>
            <w:hideMark/>
          </w:tcPr>
          <w:p w14:paraId="49342BCA"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Forecast Balance at </w:t>
            </w:r>
            <w:r w:rsidRPr="005C15BE">
              <w:rPr>
                <w:rFonts w:eastAsia="Times New Roman" w:cs="Calibri"/>
                <w:b/>
                <w:bCs/>
                <w:color w:val="FFFFFF"/>
                <w:sz w:val="20"/>
                <w:szCs w:val="20"/>
                <w:lang w:eastAsia="en-GB"/>
              </w:rPr>
              <w:br/>
              <w:t>31 March 2030</w:t>
            </w:r>
          </w:p>
        </w:tc>
      </w:tr>
      <w:tr w:rsidR="005C15BE" w:rsidRPr="005C15BE" w14:paraId="24719B89" w14:textId="77777777" w:rsidTr="00957066">
        <w:trPr>
          <w:trHeight w:val="300"/>
        </w:trPr>
        <w:tc>
          <w:tcPr>
            <w:tcW w:w="3660" w:type="dxa"/>
            <w:tcBorders>
              <w:top w:val="nil"/>
              <w:left w:val="single" w:sz="4" w:space="0" w:color="auto"/>
              <w:bottom w:val="single" w:sz="4" w:space="0" w:color="auto"/>
              <w:right w:val="single" w:sz="4" w:space="0" w:color="auto"/>
            </w:tcBorders>
            <w:shd w:val="clear" w:color="000000" w:fill="C00000"/>
            <w:vAlign w:val="center"/>
            <w:hideMark/>
          </w:tcPr>
          <w:p w14:paraId="730B8281"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w:t>
            </w:r>
          </w:p>
        </w:tc>
        <w:tc>
          <w:tcPr>
            <w:tcW w:w="1040" w:type="dxa"/>
            <w:tcBorders>
              <w:top w:val="nil"/>
              <w:left w:val="nil"/>
              <w:bottom w:val="single" w:sz="4" w:space="0" w:color="auto"/>
              <w:right w:val="single" w:sz="4" w:space="0" w:color="auto"/>
            </w:tcBorders>
            <w:shd w:val="clear" w:color="000000" w:fill="C00000"/>
            <w:vAlign w:val="center"/>
            <w:hideMark/>
          </w:tcPr>
          <w:p w14:paraId="1B9A92D1"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040" w:type="dxa"/>
            <w:tcBorders>
              <w:top w:val="nil"/>
              <w:left w:val="nil"/>
              <w:bottom w:val="single" w:sz="4" w:space="0" w:color="auto"/>
              <w:right w:val="single" w:sz="4" w:space="0" w:color="auto"/>
            </w:tcBorders>
            <w:shd w:val="clear" w:color="000000" w:fill="C00000"/>
            <w:vAlign w:val="center"/>
            <w:hideMark/>
          </w:tcPr>
          <w:p w14:paraId="13FF0A76"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040" w:type="dxa"/>
            <w:tcBorders>
              <w:top w:val="nil"/>
              <w:left w:val="nil"/>
              <w:bottom w:val="single" w:sz="4" w:space="0" w:color="auto"/>
              <w:right w:val="single" w:sz="4" w:space="0" w:color="auto"/>
            </w:tcBorders>
            <w:shd w:val="clear" w:color="000000" w:fill="C00000"/>
            <w:vAlign w:val="center"/>
            <w:hideMark/>
          </w:tcPr>
          <w:p w14:paraId="3A40FCA0"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040" w:type="dxa"/>
            <w:tcBorders>
              <w:top w:val="nil"/>
              <w:left w:val="nil"/>
              <w:bottom w:val="single" w:sz="4" w:space="0" w:color="auto"/>
              <w:right w:val="single" w:sz="4" w:space="0" w:color="auto"/>
            </w:tcBorders>
            <w:shd w:val="clear" w:color="000000" w:fill="C00000"/>
            <w:vAlign w:val="center"/>
            <w:hideMark/>
          </w:tcPr>
          <w:p w14:paraId="6A2862F5"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040" w:type="dxa"/>
            <w:tcBorders>
              <w:top w:val="nil"/>
              <w:left w:val="nil"/>
              <w:bottom w:val="single" w:sz="4" w:space="0" w:color="auto"/>
              <w:right w:val="single" w:sz="4" w:space="0" w:color="auto"/>
            </w:tcBorders>
            <w:shd w:val="clear" w:color="000000" w:fill="C00000"/>
            <w:vAlign w:val="center"/>
            <w:hideMark/>
          </w:tcPr>
          <w:p w14:paraId="2A69533B"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040" w:type="dxa"/>
            <w:tcBorders>
              <w:top w:val="nil"/>
              <w:left w:val="nil"/>
              <w:bottom w:val="single" w:sz="4" w:space="0" w:color="auto"/>
              <w:right w:val="single" w:sz="4" w:space="0" w:color="auto"/>
            </w:tcBorders>
            <w:shd w:val="clear" w:color="000000" w:fill="C00000"/>
            <w:vAlign w:val="center"/>
            <w:hideMark/>
          </w:tcPr>
          <w:p w14:paraId="25AACC70"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r>
      <w:tr w:rsidR="005C15BE" w:rsidRPr="005C15BE" w14:paraId="76CD4BBD"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3568AF1C" w14:textId="77777777" w:rsidR="005C15BE" w:rsidRPr="005C15BE" w:rsidRDefault="005C15BE" w:rsidP="005C15BE">
            <w:pPr>
              <w:spacing w:line="240" w:lineRule="auto"/>
              <w:rPr>
                <w:rFonts w:eastAsia="Times New Roman" w:cs="Calibri"/>
                <w:b/>
                <w:bCs/>
                <w:color w:val="000000"/>
                <w:sz w:val="20"/>
                <w:szCs w:val="20"/>
                <w:u w:val="single"/>
                <w:lang w:eastAsia="en-GB"/>
              </w:rPr>
            </w:pPr>
            <w:r w:rsidRPr="005C15BE">
              <w:rPr>
                <w:rFonts w:eastAsia="Times New Roman" w:cs="Calibri"/>
                <w:b/>
                <w:bCs/>
                <w:color w:val="000000"/>
                <w:sz w:val="20"/>
                <w:szCs w:val="20"/>
                <w:u w:val="single"/>
                <w:lang w:eastAsia="en-GB"/>
              </w:rPr>
              <w:t>Held to meet budgetary risks</w:t>
            </w:r>
          </w:p>
        </w:tc>
        <w:tc>
          <w:tcPr>
            <w:tcW w:w="1040" w:type="dxa"/>
            <w:tcBorders>
              <w:top w:val="nil"/>
              <w:left w:val="nil"/>
              <w:bottom w:val="nil"/>
              <w:right w:val="single" w:sz="4" w:space="0" w:color="auto"/>
            </w:tcBorders>
            <w:shd w:val="clear" w:color="auto" w:fill="auto"/>
            <w:vAlign w:val="center"/>
            <w:hideMark/>
          </w:tcPr>
          <w:p w14:paraId="0C12A4EF" w14:textId="77777777" w:rsidR="005C15BE" w:rsidRPr="005C15BE" w:rsidRDefault="005C15BE" w:rsidP="005C15BE">
            <w:pPr>
              <w:spacing w:line="240" w:lineRule="auto"/>
              <w:jc w:val="center"/>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nil"/>
            </w:tcBorders>
            <w:shd w:val="clear" w:color="auto" w:fill="auto"/>
            <w:vAlign w:val="center"/>
            <w:hideMark/>
          </w:tcPr>
          <w:p w14:paraId="424E1D8C" w14:textId="77777777" w:rsidR="005C15BE" w:rsidRPr="005C15BE" w:rsidRDefault="005C15BE" w:rsidP="005C15BE">
            <w:pPr>
              <w:spacing w:line="240" w:lineRule="auto"/>
              <w:jc w:val="center"/>
              <w:rPr>
                <w:rFonts w:eastAsia="Times New Roman" w:cs="Calibri"/>
                <w:b/>
                <w:bCs/>
                <w:color w:val="000000"/>
                <w:sz w:val="20"/>
                <w:szCs w:val="20"/>
                <w:lang w:eastAsia="en-GB"/>
              </w:rPr>
            </w:pPr>
          </w:p>
        </w:tc>
        <w:tc>
          <w:tcPr>
            <w:tcW w:w="1040" w:type="dxa"/>
            <w:tcBorders>
              <w:top w:val="nil"/>
              <w:left w:val="single" w:sz="4" w:space="0" w:color="auto"/>
              <w:bottom w:val="nil"/>
              <w:right w:val="single" w:sz="4" w:space="0" w:color="auto"/>
            </w:tcBorders>
            <w:shd w:val="clear" w:color="auto" w:fill="auto"/>
            <w:vAlign w:val="center"/>
            <w:hideMark/>
          </w:tcPr>
          <w:p w14:paraId="49D04A97" w14:textId="77777777" w:rsidR="005C15BE" w:rsidRPr="005C15BE" w:rsidRDefault="005C15BE" w:rsidP="005C15BE">
            <w:pPr>
              <w:spacing w:line="240" w:lineRule="auto"/>
              <w:jc w:val="center"/>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nil"/>
            </w:tcBorders>
            <w:shd w:val="clear" w:color="auto" w:fill="auto"/>
            <w:vAlign w:val="center"/>
            <w:hideMark/>
          </w:tcPr>
          <w:p w14:paraId="56CA6EAD" w14:textId="77777777" w:rsidR="005C15BE" w:rsidRPr="005C15BE" w:rsidRDefault="005C15BE" w:rsidP="005C15BE">
            <w:pPr>
              <w:spacing w:line="240" w:lineRule="auto"/>
              <w:jc w:val="center"/>
              <w:rPr>
                <w:rFonts w:eastAsia="Times New Roman" w:cs="Calibri"/>
                <w:b/>
                <w:bCs/>
                <w:color w:val="000000"/>
                <w:sz w:val="20"/>
                <w:szCs w:val="20"/>
                <w:lang w:eastAsia="en-GB"/>
              </w:rPr>
            </w:pPr>
          </w:p>
        </w:tc>
        <w:tc>
          <w:tcPr>
            <w:tcW w:w="1040" w:type="dxa"/>
            <w:tcBorders>
              <w:top w:val="nil"/>
              <w:left w:val="single" w:sz="4" w:space="0" w:color="auto"/>
              <w:bottom w:val="nil"/>
              <w:right w:val="single" w:sz="4" w:space="0" w:color="auto"/>
            </w:tcBorders>
            <w:shd w:val="clear" w:color="auto" w:fill="auto"/>
            <w:vAlign w:val="center"/>
            <w:hideMark/>
          </w:tcPr>
          <w:p w14:paraId="2F04CB4D" w14:textId="77777777" w:rsidR="005C15BE" w:rsidRPr="005C15BE" w:rsidRDefault="005C15BE" w:rsidP="005C15BE">
            <w:pPr>
              <w:spacing w:line="240" w:lineRule="auto"/>
              <w:jc w:val="center"/>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vAlign w:val="center"/>
            <w:hideMark/>
          </w:tcPr>
          <w:p w14:paraId="65F80464" w14:textId="77777777" w:rsidR="005C15BE" w:rsidRPr="005C15BE" w:rsidRDefault="005C15BE" w:rsidP="005C15BE">
            <w:pPr>
              <w:spacing w:line="240" w:lineRule="auto"/>
              <w:jc w:val="center"/>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r>
      <w:tr w:rsidR="005C15BE" w:rsidRPr="005C15BE" w14:paraId="57AD9BA7"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3CDF8294"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Insurance</w:t>
            </w:r>
          </w:p>
        </w:tc>
        <w:tc>
          <w:tcPr>
            <w:tcW w:w="1040" w:type="dxa"/>
            <w:tcBorders>
              <w:top w:val="nil"/>
              <w:left w:val="nil"/>
              <w:bottom w:val="nil"/>
              <w:right w:val="single" w:sz="4" w:space="0" w:color="auto"/>
            </w:tcBorders>
            <w:shd w:val="clear" w:color="auto" w:fill="auto"/>
            <w:noWrap/>
            <w:vAlign w:val="center"/>
            <w:hideMark/>
          </w:tcPr>
          <w:p w14:paraId="65A1376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0.250</w:t>
            </w:r>
          </w:p>
        </w:tc>
        <w:tc>
          <w:tcPr>
            <w:tcW w:w="1040" w:type="dxa"/>
            <w:tcBorders>
              <w:top w:val="nil"/>
              <w:left w:val="nil"/>
              <w:bottom w:val="nil"/>
              <w:right w:val="single" w:sz="4" w:space="0" w:color="auto"/>
            </w:tcBorders>
            <w:shd w:val="clear" w:color="auto" w:fill="auto"/>
            <w:noWrap/>
            <w:vAlign w:val="center"/>
            <w:hideMark/>
          </w:tcPr>
          <w:p w14:paraId="74D7BA9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0.250</w:t>
            </w:r>
          </w:p>
        </w:tc>
        <w:tc>
          <w:tcPr>
            <w:tcW w:w="1040" w:type="dxa"/>
            <w:tcBorders>
              <w:top w:val="nil"/>
              <w:left w:val="nil"/>
              <w:bottom w:val="nil"/>
              <w:right w:val="single" w:sz="4" w:space="0" w:color="auto"/>
            </w:tcBorders>
            <w:shd w:val="clear" w:color="auto" w:fill="auto"/>
            <w:noWrap/>
            <w:vAlign w:val="center"/>
            <w:hideMark/>
          </w:tcPr>
          <w:p w14:paraId="131D3D72"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0.250</w:t>
            </w:r>
          </w:p>
        </w:tc>
        <w:tc>
          <w:tcPr>
            <w:tcW w:w="1040" w:type="dxa"/>
            <w:tcBorders>
              <w:top w:val="nil"/>
              <w:left w:val="nil"/>
              <w:bottom w:val="nil"/>
              <w:right w:val="single" w:sz="4" w:space="0" w:color="auto"/>
            </w:tcBorders>
            <w:shd w:val="clear" w:color="auto" w:fill="auto"/>
            <w:noWrap/>
            <w:vAlign w:val="center"/>
            <w:hideMark/>
          </w:tcPr>
          <w:p w14:paraId="63CB0020"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0.250</w:t>
            </w:r>
          </w:p>
        </w:tc>
        <w:tc>
          <w:tcPr>
            <w:tcW w:w="1040" w:type="dxa"/>
            <w:tcBorders>
              <w:top w:val="nil"/>
              <w:left w:val="nil"/>
              <w:bottom w:val="nil"/>
              <w:right w:val="single" w:sz="4" w:space="0" w:color="auto"/>
            </w:tcBorders>
            <w:shd w:val="clear" w:color="auto" w:fill="auto"/>
            <w:noWrap/>
            <w:vAlign w:val="center"/>
            <w:hideMark/>
          </w:tcPr>
          <w:p w14:paraId="7DD0B0E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0.250</w:t>
            </w:r>
          </w:p>
        </w:tc>
        <w:tc>
          <w:tcPr>
            <w:tcW w:w="1040" w:type="dxa"/>
            <w:tcBorders>
              <w:top w:val="nil"/>
              <w:left w:val="nil"/>
              <w:bottom w:val="nil"/>
              <w:right w:val="single" w:sz="4" w:space="0" w:color="auto"/>
            </w:tcBorders>
            <w:shd w:val="clear" w:color="auto" w:fill="auto"/>
            <w:noWrap/>
            <w:vAlign w:val="center"/>
            <w:hideMark/>
          </w:tcPr>
          <w:p w14:paraId="4A20641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0.250</w:t>
            </w:r>
          </w:p>
        </w:tc>
      </w:tr>
      <w:tr w:rsidR="005C15BE" w:rsidRPr="005C15BE" w14:paraId="59FF1541"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3A393DD2"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Operational Equipment</w:t>
            </w:r>
          </w:p>
        </w:tc>
        <w:tc>
          <w:tcPr>
            <w:tcW w:w="1040" w:type="dxa"/>
            <w:tcBorders>
              <w:top w:val="nil"/>
              <w:left w:val="nil"/>
              <w:bottom w:val="nil"/>
              <w:right w:val="single" w:sz="4" w:space="0" w:color="auto"/>
            </w:tcBorders>
            <w:shd w:val="clear" w:color="auto" w:fill="auto"/>
            <w:noWrap/>
            <w:vAlign w:val="center"/>
            <w:hideMark/>
          </w:tcPr>
          <w:p w14:paraId="41056733"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0.075</w:t>
            </w:r>
          </w:p>
        </w:tc>
        <w:tc>
          <w:tcPr>
            <w:tcW w:w="1040" w:type="dxa"/>
            <w:tcBorders>
              <w:top w:val="nil"/>
              <w:left w:val="nil"/>
              <w:bottom w:val="nil"/>
              <w:right w:val="single" w:sz="4" w:space="0" w:color="auto"/>
            </w:tcBorders>
            <w:shd w:val="clear" w:color="auto" w:fill="auto"/>
            <w:noWrap/>
            <w:vAlign w:val="center"/>
            <w:hideMark/>
          </w:tcPr>
          <w:p w14:paraId="0754D51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0.096</w:t>
            </w:r>
          </w:p>
        </w:tc>
        <w:tc>
          <w:tcPr>
            <w:tcW w:w="1040" w:type="dxa"/>
            <w:tcBorders>
              <w:top w:val="nil"/>
              <w:left w:val="nil"/>
              <w:bottom w:val="nil"/>
              <w:right w:val="single" w:sz="4" w:space="0" w:color="auto"/>
            </w:tcBorders>
            <w:shd w:val="clear" w:color="auto" w:fill="auto"/>
            <w:noWrap/>
            <w:vAlign w:val="center"/>
            <w:hideMark/>
          </w:tcPr>
          <w:p w14:paraId="5C7E8FDE"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0.196</w:t>
            </w:r>
          </w:p>
        </w:tc>
        <w:tc>
          <w:tcPr>
            <w:tcW w:w="1040" w:type="dxa"/>
            <w:tcBorders>
              <w:top w:val="nil"/>
              <w:left w:val="nil"/>
              <w:bottom w:val="nil"/>
              <w:right w:val="single" w:sz="4" w:space="0" w:color="auto"/>
            </w:tcBorders>
            <w:shd w:val="clear" w:color="auto" w:fill="auto"/>
            <w:noWrap/>
            <w:vAlign w:val="center"/>
            <w:hideMark/>
          </w:tcPr>
          <w:p w14:paraId="7E62154E"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0.296</w:t>
            </w:r>
          </w:p>
        </w:tc>
        <w:tc>
          <w:tcPr>
            <w:tcW w:w="1040" w:type="dxa"/>
            <w:tcBorders>
              <w:top w:val="nil"/>
              <w:left w:val="nil"/>
              <w:bottom w:val="nil"/>
              <w:right w:val="single" w:sz="4" w:space="0" w:color="auto"/>
            </w:tcBorders>
            <w:shd w:val="clear" w:color="auto" w:fill="auto"/>
            <w:noWrap/>
            <w:vAlign w:val="center"/>
            <w:hideMark/>
          </w:tcPr>
          <w:p w14:paraId="13D8537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0.396</w:t>
            </w:r>
          </w:p>
        </w:tc>
        <w:tc>
          <w:tcPr>
            <w:tcW w:w="1040" w:type="dxa"/>
            <w:tcBorders>
              <w:top w:val="nil"/>
              <w:left w:val="nil"/>
              <w:bottom w:val="nil"/>
              <w:right w:val="single" w:sz="4" w:space="0" w:color="auto"/>
            </w:tcBorders>
            <w:shd w:val="clear" w:color="auto" w:fill="auto"/>
            <w:noWrap/>
            <w:vAlign w:val="center"/>
            <w:hideMark/>
          </w:tcPr>
          <w:p w14:paraId="6D07A984"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0.496</w:t>
            </w:r>
          </w:p>
        </w:tc>
      </w:tr>
      <w:tr w:rsidR="005C15BE" w:rsidRPr="005C15BE" w14:paraId="7CF92288"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29DF3276"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 </w:t>
            </w:r>
          </w:p>
        </w:tc>
        <w:tc>
          <w:tcPr>
            <w:tcW w:w="1040" w:type="dxa"/>
            <w:tcBorders>
              <w:top w:val="single" w:sz="4" w:space="0" w:color="auto"/>
              <w:left w:val="nil"/>
              <w:bottom w:val="nil"/>
              <w:right w:val="single" w:sz="4" w:space="0" w:color="auto"/>
            </w:tcBorders>
            <w:shd w:val="clear" w:color="auto" w:fill="auto"/>
            <w:noWrap/>
            <w:vAlign w:val="center"/>
            <w:hideMark/>
          </w:tcPr>
          <w:p w14:paraId="729F9628"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0.325</w:t>
            </w:r>
          </w:p>
        </w:tc>
        <w:tc>
          <w:tcPr>
            <w:tcW w:w="1040" w:type="dxa"/>
            <w:tcBorders>
              <w:top w:val="single" w:sz="4" w:space="0" w:color="auto"/>
              <w:left w:val="nil"/>
              <w:bottom w:val="nil"/>
              <w:right w:val="single" w:sz="4" w:space="0" w:color="auto"/>
            </w:tcBorders>
            <w:shd w:val="clear" w:color="auto" w:fill="auto"/>
            <w:noWrap/>
            <w:vAlign w:val="center"/>
            <w:hideMark/>
          </w:tcPr>
          <w:p w14:paraId="6F506CB2"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0.346</w:t>
            </w:r>
          </w:p>
        </w:tc>
        <w:tc>
          <w:tcPr>
            <w:tcW w:w="1040" w:type="dxa"/>
            <w:tcBorders>
              <w:top w:val="single" w:sz="4" w:space="0" w:color="auto"/>
              <w:left w:val="nil"/>
              <w:bottom w:val="nil"/>
              <w:right w:val="single" w:sz="4" w:space="0" w:color="auto"/>
            </w:tcBorders>
            <w:shd w:val="clear" w:color="auto" w:fill="auto"/>
            <w:noWrap/>
            <w:vAlign w:val="center"/>
            <w:hideMark/>
          </w:tcPr>
          <w:p w14:paraId="7B66E5B7"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0.446</w:t>
            </w:r>
          </w:p>
        </w:tc>
        <w:tc>
          <w:tcPr>
            <w:tcW w:w="1040" w:type="dxa"/>
            <w:tcBorders>
              <w:top w:val="single" w:sz="4" w:space="0" w:color="auto"/>
              <w:left w:val="nil"/>
              <w:bottom w:val="nil"/>
              <w:right w:val="single" w:sz="4" w:space="0" w:color="auto"/>
            </w:tcBorders>
            <w:shd w:val="clear" w:color="auto" w:fill="auto"/>
            <w:noWrap/>
            <w:vAlign w:val="center"/>
            <w:hideMark/>
          </w:tcPr>
          <w:p w14:paraId="3587A3D4"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0.546</w:t>
            </w:r>
          </w:p>
        </w:tc>
        <w:tc>
          <w:tcPr>
            <w:tcW w:w="1040" w:type="dxa"/>
            <w:tcBorders>
              <w:top w:val="single" w:sz="4" w:space="0" w:color="auto"/>
              <w:left w:val="nil"/>
              <w:bottom w:val="nil"/>
              <w:right w:val="single" w:sz="4" w:space="0" w:color="auto"/>
            </w:tcBorders>
            <w:shd w:val="clear" w:color="auto" w:fill="auto"/>
            <w:noWrap/>
            <w:vAlign w:val="center"/>
            <w:hideMark/>
          </w:tcPr>
          <w:p w14:paraId="2FA4C9B8"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0.646</w:t>
            </w:r>
          </w:p>
        </w:tc>
        <w:tc>
          <w:tcPr>
            <w:tcW w:w="1040" w:type="dxa"/>
            <w:tcBorders>
              <w:top w:val="single" w:sz="4" w:space="0" w:color="auto"/>
              <w:left w:val="nil"/>
              <w:bottom w:val="nil"/>
              <w:right w:val="single" w:sz="4" w:space="0" w:color="auto"/>
            </w:tcBorders>
            <w:shd w:val="clear" w:color="auto" w:fill="auto"/>
            <w:noWrap/>
            <w:vAlign w:val="center"/>
            <w:hideMark/>
          </w:tcPr>
          <w:p w14:paraId="5FDB592E"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0.746</w:t>
            </w:r>
          </w:p>
        </w:tc>
      </w:tr>
      <w:tr w:rsidR="005C15BE" w:rsidRPr="005C15BE" w14:paraId="555752F5"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7CAEC007" w14:textId="77777777" w:rsidR="005C15BE" w:rsidRPr="005C15BE" w:rsidRDefault="005C15BE" w:rsidP="005C15BE">
            <w:pPr>
              <w:spacing w:line="240" w:lineRule="auto"/>
              <w:rPr>
                <w:rFonts w:eastAsia="Times New Roman" w:cs="Calibri"/>
                <w:b/>
                <w:bCs/>
                <w:color w:val="000000"/>
                <w:sz w:val="20"/>
                <w:szCs w:val="20"/>
                <w:u w:val="single"/>
                <w:lang w:eastAsia="en-GB"/>
              </w:rPr>
            </w:pPr>
            <w:r w:rsidRPr="005C15BE">
              <w:rPr>
                <w:rFonts w:eastAsia="Times New Roman" w:cs="Calibri"/>
                <w:b/>
                <w:bCs/>
                <w:color w:val="000000"/>
                <w:sz w:val="20"/>
                <w:szCs w:val="20"/>
                <w:u w:val="single"/>
                <w:lang w:eastAsia="en-GB"/>
              </w:rPr>
              <w:t>Held to support the medium term budget</w:t>
            </w:r>
          </w:p>
        </w:tc>
        <w:tc>
          <w:tcPr>
            <w:tcW w:w="1040" w:type="dxa"/>
            <w:tcBorders>
              <w:top w:val="nil"/>
              <w:left w:val="nil"/>
              <w:bottom w:val="nil"/>
              <w:right w:val="single" w:sz="4" w:space="0" w:color="auto"/>
            </w:tcBorders>
            <w:shd w:val="clear" w:color="auto" w:fill="auto"/>
            <w:noWrap/>
            <w:vAlign w:val="center"/>
            <w:hideMark/>
          </w:tcPr>
          <w:p w14:paraId="5709B9DD"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B2C2DBA"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58E2F543"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15E7EA21"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7D0D9ED8"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0E93C0C7"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r>
      <w:tr w:rsidR="005C15BE" w:rsidRPr="005C15BE" w14:paraId="1926D9BD"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1216517B"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 xml:space="preserve">Carry Forwards </w:t>
            </w:r>
          </w:p>
        </w:tc>
        <w:tc>
          <w:tcPr>
            <w:tcW w:w="1040" w:type="dxa"/>
            <w:tcBorders>
              <w:top w:val="nil"/>
              <w:left w:val="nil"/>
              <w:bottom w:val="nil"/>
              <w:right w:val="single" w:sz="4" w:space="0" w:color="auto"/>
            </w:tcBorders>
            <w:shd w:val="clear" w:color="auto" w:fill="auto"/>
            <w:noWrap/>
            <w:vAlign w:val="center"/>
            <w:hideMark/>
          </w:tcPr>
          <w:p w14:paraId="7D40924E"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3139A423"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0B5A987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2D9837EB"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43A603AB"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52E79408"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r>
      <w:tr w:rsidR="005C15BE" w:rsidRPr="005C15BE" w14:paraId="116A3292"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027BF18B"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Smoothing Reserve</w:t>
            </w:r>
          </w:p>
        </w:tc>
        <w:tc>
          <w:tcPr>
            <w:tcW w:w="1040" w:type="dxa"/>
            <w:tcBorders>
              <w:top w:val="nil"/>
              <w:left w:val="nil"/>
              <w:bottom w:val="nil"/>
              <w:right w:val="single" w:sz="4" w:space="0" w:color="auto"/>
            </w:tcBorders>
            <w:shd w:val="clear" w:color="auto" w:fill="auto"/>
            <w:noWrap/>
            <w:vAlign w:val="center"/>
            <w:hideMark/>
          </w:tcPr>
          <w:p w14:paraId="67EE18B7"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1.507</w:t>
            </w:r>
          </w:p>
        </w:tc>
        <w:tc>
          <w:tcPr>
            <w:tcW w:w="1040" w:type="dxa"/>
            <w:tcBorders>
              <w:top w:val="nil"/>
              <w:left w:val="nil"/>
              <w:bottom w:val="nil"/>
              <w:right w:val="single" w:sz="4" w:space="0" w:color="auto"/>
            </w:tcBorders>
            <w:shd w:val="clear" w:color="auto" w:fill="auto"/>
            <w:noWrap/>
            <w:vAlign w:val="center"/>
            <w:hideMark/>
          </w:tcPr>
          <w:p w14:paraId="34371FA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1.070</w:t>
            </w:r>
          </w:p>
        </w:tc>
        <w:tc>
          <w:tcPr>
            <w:tcW w:w="1040" w:type="dxa"/>
            <w:tcBorders>
              <w:top w:val="nil"/>
              <w:left w:val="nil"/>
              <w:bottom w:val="nil"/>
              <w:right w:val="single" w:sz="4" w:space="0" w:color="auto"/>
            </w:tcBorders>
            <w:shd w:val="clear" w:color="auto" w:fill="auto"/>
            <w:noWrap/>
            <w:vAlign w:val="center"/>
            <w:hideMark/>
          </w:tcPr>
          <w:p w14:paraId="41C69EE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1.070</w:t>
            </w:r>
          </w:p>
        </w:tc>
        <w:tc>
          <w:tcPr>
            <w:tcW w:w="1040" w:type="dxa"/>
            <w:tcBorders>
              <w:top w:val="nil"/>
              <w:left w:val="nil"/>
              <w:bottom w:val="nil"/>
              <w:right w:val="single" w:sz="4" w:space="0" w:color="auto"/>
            </w:tcBorders>
            <w:shd w:val="clear" w:color="auto" w:fill="auto"/>
            <w:noWrap/>
            <w:vAlign w:val="center"/>
            <w:hideMark/>
          </w:tcPr>
          <w:p w14:paraId="7BCB4EE5"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1.070</w:t>
            </w:r>
          </w:p>
        </w:tc>
        <w:tc>
          <w:tcPr>
            <w:tcW w:w="1040" w:type="dxa"/>
            <w:tcBorders>
              <w:top w:val="nil"/>
              <w:left w:val="nil"/>
              <w:bottom w:val="nil"/>
              <w:right w:val="single" w:sz="4" w:space="0" w:color="auto"/>
            </w:tcBorders>
            <w:shd w:val="clear" w:color="auto" w:fill="auto"/>
            <w:noWrap/>
            <w:vAlign w:val="center"/>
            <w:hideMark/>
          </w:tcPr>
          <w:p w14:paraId="419EA9DE"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1.070</w:t>
            </w:r>
          </w:p>
        </w:tc>
        <w:tc>
          <w:tcPr>
            <w:tcW w:w="1040" w:type="dxa"/>
            <w:tcBorders>
              <w:top w:val="nil"/>
              <w:left w:val="nil"/>
              <w:bottom w:val="nil"/>
              <w:right w:val="single" w:sz="4" w:space="0" w:color="auto"/>
            </w:tcBorders>
            <w:shd w:val="clear" w:color="auto" w:fill="auto"/>
            <w:noWrap/>
            <w:vAlign w:val="center"/>
            <w:hideMark/>
          </w:tcPr>
          <w:p w14:paraId="7EE77B18"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1.070</w:t>
            </w:r>
          </w:p>
        </w:tc>
      </w:tr>
      <w:tr w:rsidR="005C15BE" w:rsidRPr="005C15BE" w14:paraId="20F17CAF"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3222BF6A"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single" w:sz="4" w:space="0" w:color="auto"/>
              <w:left w:val="nil"/>
              <w:bottom w:val="nil"/>
              <w:right w:val="single" w:sz="4" w:space="0" w:color="auto"/>
            </w:tcBorders>
            <w:shd w:val="clear" w:color="auto" w:fill="auto"/>
            <w:noWrap/>
            <w:vAlign w:val="center"/>
            <w:hideMark/>
          </w:tcPr>
          <w:p w14:paraId="7A161E12"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1.507</w:t>
            </w:r>
          </w:p>
        </w:tc>
        <w:tc>
          <w:tcPr>
            <w:tcW w:w="1040" w:type="dxa"/>
            <w:tcBorders>
              <w:top w:val="single" w:sz="4" w:space="0" w:color="auto"/>
              <w:left w:val="nil"/>
              <w:bottom w:val="nil"/>
              <w:right w:val="single" w:sz="4" w:space="0" w:color="auto"/>
            </w:tcBorders>
            <w:shd w:val="clear" w:color="auto" w:fill="auto"/>
            <w:noWrap/>
            <w:vAlign w:val="center"/>
            <w:hideMark/>
          </w:tcPr>
          <w:p w14:paraId="3D8C8D34"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1.070</w:t>
            </w:r>
          </w:p>
        </w:tc>
        <w:tc>
          <w:tcPr>
            <w:tcW w:w="1040" w:type="dxa"/>
            <w:tcBorders>
              <w:top w:val="single" w:sz="4" w:space="0" w:color="auto"/>
              <w:left w:val="nil"/>
              <w:bottom w:val="nil"/>
              <w:right w:val="single" w:sz="4" w:space="0" w:color="auto"/>
            </w:tcBorders>
            <w:shd w:val="clear" w:color="auto" w:fill="auto"/>
            <w:noWrap/>
            <w:vAlign w:val="center"/>
            <w:hideMark/>
          </w:tcPr>
          <w:p w14:paraId="5411D6AF"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1.070</w:t>
            </w:r>
          </w:p>
        </w:tc>
        <w:tc>
          <w:tcPr>
            <w:tcW w:w="1040" w:type="dxa"/>
            <w:tcBorders>
              <w:top w:val="single" w:sz="4" w:space="0" w:color="auto"/>
              <w:left w:val="nil"/>
              <w:bottom w:val="nil"/>
              <w:right w:val="single" w:sz="4" w:space="0" w:color="auto"/>
            </w:tcBorders>
            <w:shd w:val="clear" w:color="auto" w:fill="auto"/>
            <w:noWrap/>
            <w:vAlign w:val="center"/>
            <w:hideMark/>
          </w:tcPr>
          <w:p w14:paraId="4B65ECC3"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1.070</w:t>
            </w:r>
          </w:p>
        </w:tc>
        <w:tc>
          <w:tcPr>
            <w:tcW w:w="1040" w:type="dxa"/>
            <w:tcBorders>
              <w:top w:val="single" w:sz="4" w:space="0" w:color="auto"/>
              <w:left w:val="nil"/>
              <w:bottom w:val="nil"/>
              <w:right w:val="single" w:sz="4" w:space="0" w:color="auto"/>
            </w:tcBorders>
            <w:shd w:val="clear" w:color="auto" w:fill="auto"/>
            <w:noWrap/>
            <w:vAlign w:val="center"/>
            <w:hideMark/>
          </w:tcPr>
          <w:p w14:paraId="2038D1FA"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1.070</w:t>
            </w:r>
          </w:p>
        </w:tc>
        <w:tc>
          <w:tcPr>
            <w:tcW w:w="1040" w:type="dxa"/>
            <w:tcBorders>
              <w:top w:val="single" w:sz="4" w:space="0" w:color="auto"/>
              <w:left w:val="nil"/>
              <w:bottom w:val="nil"/>
              <w:right w:val="single" w:sz="4" w:space="0" w:color="auto"/>
            </w:tcBorders>
            <w:shd w:val="clear" w:color="auto" w:fill="auto"/>
            <w:noWrap/>
            <w:vAlign w:val="center"/>
            <w:hideMark/>
          </w:tcPr>
          <w:p w14:paraId="3EDC3531"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1.070</w:t>
            </w:r>
          </w:p>
        </w:tc>
      </w:tr>
      <w:tr w:rsidR="005C15BE" w:rsidRPr="005C15BE" w14:paraId="1EA8C962"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6B48FDEB" w14:textId="77777777" w:rsidR="005C15BE" w:rsidRPr="005C15BE" w:rsidRDefault="005C15BE" w:rsidP="005C15BE">
            <w:pPr>
              <w:spacing w:line="240" w:lineRule="auto"/>
              <w:rPr>
                <w:rFonts w:eastAsia="Times New Roman" w:cs="Calibri"/>
                <w:b/>
                <w:bCs/>
                <w:color w:val="000000"/>
                <w:sz w:val="20"/>
                <w:szCs w:val="20"/>
                <w:u w:val="single"/>
                <w:lang w:eastAsia="en-GB"/>
              </w:rPr>
            </w:pPr>
            <w:r w:rsidRPr="005C15BE">
              <w:rPr>
                <w:rFonts w:eastAsia="Times New Roman" w:cs="Calibri"/>
                <w:b/>
                <w:bCs/>
                <w:color w:val="000000"/>
                <w:sz w:val="20"/>
                <w:szCs w:val="20"/>
                <w:u w:val="single"/>
                <w:lang w:eastAsia="en-GB"/>
              </w:rPr>
              <w:t>Held to facilitate change programmes</w:t>
            </w:r>
          </w:p>
        </w:tc>
        <w:tc>
          <w:tcPr>
            <w:tcW w:w="1040" w:type="dxa"/>
            <w:tcBorders>
              <w:top w:val="nil"/>
              <w:left w:val="nil"/>
              <w:bottom w:val="nil"/>
              <w:right w:val="single" w:sz="4" w:space="0" w:color="auto"/>
            </w:tcBorders>
            <w:shd w:val="clear" w:color="auto" w:fill="auto"/>
            <w:noWrap/>
            <w:vAlign w:val="center"/>
            <w:hideMark/>
          </w:tcPr>
          <w:p w14:paraId="6A4210FC"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0392940E"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9467DE8"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1058F631"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3FE95F29"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76F48BEC"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r>
      <w:tr w:rsidR="005C15BE" w:rsidRPr="005C15BE" w14:paraId="3DC7B204"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4C4276C3"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Transformation Reserve</w:t>
            </w:r>
          </w:p>
        </w:tc>
        <w:tc>
          <w:tcPr>
            <w:tcW w:w="1040" w:type="dxa"/>
            <w:tcBorders>
              <w:top w:val="nil"/>
              <w:left w:val="nil"/>
              <w:bottom w:val="nil"/>
              <w:right w:val="single" w:sz="4" w:space="0" w:color="auto"/>
            </w:tcBorders>
            <w:shd w:val="clear" w:color="auto" w:fill="auto"/>
            <w:noWrap/>
            <w:vAlign w:val="center"/>
            <w:hideMark/>
          </w:tcPr>
          <w:p w14:paraId="2CD2FF97"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0.952</w:t>
            </w:r>
          </w:p>
        </w:tc>
        <w:tc>
          <w:tcPr>
            <w:tcW w:w="1040" w:type="dxa"/>
            <w:tcBorders>
              <w:top w:val="nil"/>
              <w:left w:val="nil"/>
              <w:bottom w:val="nil"/>
              <w:right w:val="single" w:sz="4" w:space="0" w:color="auto"/>
            </w:tcBorders>
            <w:shd w:val="clear" w:color="auto" w:fill="auto"/>
            <w:noWrap/>
            <w:vAlign w:val="center"/>
            <w:hideMark/>
          </w:tcPr>
          <w:p w14:paraId="35A41B26"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0.702</w:t>
            </w:r>
          </w:p>
        </w:tc>
        <w:tc>
          <w:tcPr>
            <w:tcW w:w="1040" w:type="dxa"/>
            <w:tcBorders>
              <w:top w:val="nil"/>
              <w:left w:val="nil"/>
              <w:bottom w:val="nil"/>
              <w:right w:val="single" w:sz="4" w:space="0" w:color="auto"/>
            </w:tcBorders>
            <w:shd w:val="clear" w:color="auto" w:fill="auto"/>
            <w:noWrap/>
            <w:vAlign w:val="center"/>
            <w:hideMark/>
          </w:tcPr>
          <w:p w14:paraId="73B24BBB"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0.202</w:t>
            </w:r>
          </w:p>
        </w:tc>
        <w:tc>
          <w:tcPr>
            <w:tcW w:w="1040" w:type="dxa"/>
            <w:tcBorders>
              <w:top w:val="nil"/>
              <w:left w:val="nil"/>
              <w:bottom w:val="nil"/>
              <w:right w:val="single" w:sz="4" w:space="0" w:color="auto"/>
            </w:tcBorders>
            <w:shd w:val="clear" w:color="auto" w:fill="auto"/>
            <w:noWrap/>
            <w:vAlign w:val="center"/>
            <w:hideMark/>
          </w:tcPr>
          <w:p w14:paraId="1A10375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7B28394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51297058"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r>
      <w:tr w:rsidR="005C15BE" w:rsidRPr="005C15BE" w14:paraId="11A6ECA3"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31051952"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single" w:sz="4" w:space="0" w:color="auto"/>
              <w:left w:val="nil"/>
              <w:bottom w:val="nil"/>
              <w:right w:val="single" w:sz="4" w:space="0" w:color="auto"/>
            </w:tcBorders>
            <w:shd w:val="clear" w:color="auto" w:fill="auto"/>
            <w:noWrap/>
            <w:vAlign w:val="center"/>
            <w:hideMark/>
          </w:tcPr>
          <w:p w14:paraId="2BA93EC6"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0.952</w:t>
            </w:r>
          </w:p>
        </w:tc>
        <w:tc>
          <w:tcPr>
            <w:tcW w:w="1040" w:type="dxa"/>
            <w:tcBorders>
              <w:top w:val="single" w:sz="4" w:space="0" w:color="auto"/>
              <w:left w:val="nil"/>
              <w:bottom w:val="nil"/>
              <w:right w:val="single" w:sz="4" w:space="0" w:color="auto"/>
            </w:tcBorders>
            <w:shd w:val="clear" w:color="auto" w:fill="auto"/>
            <w:noWrap/>
            <w:vAlign w:val="center"/>
            <w:hideMark/>
          </w:tcPr>
          <w:p w14:paraId="16D9FF8F"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0.702</w:t>
            </w:r>
          </w:p>
        </w:tc>
        <w:tc>
          <w:tcPr>
            <w:tcW w:w="1040" w:type="dxa"/>
            <w:tcBorders>
              <w:top w:val="single" w:sz="4" w:space="0" w:color="auto"/>
              <w:left w:val="nil"/>
              <w:bottom w:val="nil"/>
              <w:right w:val="single" w:sz="4" w:space="0" w:color="auto"/>
            </w:tcBorders>
            <w:shd w:val="clear" w:color="auto" w:fill="auto"/>
            <w:noWrap/>
            <w:vAlign w:val="center"/>
            <w:hideMark/>
          </w:tcPr>
          <w:p w14:paraId="442DCB52"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0.202</w:t>
            </w:r>
          </w:p>
        </w:tc>
        <w:tc>
          <w:tcPr>
            <w:tcW w:w="1040" w:type="dxa"/>
            <w:tcBorders>
              <w:top w:val="single" w:sz="4" w:space="0" w:color="auto"/>
              <w:left w:val="nil"/>
              <w:bottom w:val="nil"/>
              <w:right w:val="single" w:sz="4" w:space="0" w:color="auto"/>
            </w:tcBorders>
            <w:shd w:val="clear" w:color="auto" w:fill="auto"/>
            <w:noWrap/>
            <w:vAlign w:val="center"/>
            <w:hideMark/>
          </w:tcPr>
          <w:p w14:paraId="2BDDCF60"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c>
          <w:tcPr>
            <w:tcW w:w="1040" w:type="dxa"/>
            <w:tcBorders>
              <w:top w:val="single" w:sz="4" w:space="0" w:color="auto"/>
              <w:left w:val="nil"/>
              <w:bottom w:val="nil"/>
              <w:right w:val="single" w:sz="4" w:space="0" w:color="auto"/>
            </w:tcBorders>
            <w:shd w:val="clear" w:color="auto" w:fill="auto"/>
            <w:noWrap/>
            <w:vAlign w:val="center"/>
            <w:hideMark/>
          </w:tcPr>
          <w:p w14:paraId="77694D65"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c>
          <w:tcPr>
            <w:tcW w:w="1040" w:type="dxa"/>
            <w:tcBorders>
              <w:top w:val="single" w:sz="4" w:space="0" w:color="auto"/>
              <w:left w:val="nil"/>
              <w:bottom w:val="nil"/>
              <w:right w:val="single" w:sz="4" w:space="0" w:color="auto"/>
            </w:tcBorders>
            <w:shd w:val="clear" w:color="auto" w:fill="auto"/>
            <w:noWrap/>
            <w:vAlign w:val="center"/>
            <w:hideMark/>
          </w:tcPr>
          <w:p w14:paraId="1DCB0C63"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r>
      <w:tr w:rsidR="005C15BE" w:rsidRPr="005C15BE" w14:paraId="6FB79514"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4BD0E54F" w14:textId="77777777" w:rsidR="005C15BE" w:rsidRPr="005C15BE" w:rsidRDefault="005C15BE" w:rsidP="005C15BE">
            <w:pPr>
              <w:spacing w:line="240" w:lineRule="auto"/>
              <w:rPr>
                <w:rFonts w:eastAsia="Times New Roman" w:cs="Calibri"/>
                <w:b/>
                <w:bCs/>
                <w:color w:val="000000"/>
                <w:sz w:val="20"/>
                <w:szCs w:val="20"/>
                <w:u w:val="single"/>
                <w:lang w:eastAsia="en-GB"/>
              </w:rPr>
            </w:pPr>
            <w:r w:rsidRPr="005C15BE">
              <w:rPr>
                <w:rFonts w:eastAsia="Times New Roman" w:cs="Calibri"/>
                <w:b/>
                <w:bCs/>
                <w:color w:val="000000"/>
                <w:sz w:val="20"/>
                <w:szCs w:val="20"/>
                <w:u w:val="single"/>
                <w:lang w:eastAsia="en-GB"/>
              </w:rPr>
              <w:t>Committed to future capital programmes</w:t>
            </w:r>
          </w:p>
        </w:tc>
        <w:tc>
          <w:tcPr>
            <w:tcW w:w="1040" w:type="dxa"/>
            <w:tcBorders>
              <w:top w:val="nil"/>
              <w:left w:val="nil"/>
              <w:bottom w:val="nil"/>
              <w:right w:val="single" w:sz="4" w:space="0" w:color="auto"/>
            </w:tcBorders>
            <w:shd w:val="clear" w:color="auto" w:fill="auto"/>
            <w:noWrap/>
            <w:vAlign w:val="center"/>
            <w:hideMark/>
          </w:tcPr>
          <w:p w14:paraId="27F9D51A"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36711246"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AD6DA60"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0F8471A4"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67084F1B"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44CFB74B"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r>
      <w:tr w:rsidR="005C15BE" w:rsidRPr="005C15BE" w14:paraId="02C04949"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70DF227D"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Capital Receipts</w:t>
            </w:r>
          </w:p>
        </w:tc>
        <w:tc>
          <w:tcPr>
            <w:tcW w:w="1040" w:type="dxa"/>
            <w:tcBorders>
              <w:top w:val="nil"/>
              <w:left w:val="nil"/>
              <w:bottom w:val="nil"/>
              <w:right w:val="single" w:sz="4" w:space="0" w:color="auto"/>
            </w:tcBorders>
            <w:shd w:val="clear" w:color="auto" w:fill="auto"/>
            <w:noWrap/>
            <w:vAlign w:val="center"/>
            <w:hideMark/>
          </w:tcPr>
          <w:p w14:paraId="3B3B09E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1.550</w:t>
            </w:r>
          </w:p>
        </w:tc>
        <w:tc>
          <w:tcPr>
            <w:tcW w:w="1040" w:type="dxa"/>
            <w:tcBorders>
              <w:top w:val="nil"/>
              <w:left w:val="nil"/>
              <w:bottom w:val="nil"/>
              <w:right w:val="single" w:sz="4" w:space="0" w:color="auto"/>
            </w:tcBorders>
            <w:shd w:val="clear" w:color="auto" w:fill="auto"/>
            <w:noWrap/>
            <w:vAlign w:val="center"/>
            <w:hideMark/>
          </w:tcPr>
          <w:p w14:paraId="62F88DF4"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746AC71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3F63D9E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74AC3196"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0CF7353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r>
      <w:tr w:rsidR="005C15BE" w:rsidRPr="005C15BE" w14:paraId="0B23F972"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25C816A4"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Capital and ESN Reserve</w:t>
            </w:r>
          </w:p>
        </w:tc>
        <w:tc>
          <w:tcPr>
            <w:tcW w:w="1040" w:type="dxa"/>
            <w:tcBorders>
              <w:top w:val="nil"/>
              <w:left w:val="nil"/>
              <w:bottom w:val="nil"/>
              <w:right w:val="single" w:sz="4" w:space="0" w:color="auto"/>
            </w:tcBorders>
            <w:shd w:val="clear" w:color="auto" w:fill="auto"/>
            <w:noWrap/>
            <w:vAlign w:val="center"/>
            <w:hideMark/>
          </w:tcPr>
          <w:p w14:paraId="08195000"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4E1EBFE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0CB3F734"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6F1F3EE9"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1CBD534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262F9997"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r>
      <w:tr w:rsidR="005C15BE" w:rsidRPr="005C15BE" w14:paraId="22B310C9"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7E2537BE"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S106 Developer Contributions</w:t>
            </w:r>
          </w:p>
        </w:tc>
        <w:tc>
          <w:tcPr>
            <w:tcW w:w="1040" w:type="dxa"/>
            <w:tcBorders>
              <w:top w:val="nil"/>
              <w:left w:val="nil"/>
              <w:bottom w:val="nil"/>
              <w:right w:val="single" w:sz="4" w:space="0" w:color="auto"/>
            </w:tcBorders>
            <w:shd w:val="clear" w:color="auto" w:fill="auto"/>
            <w:noWrap/>
            <w:vAlign w:val="center"/>
            <w:hideMark/>
          </w:tcPr>
          <w:p w14:paraId="74D8701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2E518DDB"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09BBE08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07A07575"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31C6ACA5"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2DDA170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r>
      <w:tr w:rsidR="005C15BE" w:rsidRPr="005C15BE" w14:paraId="302393A7"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4A97B84D"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Capital Grants Unapplied</w:t>
            </w:r>
          </w:p>
        </w:tc>
        <w:tc>
          <w:tcPr>
            <w:tcW w:w="1040" w:type="dxa"/>
            <w:tcBorders>
              <w:top w:val="nil"/>
              <w:left w:val="nil"/>
              <w:bottom w:val="nil"/>
              <w:right w:val="single" w:sz="4" w:space="0" w:color="auto"/>
            </w:tcBorders>
            <w:shd w:val="clear" w:color="auto" w:fill="auto"/>
            <w:noWrap/>
            <w:vAlign w:val="center"/>
            <w:hideMark/>
          </w:tcPr>
          <w:p w14:paraId="39862E2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0.418</w:t>
            </w:r>
          </w:p>
        </w:tc>
        <w:tc>
          <w:tcPr>
            <w:tcW w:w="1040" w:type="dxa"/>
            <w:tcBorders>
              <w:top w:val="nil"/>
              <w:left w:val="nil"/>
              <w:bottom w:val="nil"/>
              <w:right w:val="single" w:sz="4" w:space="0" w:color="auto"/>
            </w:tcBorders>
            <w:shd w:val="clear" w:color="auto" w:fill="auto"/>
            <w:noWrap/>
            <w:vAlign w:val="center"/>
            <w:hideMark/>
          </w:tcPr>
          <w:p w14:paraId="6BA643C5"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6482CB15"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08B5E1D6"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44A59639"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1F80ED7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r>
      <w:tr w:rsidR="005C15BE" w:rsidRPr="005C15BE" w14:paraId="4937FA35"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5FE42CD5"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 </w:t>
            </w:r>
          </w:p>
        </w:tc>
        <w:tc>
          <w:tcPr>
            <w:tcW w:w="1040" w:type="dxa"/>
            <w:tcBorders>
              <w:top w:val="single" w:sz="4" w:space="0" w:color="auto"/>
              <w:left w:val="nil"/>
              <w:bottom w:val="nil"/>
              <w:right w:val="single" w:sz="4" w:space="0" w:color="auto"/>
            </w:tcBorders>
            <w:shd w:val="clear" w:color="auto" w:fill="auto"/>
            <w:noWrap/>
            <w:vAlign w:val="center"/>
            <w:hideMark/>
          </w:tcPr>
          <w:p w14:paraId="4F98C5F0"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1.968</w:t>
            </w:r>
          </w:p>
        </w:tc>
        <w:tc>
          <w:tcPr>
            <w:tcW w:w="1040" w:type="dxa"/>
            <w:tcBorders>
              <w:top w:val="single" w:sz="4" w:space="0" w:color="auto"/>
              <w:left w:val="nil"/>
              <w:bottom w:val="nil"/>
              <w:right w:val="single" w:sz="4" w:space="0" w:color="auto"/>
            </w:tcBorders>
            <w:shd w:val="clear" w:color="auto" w:fill="auto"/>
            <w:noWrap/>
            <w:vAlign w:val="center"/>
            <w:hideMark/>
          </w:tcPr>
          <w:p w14:paraId="32EE6ADF"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c>
          <w:tcPr>
            <w:tcW w:w="1040" w:type="dxa"/>
            <w:tcBorders>
              <w:top w:val="single" w:sz="4" w:space="0" w:color="auto"/>
              <w:left w:val="nil"/>
              <w:bottom w:val="nil"/>
              <w:right w:val="single" w:sz="4" w:space="0" w:color="auto"/>
            </w:tcBorders>
            <w:shd w:val="clear" w:color="auto" w:fill="auto"/>
            <w:noWrap/>
            <w:vAlign w:val="center"/>
            <w:hideMark/>
          </w:tcPr>
          <w:p w14:paraId="7F86A8F3"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c>
          <w:tcPr>
            <w:tcW w:w="1040" w:type="dxa"/>
            <w:tcBorders>
              <w:top w:val="single" w:sz="4" w:space="0" w:color="auto"/>
              <w:left w:val="nil"/>
              <w:bottom w:val="nil"/>
              <w:right w:val="single" w:sz="4" w:space="0" w:color="auto"/>
            </w:tcBorders>
            <w:shd w:val="clear" w:color="auto" w:fill="auto"/>
            <w:noWrap/>
            <w:vAlign w:val="center"/>
            <w:hideMark/>
          </w:tcPr>
          <w:p w14:paraId="6C0C7E77"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c>
          <w:tcPr>
            <w:tcW w:w="1040" w:type="dxa"/>
            <w:tcBorders>
              <w:top w:val="single" w:sz="4" w:space="0" w:color="auto"/>
              <w:left w:val="nil"/>
              <w:bottom w:val="nil"/>
              <w:right w:val="single" w:sz="4" w:space="0" w:color="auto"/>
            </w:tcBorders>
            <w:shd w:val="clear" w:color="auto" w:fill="auto"/>
            <w:noWrap/>
            <w:vAlign w:val="center"/>
            <w:hideMark/>
          </w:tcPr>
          <w:p w14:paraId="365C95BD"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c>
          <w:tcPr>
            <w:tcW w:w="1040" w:type="dxa"/>
            <w:tcBorders>
              <w:top w:val="single" w:sz="4" w:space="0" w:color="auto"/>
              <w:left w:val="nil"/>
              <w:bottom w:val="nil"/>
              <w:right w:val="single" w:sz="4" w:space="0" w:color="auto"/>
            </w:tcBorders>
            <w:shd w:val="clear" w:color="auto" w:fill="auto"/>
            <w:noWrap/>
            <w:vAlign w:val="center"/>
            <w:hideMark/>
          </w:tcPr>
          <w:p w14:paraId="18E94CE7"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r>
      <w:tr w:rsidR="005C15BE" w:rsidRPr="005C15BE" w14:paraId="33AEC860"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03869741" w14:textId="77777777" w:rsidR="005C15BE" w:rsidRPr="005C15BE" w:rsidRDefault="005C15BE" w:rsidP="005C15BE">
            <w:pPr>
              <w:spacing w:line="240" w:lineRule="auto"/>
              <w:rPr>
                <w:rFonts w:eastAsia="Times New Roman" w:cs="Calibri"/>
                <w:color w:val="FF0000"/>
                <w:sz w:val="20"/>
                <w:szCs w:val="20"/>
                <w:lang w:eastAsia="en-GB"/>
              </w:rPr>
            </w:pPr>
            <w:r w:rsidRPr="005C15BE">
              <w:rPr>
                <w:rFonts w:eastAsia="Times New Roman" w:cs="Calibri"/>
                <w:color w:val="FF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5D653D7A" w14:textId="77777777" w:rsidR="005C15BE" w:rsidRPr="005C15BE" w:rsidRDefault="005C15BE" w:rsidP="005C15BE">
            <w:pPr>
              <w:spacing w:line="240" w:lineRule="auto"/>
              <w:rPr>
                <w:rFonts w:eastAsia="Times New Roman" w:cs="Calibri"/>
                <w:b/>
                <w:bCs/>
                <w:color w:val="FF0000"/>
                <w:sz w:val="20"/>
                <w:szCs w:val="20"/>
                <w:lang w:eastAsia="en-GB"/>
              </w:rPr>
            </w:pPr>
            <w:r w:rsidRPr="005C15BE">
              <w:rPr>
                <w:rFonts w:eastAsia="Times New Roman" w:cs="Calibri"/>
                <w:b/>
                <w:bCs/>
                <w:color w:val="FF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0FF45940" w14:textId="77777777" w:rsidR="005C15BE" w:rsidRPr="005C15BE" w:rsidRDefault="005C15BE" w:rsidP="005C15BE">
            <w:pPr>
              <w:spacing w:line="240" w:lineRule="auto"/>
              <w:rPr>
                <w:rFonts w:eastAsia="Times New Roman" w:cs="Calibri"/>
                <w:b/>
                <w:bCs/>
                <w:color w:val="FF0000"/>
                <w:sz w:val="20"/>
                <w:szCs w:val="20"/>
                <w:lang w:eastAsia="en-GB"/>
              </w:rPr>
            </w:pPr>
            <w:r w:rsidRPr="005C15BE">
              <w:rPr>
                <w:rFonts w:eastAsia="Times New Roman" w:cs="Calibri"/>
                <w:b/>
                <w:bCs/>
                <w:color w:val="FF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C109D41" w14:textId="77777777" w:rsidR="005C15BE" w:rsidRPr="005C15BE" w:rsidRDefault="005C15BE" w:rsidP="005C15BE">
            <w:pPr>
              <w:spacing w:line="240" w:lineRule="auto"/>
              <w:rPr>
                <w:rFonts w:eastAsia="Times New Roman" w:cs="Calibri"/>
                <w:b/>
                <w:bCs/>
                <w:color w:val="FF0000"/>
                <w:sz w:val="20"/>
                <w:szCs w:val="20"/>
                <w:lang w:eastAsia="en-GB"/>
              </w:rPr>
            </w:pPr>
            <w:r w:rsidRPr="005C15BE">
              <w:rPr>
                <w:rFonts w:eastAsia="Times New Roman" w:cs="Calibri"/>
                <w:b/>
                <w:bCs/>
                <w:color w:val="FF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146D9883" w14:textId="77777777" w:rsidR="005C15BE" w:rsidRPr="005C15BE" w:rsidRDefault="005C15BE" w:rsidP="005C15BE">
            <w:pPr>
              <w:spacing w:line="240" w:lineRule="auto"/>
              <w:rPr>
                <w:rFonts w:eastAsia="Times New Roman" w:cs="Calibri"/>
                <w:b/>
                <w:bCs/>
                <w:color w:val="FF0000"/>
                <w:sz w:val="20"/>
                <w:szCs w:val="20"/>
                <w:lang w:eastAsia="en-GB"/>
              </w:rPr>
            </w:pPr>
            <w:r w:rsidRPr="005C15BE">
              <w:rPr>
                <w:rFonts w:eastAsia="Times New Roman" w:cs="Calibri"/>
                <w:b/>
                <w:bCs/>
                <w:color w:val="FF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4B80A185" w14:textId="77777777" w:rsidR="005C15BE" w:rsidRPr="005C15BE" w:rsidRDefault="005C15BE" w:rsidP="005C15BE">
            <w:pPr>
              <w:spacing w:line="240" w:lineRule="auto"/>
              <w:rPr>
                <w:rFonts w:eastAsia="Times New Roman" w:cs="Calibri"/>
                <w:b/>
                <w:bCs/>
                <w:color w:val="FF0000"/>
                <w:sz w:val="20"/>
                <w:szCs w:val="20"/>
                <w:lang w:eastAsia="en-GB"/>
              </w:rPr>
            </w:pPr>
            <w:r w:rsidRPr="005C15BE">
              <w:rPr>
                <w:rFonts w:eastAsia="Times New Roman" w:cs="Calibri"/>
                <w:b/>
                <w:bCs/>
                <w:color w:val="FF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0C1538B" w14:textId="77777777" w:rsidR="005C15BE" w:rsidRPr="005C15BE" w:rsidRDefault="005C15BE" w:rsidP="005C15BE">
            <w:pPr>
              <w:spacing w:line="240" w:lineRule="auto"/>
              <w:rPr>
                <w:rFonts w:eastAsia="Times New Roman" w:cs="Calibri"/>
                <w:b/>
                <w:bCs/>
                <w:color w:val="FF0000"/>
                <w:sz w:val="20"/>
                <w:szCs w:val="20"/>
                <w:lang w:eastAsia="en-GB"/>
              </w:rPr>
            </w:pPr>
            <w:r w:rsidRPr="005C15BE">
              <w:rPr>
                <w:rFonts w:eastAsia="Times New Roman" w:cs="Calibri"/>
                <w:b/>
                <w:bCs/>
                <w:color w:val="FF0000"/>
                <w:sz w:val="20"/>
                <w:szCs w:val="20"/>
                <w:lang w:eastAsia="en-GB"/>
              </w:rPr>
              <w:t> </w:t>
            </w:r>
          </w:p>
        </w:tc>
      </w:tr>
      <w:tr w:rsidR="005C15BE" w:rsidRPr="005C15BE" w14:paraId="111E3490" w14:textId="77777777" w:rsidTr="00957066">
        <w:trPr>
          <w:trHeight w:val="315"/>
        </w:trPr>
        <w:tc>
          <w:tcPr>
            <w:tcW w:w="3660" w:type="dxa"/>
            <w:tcBorders>
              <w:top w:val="nil"/>
              <w:left w:val="single" w:sz="4" w:space="0" w:color="auto"/>
              <w:bottom w:val="nil"/>
              <w:right w:val="single" w:sz="4" w:space="0" w:color="auto"/>
            </w:tcBorders>
            <w:shd w:val="clear" w:color="auto" w:fill="auto"/>
            <w:noWrap/>
            <w:vAlign w:val="center"/>
            <w:hideMark/>
          </w:tcPr>
          <w:p w14:paraId="5349CC49"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Total Earmarked Reserves</w:t>
            </w:r>
          </w:p>
        </w:tc>
        <w:tc>
          <w:tcPr>
            <w:tcW w:w="1040" w:type="dxa"/>
            <w:tcBorders>
              <w:top w:val="single" w:sz="4" w:space="0" w:color="auto"/>
              <w:left w:val="nil"/>
              <w:bottom w:val="single" w:sz="8" w:space="0" w:color="auto"/>
              <w:right w:val="single" w:sz="4" w:space="0" w:color="auto"/>
            </w:tcBorders>
            <w:shd w:val="clear" w:color="auto" w:fill="auto"/>
            <w:noWrap/>
            <w:vAlign w:val="center"/>
            <w:hideMark/>
          </w:tcPr>
          <w:p w14:paraId="512EFC50"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4.752</w:t>
            </w:r>
          </w:p>
        </w:tc>
        <w:tc>
          <w:tcPr>
            <w:tcW w:w="1040" w:type="dxa"/>
            <w:tcBorders>
              <w:top w:val="single" w:sz="4" w:space="0" w:color="auto"/>
              <w:left w:val="nil"/>
              <w:bottom w:val="single" w:sz="8" w:space="0" w:color="auto"/>
              <w:right w:val="single" w:sz="4" w:space="0" w:color="auto"/>
            </w:tcBorders>
            <w:shd w:val="clear" w:color="auto" w:fill="auto"/>
            <w:noWrap/>
            <w:vAlign w:val="center"/>
            <w:hideMark/>
          </w:tcPr>
          <w:p w14:paraId="12926334"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2.118</w:t>
            </w:r>
          </w:p>
        </w:tc>
        <w:tc>
          <w:tcPr>
            <w:tcW w:w="1040" w:type="dxa"/>
            <w:tcBorders>
              <w:top w:val="single" w:sz="4" w:space="0" w:color="auto"/>
              <w:left w:val="nil"/>
              <w:bottom w:val="single" w:sz="8" w:space="0" w:color="auto"/>
              <w:right w:val="single" w:sz="4" w:space="0" w:color="auto"/>
            </w:tcBorders>
            <w:shd w:val="clear" w:color="auto" w:fill="auto"/>
            <w:noWrap/>
            <w:vAlign w:val="center"/>
            <w:hideMark/>
          </w:tcPr>
          <w:p w14:paraId="14F48913"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1.718</w:t>
            </w:r>
          </w:p>
        </w:tc>
        <w:tc>
          <w:tcPr>
            <w:tcW w:w="1040" w:type="dxa"/>
            <w:tcBorders>
              <w:top w:val="single" w:sz="4" w:space="0" w:color="auto"/>
              <w:left w:val="nil"/>
              <w:bottom w:val="single" w:sz="8" w:space="0" w:color="auto"/>
              <w:right w:val="single" w:sz="4" w:space="0" w:color="auto"/>
            </w:tcBorders>
            <w:shd w:val="clear" w:color="auto" w:fill="auto"/>
            <w:noWrap/>
            <w:vAlign w:val="center"/>
            <w:hideMark/>
          </w:tcPr>
          <w:p w14:paraId="043B66D0"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1.616</w:t>
            </w:r>
          </w:p>
        </w:tc>
        <w:tc>
          <w:tcPr>
            <w:tcW w:w="1040" w:type="dxa"/>
            <w:tcBorders>
              <w:top w:val="single" w:sz="4" w:space="0" w:color="auto"/>
              <w:left w:val="nil"/>
              <w:bottom w:val="single" w:sz="8" w:space="0" w:color="auto"/>
              <w:right w:val="single" w:sz="4" w:space="0" w:color="auto"/>
            </w:tcBorders>
            <w:shd w:val="clear" w:color="auto" w:fill="auto"/>
            <w:noWrap/>
            <w:vAlign w:val="center"/>
            <w:hideMark/>
          </w:tcPr>
          <w:p w14:paraId="75E3E2EC"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1.716</w:t>
            </w:r>
          </w:p>
        </w:tc>
        <w:tc>
          <w:tcPr>
            <w:tcW w:w="1040" w:type="dxa"/>
            <w:tcBorders>
              <w:top w:val="single" w:sz="4" w:space="0" w:color="auto"/>
              <w:left w:val="nil"/>
              <w:bottom w:val="single" w:sz="8" w:space="0" w:color="auto"/>
              <w:right w:val="single" w:sz="4" w:space="0" w:color="auto"/>
            </w:tcBorders>
            <w:shd w:val="clear" w:color="auto" w:fill="auto"/>
            <w:noWrap/>
            <w:vAlign w:val="center"/>
            <w:hideMark/>
          </w:tcPr>
          <w:p w14:paraId="42855BC4"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1.816</w:t>
            </w:r>
          </w:p>
        </w:tc>
      </w:tr>
      <w:tr w:rsidR="005C15BE" w:rsidRPr="005C15BE" w14:paraId="6158F7E8"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4ED3414B"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197CB0F1"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5F9CC718"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1C8ED0BE"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DEAC784"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2F4D92A"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63BDB4E"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r>
      <w:tr w:rsidR="005C15BE" w:rsidRPr="005C15BE" w14:paraId="4A2453B1"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2D2B5E71"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 xml:space="preserve">General Fund </w:t>
            </w:r>
          </w:p>
        </w:tc>
        <w:tc>
          <w:tcPr>
            <w:tcW w:w="1040" w:type="dxa"/>
            <w:tcBorders>
              <w:top w:val="nil"/>
              <w:left w:val="nil"/>
              <w:bottom w:val="nil"/>
              <w:right w:val="single" w:sz="4" w:space="0" w:color="auto"/>
            </w:tcBorders>
            <w:shd w:val="clear" w:color="auto" w:fill="auto"/>
            <w:noWrap/>
            <w:vAlign w:val="center"/>
            <w:hideMark/>
          </w:tcPr>
          <w:p w14:paraId="73D2E2C0"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2.000</w:t>
            </w:r>
          </w:p>
        </w:tc>
        <w:tc>
          <w:tcPr>
            <w:tcW w:w="1040" w:type="dxa"/>
            <w:tcBorders>
              <w:top w:val="nil"/>
              <w:left w:val="nil"/>
              <w:bottom w:val="nil"/>
              <w:right w:val="single" w:sz="4" w:space="0" w:color="auto"/>
            </w:tcBorders>
            <w:shd w:val="clear" w:color="auto" w:fill="auto"/>
            <w:noWrap/>
            <w:vAlign w:val="center"/>
            <w:hideMark/>
          </w:tcPr>
          <w:p w14:paraId="7C51C773"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2.000</w:t>
            </w:r>
          </w:p>
        </w:tc>
        <w:tc>
          <w:tcPr>
            <w:tcW w:w="1040" w:type="dxa"/>
            <w:tcBorders>
              <w:top w:val="nil"/>
              <w:left w:val="nil"/>
              <w:bottom w:val="nil"/>
              <w:right w:val="single" w:sz="4" w:space="0" w:color="auto"/>
            </w:tcBorders>
            <w:shd w:val="clear" w:color="auto" w:fill="auto"/>
            <w:noWrap/>
            <w:vAlign w:val="center"/>
            <w:hideMark/>
          </w:tcPr>
          <w:p w14:paraId="685D6F9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2.000</w:t>
            </w:r>
          </w:p>
        </w:tc>
        <w:tc>
          <w:tcPr>
            <w:tcW w:w="1040" w:type="dxa"/>
            <w:tcBorders>
              <w:top w:val="nil"/>
              <w:left w:val="nil"/>
              <w:bottom w:val="nil"/>
              <w:right w:val="single" w:sz="4" w:space="0" w:color="auto"/>
            </w:tcBorders>
            <w:shd w:val="clear" w:color="auto" w:fill="auto"/>
            <w:noWrap/>
            <w:vAlign w:val="center"/>
            <w:hideMark/>
          </w:tcPr>
          <w:p w14:paraId="638F4547"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2.000</w:t>
            </w:r>
          </w:p>
        </w:tc>
        <w:tc>
          <w:tcPr>
            <w:tcW w:w="1040" w:type="dxa"/>
            <w:tcBorders>
              <w:top w:val="nil"/>
              <w:left w:val="nil"/>
              <w:bottom w:val="nil"/>
              <w:right w:val="single" w:sz="4" w:space="0" w:color="auto"/>
            </w:tcBorders>
            <w:shd w:val="clear" w:color="auto" w:fill="auto"/>
            <w:noWrap/>
            <w:vAlign w:val="center"/>
            <w:hideMark/>
          </w:tcPr>
          <w:p w14:paraId="0A61A8EF"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2.000</w:t>
            </w:r>
          </w:p>
        </w:tc>
        <w:tc>
          <w:tcPr>
            <w:tcW w:w="1040" w:type="dxa"/>
            <w:tcBorders>
              <w:top w:val="nil"/>
              <w:left w:val="nil"/>
              <w:bottom w:val="nil"/>
              <w:right w:val="single" w:sz="4" w:space="0" w:color="auto"/>
            </w:tcBorders>
            <w:shd w:val="clear" w:color="auto" w:fill="auto"/>
            <w:noWrap/>
            <w:vAlign w:val="center"/>
            <w:hideMark/>
          </w:tcPr>
          <w:p w14:paraId="5F9AA12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2.000</w:t>
            </w:r>
          </w:p>
        </w:tc>
      </w:tr>
      <w:tr w:rsidR="005C15BE" w:rsidRPr="005C15BE" w14:paraId="0E06C0A9"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6EAB8BEF"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46243979"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76BDB54A"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66E0CC05"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58FFCAA2"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680D9B7D"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6D13072A"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r>
      <w:tr w:rsidR="005C15BE" w:rsidRPr="005C15BE" w14:paraId="2CB7FD78" w14:textId="77777777" w:rsidTr="00957066">
        <w:trPr>
          <w:trHeight w:val="300"/>
        </w:trPr>
        <w:tc>
          <w:tcPr>
            <w:tcW w:w="3660" w:type="dxa"/>
            <w:tcBorders>
              <w:top w:val="nil"/>
              <w:left w:val="single" w:sz="4" w:space="0" w:color="auto"/>
              <w:bottom w:val="single" w:sz="4" w:space="0" w:color="auto"/>
              <w:right w:val="single" w:sz="4" w:space="0" w:color="auto"/>
            </w:tcBorders>
            <w:shd w:val="clear" w:color="auto" w:fill="auto"/>
            <w:noWrap/>
            <w:vAlign w:val="center"/>
            <w:hideMark/>
          </w:tcPr>
          <w:p w14:paraId="3419C42D"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Total Reserves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B87AF57"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6.752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F5E70E5"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4.118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51E0EA7"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3.718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D251A79"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3.616</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3756CD3"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3.716</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ADC9E76"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3.816</w:t>
            </w:r>
          </w:p>
        </w:tc>
      </w:tr>
    </w:tbl>
    <w:p w14:paraId="3ADDAD41" w14:textId="70238281" w:rsidR="00F115BD" w:rsidRDefault="00F115BD" w:rsidP="00EF3054">
      <w:pPr>
        <w:jc w:val="center"/>
        <w:rPr>
          <w:b/>
        </w:rPr>
      </w:pPr>
    </w:p>
    <w:p w14:paraId="6A14EF3A" w14:textId="77777777" w:rsidR="00957066" w:rsidRPr="00283648" w:rsidRDefault="00957066" w:rsidP="00957066">
      <w:pPr>
        <w:spacing w:line="240" w:lineRule="auto"/>
        <w:rPr>
          <w:rFonts w:ascii="Arial" w:eastAsia="Times New Roman" w:hAnsi="Arial"/>
          <w:b/>
          <w:sz w:val="20"/>
          <w:szCs w:val="20"/>
        </w:rPr>
      </w:pPr>
      <w:r w:rsidRPr="00283648">
        <w:rPr>
          <w:rFonts w:ascii="Arial" w:eastAsia="Times New Roman" w:hAnsi="Arial" w:cs="Arial"/>
          <w:bCs/>
          <w:i/>
          <w:iCs/>
          <w:sz w:val="20"/>
          <w:szCs w:val="20"/>
          <w:lang w:val="en"/>
        </w:rPr>
        <w:t>Note: numbers may not sum due to rounding</w:t>
      </w:r>
    </w:p>
    <w:p w14:paraId="16B99EFC" w14:textId="77777777" w:rsidR="00957066" w:rsidRPr="00EF3054" w:rsidRDefault="00957066" w:rsidP="00EF3054">
      <w:pPr>
        <w:jc w:val="center"/>
        <w:rPr>
          <w:b/>
        </w:rPr>
      </w:pPr>
    </w:p>
    <w:sectPr w:rsidR="00957066" w:rsidRPr="00EF3054" w:rsidSect="00E02D6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10B82" w14:textId="77777777" w:rsidR="00BB3068" w:rsidRDefault="00BB3068" w:rsidP="008B7473">
      <w:pPr>
        <w:spacing w:line="240" w:lineRule="auto"/>
      </w:pPr>
      <w:r>
        <w:separator/>
      </w:r>
    </w:p>
  </w:endnote>
  <w:endnote w:type="continuationSeparator" w:id="0">
    <w:p w14:paraId="72BFF7A1" w14:textId="77777777" w:rsidR="00BB3068" w:rsidRDefault="00BB3068" w:rsidP="008B7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85D77" w14:textId="77777777" w:rsidR="00F115BD" w:rsidRDefault="00F115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C658BF" w14:textId="77777777" w:rsidR="00F115BD" w:rsidRDefault="00F11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36B7" w14:textId="77777777" w:rsidR="00F115BD" w:rsidRDefault="00F115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19BD" w14:textId="77777777" w:rsidR="00F115BD" w:rsidRDefault="00F115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1FF8" w14:textId="77777777" w:rsidR="00F4100B" w:rsidRDefault="00F410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582" w14:textId="77777777" w:rsidR="00F4100B" w:rsidRDefault="00F410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5B50" w14:textId="77777777" w:rsidR="00F4100B" w:rsidRDefault="00F4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2379A" w14:textId="77777777" w:rsidR="00BB3068" w:rsidRDefault="00BB3068" w:rsidP="008B7473">
      <w:pPr>
        <w:spacing w:line="240" w:lineRule="auto"/>
      </w:pPr>
      <w:r>
        <w:separator/>
      </w:r>
    </w:p>
  </w:footnote>
  <w:footnote w:type="continuationSeparator" w:id="0">
    <w:p w14:paraId="728E8FB5" w14:textId="77777777" w:rsidR="00BB3068" w:rsidRDefault="00BB3068" w:rsidP="008B74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D511" w14:textId="77777777" w:rsidR="00F115BD" w:rsidRDefault="00F115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76E7" w14:textId="77777777" w:rsidR="00F115BD" w:rsidRDefault="00F115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EB28" w14:textId="77777777" w:rsidR="00F115BD" w:rsidRDefault="00F115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F06E" w14:textId="77777777" w:rsidR="00F4100B" w:rsidRDefault="00F410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E8B5" w14:textId="77777777" w:rsidR="00F4100B" w:rsidRPr="008B7473" w:rsidRDefault="00F4100B" w:rsidP="008B7473">
    <w:pPr>
      <w:pStyle w:val="Header"/>
      <w:jc w:val="center"/>
    </w:pPr>
  </w:p>
  <w:p w14:paraId="0F6E4531" w14:textId="77777777" w:rsidR="00F4100B" w:rsidRDefault="00F4100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F782" w14:textId="77777777" w:rsidR="00F4100B" w:rsidRDefault="00F41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D39FE"/>
    <w:multiLevelType w:val="hybridMultilevel"/>
    <w:tmpl w:val="260C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817561"/>
    <w:multiLevelType w:val="multilevel"/>
    <w:tmpl w:val="1BC26A64"/>
    <w:lvl w:ilvl="0">
      <w:start w:val="1"/>
      <w:numFmt w:val="decimal"/>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A34ECB"/>
    <w:multiLevelType w:val="hybridMultilevel"/>
    <w:tmpl w:val="2C200B7E"/>
    <w:lvl w:ilvl="0" w:tplc="308E370E">
      <w:start w:val="1"/>
      <w:numFmt w:val="decimal"/>
      <w:pStyle w:val="PanelPara"/>
      <w:lvlText w:val="%1."/>
      <w:lvlJc w:val="left"/>
      <w:pPr>
        <w:ind w:left="720" w:hanging="360"/>
      </w:pPr>
      <w:rPr>
        <w:rFonts w:hint="default"/>
        <w:b w:val="0"/>
        <w:bCs w:val="0"/>
        <w:i w:val="0"/>
        <w:iCs w:val="0"/>
      </w:rPr>
    </w:lvl>
    <w:lvl w:ilvl="1" w:tplc="0726BE4A">
      <w:start w:val="1"/>
      <w:numFmt w:val="lowerLetter"/>
      <w:pStyle w:val="PanelPara2"/>
      <w:lvlText w:val="%2."/>
      <w:lvlJc w:val="left"/>
      <w:pPr>
        <w:ind w:left="1440" w:hanging="360"/>
      </w:pPr>
      <w:rPr>
        <w:b w:val="0"/>
        <w:bCs w:val="0"/>
      </w:rPr>
    </w:lvl>
    <w:lvl w:ilvl="2" w:tplc="03C4D3EA">
      <w:start w:val="1"/>
      <w:numFmt w:val="bullet"/>
      <w:pStyle w:val="PanelBullet"/>
      <w:lvlText w:val=""/>
      <w:lvlJc w:val="left"/>
      <w:pPr>
        <w:ind w:left="2340" w:hanging="360"/>
      </w:pPr>
      <w:rPr>
        <w:rFonts w:ascii="Symbol" w:hAnsi="Symbo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191332"/>
    <w:multiLevelType w:val="multilevel"/>
    <w:tmpl w:val="1BC26A64"/>
    <w:lvl w:ilvl="0">
      <w:start w:val="1"/>
      <w:numFmt w:val="decimal"/>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402062"/>
    <w:multiLevelType w:val="hybridMultilevel"/>
    <w:tmpl w:val="F3BACD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974621">
    <w:abstractNumId w:val="9"/>
  </w:num>
  <w:num w:numId="2" w16cid:durableId="1473012678">
    <w:abstractNumId w:val="4"/>
  </w:num>
  <w:num w:numId="3" w16cid:durableId="635138613">
    <w:abstractNumId w:val="8"/>
  </w:num>
  <w:num w:numId="4" w16cid:durableId="823424949">
    <w:abstractNumId w:val="6"/>
  </w:num>
  <w:num w:numId="5" w16cid:durableId="2134053110">
    <w:abstractNumId w:val="2"/>
  </w:num>
  <w:num w:numId="6" w16cid:durableId="267733528">
    <w:abstractNumId w:val="3"/>
  </w:num>
  <w:num w:numId="7" w16cid:durableId="389572821">
    <w:abstractNumId w:val="5"/>
  </w:num>
  <w:num w:numId="8" w16cid:durableId="63263824">
    <w:abstractNumId w:val="7"/>
  </w:num>
  <w:num w:numId="9" w16cid:durableId="271985667">
    <w:abstractNumId w:val="0"/>
  </w:num>
  <w:num w:numId="10" w16cid:durableId="141716826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0520"/>
    <w:rsid w:val="00001328"/>
    <w:rsid w:val="00001BB6"/>
    <w:rsid w:val="00003EF6"/>
    <w:rsid w:val="00004738"/>
    <w:rsid w:val="0000490D"/>
    <w:rsid w:val="000107E2"/>
    <w:rsid w:val="000117A6"/>
    <w:rsid w:val="000139F2"/>
    <w:rsid w:val="000143C4"/>
    <w:rsid w:val="000201F9"/>
    <w:rsid w:val="00020C70"/>
    <w:rsid w:val="00021940"/>
    <w:rsid w:val="000249E2"/>
    <w:rsid w:val="00025636"/>
    <w:rsid w:val="00030825"/>
    <w:rsid w:val="00031074"/>
    <w:rsid w:val="00034EB5"/>
    <w:rsid w:val="00035FDC"/>
    <w:rsid w:val="00040449"/>
    <w:rsid w:val="0004158E"/>
    <w:rsid w:val="00044BFF"/>
    <w:rsid w:val="00052820"/>
    <w:rsid w:val="000532B4"/>
    <w:rsid w:val="00053369"/>
    <w:rsid w:val="000566DF"/>
    <w:rsid w:val="00057EAA"/>
    <w:rsid w:val="000625A6"/>
    <w:rsid w:val="00062F65"/>
    <w:rsid w:val="000641E8"/>
    <w:rsid w:val="000659CF"/>
    <w:rsid w:val="000713E6"/>
    <w:rsid w:val="00071BDF"/>
    <w:rsid w:val="000725CF"/>
    <w:rsid w:val="00074D41"/>
    <w:rsid w:val="00076099"/>
    <w:rsid w:val="00076927"/>
    <w:rsid w:val="0008004F"/>
    <w:rsid w:val="00080D8C"/>
    <w:rsid w:val="00080E5A"/>
    <w:rsid w:val="000827F0"/>
    <w:rsid w:val="000827F1"/>
    <w:rsid w:val="000836B9"/>
    <w:rsid w:val="000858DF"/>
    <w:rsid w:val="00085B04"/>
    <w:rsid w:val="00085EFA"/>
    <w:rsid w:val="000877B3"/>
    <w:rsid w:val="000937CF"/>
    <w:rsid w:val="00093D14"/>
    <w:rsid w:val="000949B7"/>
    <w:rsid w:val="00095FC7"/>
    <w:rsid w:val="00096589"/>
    <w:rsid w:val="00097D5E"/>
    <w:rsid w:val="000A0A55"/>
    <w:rsid w:val="000A0AFB"/>
    <w:rsid w:val="000A1215"/>
    <w:rsid w:val="000A1296"/>
    <w:rsid w:val="000A1DFA"/>
    <w:rsid w:val="000A4FAF"/>
    <w:rsid w:val="000A77F0"/>
    <w:rsid w:val="000A7C1D"/>
    <w:rsid w:val="000B0DB2"/>
    <w:rsid w:val="000B25F3"/>
    <w:rsid w:val="000B2F67"/>
    <w:rsid w:val="000B4203"/>
    <w:rsid w:val="000B6B36"/>
    <w:rsid w:val="000C2930"/>
    <w:rsid w:val="000C6AF3"/>
    <w:rsid w:val="000C77AF"/>
    <w:rsid w:val="000D033B"/>
    <w:rsid w:val="000D3FDC"/>
    <w:rsid w:val="000D54E6"/>
    <w:rsid w:val="000D63B7"/>
    <w:rsid w:val="000E0FA1"/>
    <w:rsid w:val="000E3187"/>
    <w:rsid w:val="000E3592"/>
    <w:rsid w:val="000E35D2"/>
    <w:rsid w:val="000E43A3"/>
    <w:rsid w:val="000E5F87"/>
    <w:rsid w:val="000E78A0"/>
    <w:rsid w:val="000E7A5D"/>
    <w:rsid w:val="000F0DD3"/>
    <w:rsid w:val="000F12A8"/>
    <w:rsid w:val="000F4427"/>
    <w:rsid w:val="000F4B4A"/>
    <w:rsid w:val="00101736"/>
    <w:rsid w:val="001066CF"/>
    <w:rsid w:val="00106757"/>
    <w:rsid w:val="00110C6F"/>
    <w:rsid w:val="00110E27"/>
    <w:rsid w:val="00111E24"/>
    <w:rsid w:val="00114269"/>
    <w:rsid w:val="0011485D"/>
    <w:rsid w:val="001171A6"/>
    <w:rsid w:val="00123782"/>
    <w:rsid w:val="00124159"/>
    <w:rsid w:val="001256C4"/>
    <w:rsid w:val="001306B5"/>
    <w:rsid w:val="0013118D"/>
    <w:rsid w:val="00136C60"/>
    <w:rsid w:val="00141288"/>
    <w:rsid w:val="00141870"/>
    <w:rsid w:val="0014427A"/>
    <w:rsid w:val="00144B22"/>
    <w:rsid w:val="00145044"/>
    <w:rsid w:val="00150A47"/>
    <w:rsid w:val="00152B93"/>
    <w:rsid w:val="00152D49"/>
    <w:rsid w:val="00152E7B"/>
    <w:rsid w:val="001535B1"/>
    <w:rsid w:val="001603AB"/>
    <w:rsid w:val="00160572"/>
    <w:rsid w:val="001638AD"/>
    <w:rsid w:val="00163A8D"/>
    <w:rsid w:val="0016619A"/>
    <w:rsid w:val="00166842"/>
    <w:rsid w:val="00170610"/>
    <w:rsid w:val="001713EB"/>
    <w:rsid w:val="001720D0"/>
    <w:rsid w:val="00173107"/>
    <w:rsid w:val="001733C8"/>
    <w:rsid w:val="0017545F"/>
    <w:rsid w:val="0017599E"/>
    <w:rsid w:val="00176903"/>
    <w:rsid w:val="0017694F"/>
    <w:rsid w:val="00176DC4"/>
    <w:rsid w:val="00180319"/>
    <w:rsid w:val="00184BF7"/>
    <w:rsid w:val="00186442"/>
    <w:rsid w:val="00190B72"/>
    <w:rsid w:val="001946E0"/>
    <w:rsid w:val="00195039"/>
    <w:rsid w:val="001972C4"/>
    <w:rsid w:val="001A1872"/>
    <w:rsid w:val="001A2092"/>
    <w:rsid w:val="001A6BFA"/>
    <w:rsid w:val="001A7B70"/>
    <w:rsid w:val="001B0876"/>
    <w:rsid w:val="001B0FA5"/>
    <w:rsid w:val="001B1E92"/>
    <w:rsid w:val="001B20EF"/>
    <w:rsid w:val="001B3EA3"/>
    <w:rsid w:val="001B4F2E"/>
    <w:rsid w:val="001B5AD6"/>
    <w:rsid w:val="001C32E6"/>
    <w:rsid w:val="001C4612"/>
    <w:rsid w:val="001D11DE"/>
    <w:rsid w:val="001D15C6"/>
    <w:rsid w:val="001D2459"/>
    <w:rsid w:val="001D2C10"/>
    <w:rsid w:val="001D3171"/>
    <w:rsid w:val="001D38A8"/>
    <w:rsid w:val="001D38B2"/>
    <w:rsid w:val="001D38F9"/>
    <w:rsid w:val="001D55FA"/>
    <w:rsid w:val="001E10E3"/>
    <w:rsid w:val="001E27E5"/>
    <w:rsid w:val="001E2D6F"/>
    <w:rsid w:val="001E61BE"/>
    <w:rsid w:val="001E6428"/>
    <w:rsid w:val="001E6880"/>
    <w:rsid w:val="001F0F83"/>
    <w:rsid w:val="001F587A"/>
    <w:rsid w:val="001F7CE7"/>
    <w:rsid w:val="00200286"/>
    <w:rsid w:val="00201750"/>
    <w:rsid w:val="00203453"/>
    <w:rsid w:val="00203AAF"/>
    <w:rsid w:val="00205AAD"/>
    <w:rsid w:val="00206F72"/>
    <w:rsid w:val="002072FC"/>
    <w:rsid w:val="00210DFF"/>
    <w:rsid w:val="0021132A"/>
    <w:rsid w:val="00211F1A"/>
    <w:rsid w:val="00212327"/>
    <w:rsid w:val="002124FB"/>
    <w:rsid w:val="002125C2"/>
    <w:rsid w:val="00213BB1"/>
    <w:rsid w:val="0021623B"/>
    <w:rsid w:val="00217928"/>
    <w:rsid w:val="00217B88"/>
    <w:rsid w:val="002201AB"/>
    <w:rsid w:val="002201B9"/>
    <w:rsid w:val="002231A5"/>
    <w:rsid w:val="00224AFC"/>
    <w:rsid w:val="00224E1E"/>
    <w:rsid w:val="00227D1A"/>
    <w:rsid w:val="002307C3"/>
    <w:rsid w:val="00232B0F"/>
    <w:rsid w:val="002336B4"/>
    <w:rsid w:val="00240256"/>
    <w:rsid w:val="0024161B"/>
    <w:rsid w:val="002433ED"/>
    <w:rsid w:val="00244366"/>
    <w:rsid w:val="002455CC"/>
    <w:rsid w:val="002464CA"/>
    <w:rsid w:val="002469AB"/>
    <w:rsid w:val="002478B9"/>
    <w:rsid w:val="00252D26"/>
    <w:rsid w:val="00253C0B"/>
    <w:rsid w:val="00256682"/>
    <w:rsid w:val="0026046C"/>
    <w:rsid w:val="00261263"/>
    <w:rsid w:val="002617A5"/>
    <w:rsid w:val="00263E8C"/>
    <w:rsid w:val="00264D9D"/>
    <w:rsid w:val="0026511C"/>
    <w:rsid w:val="002677DC"/>
    <w:rsid w:val="0027069C"/>
    <w:rsid w:val="0027196D"/>
    <w:rsid w:val="00273010"/>
    <w:rsid w:val="0027745A"/>
    <w:rsid w:val="00281527"/>
    <w:rsid w:val="00282AC6"/>
    <w:rsid w:val="002942FC"/>
    <w:rsid w:val="00297A65"/>
    <w:rsid w:val="002A0550"/>
    <w:rsid w:val="002A0F54"/>
    <w:rsid w:val="002A2813"/>
    <w:rsid w:val="002A4535"/>
    <w:rsid w:val="002A4A3F"/>
    <w:rsid w:val="002A5432"/>
    <w:rsid w:val="002A5974"/>
    <w:rsid w:val="002A6633"/>
    <w:rsid w:val="002A7320"/>
    <w:rsid w:val="002A7A12"/>
    <w:rsid w:val="002B12B4"/>
    <w:rsid w:val="002B14F8"/>
    <w:rsid w:val="002B4BFE"/>
    <w:rsid w:val="002B586C"/>
    <w:rsid w:val="002C0234"/>
    <w:rsid w:val="002C0C90"/>
    <w:rsid w:val="002C1A75"/>
    <w:rsid w:val="002C21A3"/>
    <w:rsid w:val="002C2B5D"/>
    <w:rsid w:val="002C4DB5"/>
    <w:rsid w:val="002C7710"/>
    <w:rsid w:val="002C7D89"/>
    <w:rsid w:val="002D393C"/>
    <w:rsid w:val="002D6993"/>
    <w:rsid w:val="002D6AA6"/>
    <w:rsid w:val="002E0207"/>
    <w:rsid w:val="002E0D24"/>
    <w:rsid w:val="002E15EF"/>
    <w:rsid w:val="002E38D7"/>
    <w:rsid w:val="002E509C"/>
    <w:rsid w:val="002E592E"/>
    <w:rsid w:val="002F12F7"/>
    <w:rsid w:val="002F25D8"/>
    <w:rsid w:val="002F2EF9"/>
    <w:rsid w:val="002F40BD"/>
    <w:rsid w:val="002F436F"/>
    <w:rsid w:val="002F5B6F"/>
    <w:rsid w:val="002F67D0"/>
    <w:rsid w:val="002F71D1"/>
    <w:rsid w:val="00300676"/>
    <w:rsid w:val="00306D43"/>
    <w:rsid w:val="0030759E"/>
    <w:rsid w:val="00307680"/>
    <w:rsid w:val="00307B74"/>
    <w:rsid w:val="00310079"/>
    <w:rsid w:val="003138C8"/>
    <w:rsid w:val="00316966"/>
    <w:rsid w:val="00316AA5"/>
    <w:rsid w:val="00316B97"/>
    <w:rsid w:val="0031719D"/>
    <w:rsid w:val="003204A0"/>
    <w:rsid w:val="0032205E"/>
    <w:rsid w:val="00324B40"/>
    <w:rsid w:val="00325554"/>
    <w:rsid w:val="00325769"/>
    <w:rsid w:val="00325C81"/>
    <w:rsid w:val="00325CC7"/>
    <w:rsid w:val="00326B5E"/>
    <w:rsid w:val="00327ADF"/>
    <w:rsid w:val="00327FAC"/>
    <w:rsid w:val="003319A8"/>
    <w:rsid w:val="00331DA8"/>
    <w:rsid w:val="0034131C"/>
    <w:rsid w:val="003432F7"/>
    <w:rsid w:val="00344718"/>
    <w:rsid w:val="00345BB9"/>
    <w:rsid w:val="00345F79"/>
    <w:rsid w:val="0034617D"/>
    <w:rsid w:val="00346B86"/>
    <w:rsid w:val="00347130"/>
    <w:rsid w:val="00350253"/>
    <w:rsid w:val="0035516C"/>
    <w:rsid w:val="00356802"/>
    <w:rsid w:val="00356B50"/>
    <w:rsid w:val="00357350"/>
    <w:rsid w:val="0036010F"/>
    <w:rsid w:val="00360495"/>
    <w:rsid w:val="003621E3"/>
    <w:rsid w:val="00366013"/>
    <w:rsid w:val="003722CB"/>
    <w:rsid w:val="00373F28"/>
    <w:rsid w:val="00374DD2"/>
    <w:rsid w:val="00375414"/>
    <w:rsid w:val="003757AA"/>
    <w:rsid w:val="00377422"/>
    <w:rsid w:val="003803AD"/>
    <w:rsid w:val="00381FA2"/>
    <w:rsid w:val="00382818"/>
    <w:rsid w:val="003862BE"/>
    <w:rsid w:val="00390DAC"/>
    <w:rsid w:val="00392883"/>
    <w:rsid w:val="00393FE3"/>
    <w:rsid w:val="003A09F8"/>
    <w:rsid w:val="003A185E"/>
    <w:rsid w:val="003A1A04"/>
    <w:rsid w:val="003A432E"/>
    <w:rsid w:val="003A55F5"/>
    <w:rsid w:val="003A623B"/>
    <w:rsid w:val="003B06F6"/>
    <w:rsid w:val="003B2C75"/>
    <w:rsid w:val="003B300B"/>
    <w:rsid w:val="003B3D3F"/>
    <w:rsid w:val="003B66A9"/>
    <w:rsid w:val="003B7D5D"/>
    <w:rsid w:val="003C093B"/>
    <w:rsid w:val="003C0D8C"/>
    <w:rsid w:val="003C4580"/>
    <w:rsid w:val="003C55D5"/>
    <w:rsid w:val="003C582D"/>
    <w:rsid w:val="003C5986"/>
    <w:rsid w:val="003C6A2F"/>
    <w:rsid w:val="003D0134"/>
    <w:rsid w:val="003D2AB6"/>
    <w:rsid w:val="003D6DAC"/>
    <w:rsid w:val="003D7EB9"/>
    <w:rsid w:val="003E291E"/>
    <w:rsid w:val="003E2C5F"/>
    <w:rsid w:val="003E384A"/>
    <w:rsid w:val="003F03E3"/>
    <w:rsid w:val="003F0D6A"/>
    <w:rsid w:val="003F3CF0"/>
    <w:rsid w:val="003F70D0"/>
    <w:rsid w:val="00402579"/>
    <w:rsid w:val="0040314A"/>
    <w:rsid w:val="00403BB8"/>
    <w:rsid w:val="00405417"/>
    <w:rsid w:val="00405C42"/>
    <w:rsid w:val="004075E3"/>
    <w:rsid w:val="00410606"/>
    <w:rsid w:val="0041232D"/>
    <w:rsid w:val="00412A1A"/>
    <w:rsid w:val="00415734"/>
    <w:rsid w:val="004160E0"/>
    <w:rsid w:val="00417074"/>
    <w:rsid w:val="004202DC"/>
    <w:rsid w:val="004222BA"/>
    <w:rsid w:val="004242FB"/>
    <w:rsid w:val="004309F8"/>
    <w:rsid w:val="00430ADC"/>
    <w:rsid w:val="0043264C"/>
    <w:rsid w:val="00436912"/>
    <w:rsid w:val="00440E7B"/>
    <w:rsid w:val="00441EF7"/>
    <w:rsid w:val="00442D89"/>
    <w:rsid w:val="00443389"/>
    <w:rsid w:val="00444BEC"/>
    <w:rsid w:val="00445B65"/>
    <w:rsid w:val="00450555"/>
    <w:rsid w:val="00452247"/>
    <w:rsid w:val="00454617"/>
    <w:rsid w:val="00460C78"/>
    <w:rsid w:val="0046298F"/>
    <w:rsid w:val="004636B5"/>
    <w:rsid w:val="00465386"/>
    <w:rsid w:val="0046656D"/>
    <w:rsid w:val="004715E3"/>
    <w:rsid w:val="00472A18"/>
    <w:rsid w:val="00474F2A"/>
    <w:rsid w:val="00474F97"/>
    <w:rsid w:val="00475162"/>
    <w:rsid w:val="00475D06"/>
    <w:rsid w:val="00477074"/>
    <w:rsid w:val="004777A1"/>
    <w:rsid w:val="00480243"/>
    <w:rsid w:val="00480296"/>
    <w:rsid w:val="00481E66"/>
    <w:rsid w:val="004826A0"/>
    <w:rsid w:val="00483217"/>
    <w:rsid w:val="004837A4"/>
    <w:rsid w:val="0048565A"/>
    <w:rsid w:val="00485C52"/>
    <w:rsid w:val="00485DFD"/>
    <w:rsid w:val="004862CF"/>
    <w:rsid w:val="004909F4"/>
    <w:rsid w:val="00492E61"/>
    <w:rsid w:val="004936C0"/>
    <w:rsid w:val="00493F3C"/>
    <w:rsid w:val="004951D5"/>
    <w:rsid w:val="0049621D"/>
    <w:rsid w:val="00497F9F"/>
    <w:rsid w:val="004A00F7"/>
    <w:rsid w:val="004A058F"/>
    <w:rsid w:val="004A0A59"/>
    <w:rsid w:val="004A41CF"/>
    <w:rsid w:val="004A59B3"/>
    <w:rsid w:val="004A5C45"/>
    <w:rsid w:val="004A6926"/>
    <w:rsid w:val="004B3B2B"/>
    <w:rsid w:val="004B566F"/>
    <w:rsid w:val="004B580C"/>
    <w:rsid w:val="004B5FAB"/>
    <w:rsid w:val="004B6F0B"/>
    <w:rsid w:val="004C083D"/>
    <w:rsid w:val="004C1E3B"/>
    <w:rsid w:val="004C3815"/>
    <w:rsid w:val="004C5989"/>
    <w:rsid w:val="004C5EDF"/>
    <w:rsid w:val="004C6107"/>
    <w:rsid w:val="004C6A8C"/>
    <w:rsid w:val="004C787E"/>
    <w:rsid w:val="004D1F07"/>
    <w:rsid w:val="004D2895"/>
    <w:rsid w:val="004D3941"/>
    <w:rsid w:val="004D41C0"/>
    <w:rsid w:val="004D6FB2"/>
    <w:rsid w:val="004D799E"/>
    <w:rsid w:val="004E00ED"/>
    <w:rsid w:val="004E09C1"/>
    <w:rsid w:val="004E1242"/>
    <w:rsid w:val="004E1816"/>
    <w:rsid w:val="004E1FE1"/>
    <w:rsid w:val="004E24DC"/>
    <w:rsid w:val="004E3764"/>
    <w:rsid w:val="004E3993"/>
    <w:rsid w:val="004E43E1"/>
    <w:rsid w:val="004E492C"/>
    <w:rsid w:val="004F0728"/>
    <w:rsid w:val="004F31D7"/>
    <w:rsid w:val="004F4763"/>
    <w:rsid w:val="004F754D"/>
    <w:rsid w:val="005011AD"/>
    <w:rsid w:val="00501DCB"/>
    <w:rsid w:val="00504080"/>
    <w:rsid w:val="00505A6D"/>
    <w:rsid w:val="00507598"/>
    <w:rsid w:val="00510EC4"/>
    <w:rsid w:val="0051282F"/>
    <w:rsid w:val="005135B5"/>
    <w:rsid w:val="00515C5D"/>
    <w:rsid w:val="00517249"/>
    <w:rsid w:val="0051750C"/>
    <w:rsid w:val="0052043B"/>
    <w:rsid w:val="005233E7"/>
    <w:rsid w:val="00525E25"/>
    <w:rsid w:val="005266F8"/>
    <w:rsid w:val="0052769F"/>
    <w:rsid w:val="00530253"/>
    <w:rsid w:val="00531AAF"/>
    <w:rsid w:val="005321BC"/>
    <w:rsid w:val="005347E5"/>
    <w:rsid w:val="005416FC"/>
    <w:rsid w:val="0054433E"/>
    <w:rsid w:val="005445FA"/>
    <w:rsid w:val="0054521E"/>
    <w:rsid w:val="00545397"/>
    <w:rsid w:val="005454FF"/>
    <w:rsid w:val="00545CA8"/>
    <w:rsid w:val="005465AE"/>
    <w:rsid w:val="00553631"/>
    <w:rsid w:val="00553FA0"/>
    <w:rsid w:val="00554F7A"/>
    <w:rsid w:val="00555BD5"/>
    <w:rsid w:val="00556444"/>
    <w:rsid w:val="00556D06"/>
    <w:rsid w:val="0056081F"/>
    <w:rsid w:val="00566A9A"/>
    <w:rsid w:val="00567F73"/>
    <w:rsid w:val="00571D45"/>
    <w:rsid w:val="00573227"/>
    <w:rsid w:val="005737F1"/>
    <w:rsid w:val="005751D3"/>
    <w:rsid w:val="00576105"/>
    <w:rsid w:val="00577522"/>
    <w:rsid w:val="00577789"/>
    <w:rsid w:val="00581C5C"/>
    <w:rsid w:val="00581F2C"/>
    <w:rsid w:val="00583413"/>
    <w:rsid w:val="0058465D"/>
    <w:rsid w:val="005850C8"/>
    <w:rsid w:val="005866E2"/>
    <w:rsid w:val="00590FA8"/>
    <w:rsid w:val="00592064"/>
    <w:rsid w:val="00592481"/>
    <w:rsid w:val="00592B61"/>
    <w:rsid w:val="00596D6D"/>
    <w:rsid w:val="005970A7"/>
    <w:rsid w:val="005A192C"/>
    <w:rsid w:val="005A2421"/>
    <w:rsid w:val="005A2A59"/>
    <w:rsid w:val="005A3AD5"/>
    <w:rsid w:val="005A451A"/>
    <w:rsid w:val="005A6827"/>
    <w:rsid w:val="005A743F"/>
    <w:rsid w:val="005B0E16"/>
    <w:rsid w:val="005B2230"/>
    <w:rsid w:val="005B2D82"/>
    <w:rsid w:val="005B362B"/>
    <w:rsid w:val="005B36E3"/>
    <w:rsid w:val="005B52D6"/>
    <w:rsid w:val="005B7AB8"/>
    <w:rsid w:val="005B7E37"/>
    <w:rsid w:val="005B7F15"/>
    <w:rsid w:val="005C0133"/>
    <w:rsid w:val="005C032A"/>
    <w:rsid w:val="005C15BE"/>
    <w:rsid w:val="005C5E82"/>
    <w:rsid w:val="005C62BC"/>
    <w:rsid w:val="005D0A8D"/>
    <w:rsid w:val="005D2DA4"/>
    <w:rsid w:val="005D7E8E"/>
    <w:rsid w:val="005E07E0"/>
    <w:rsid w:val="005E30A1"/>
    <w:rsid w:val="005E55D6"/>
    <w:rsid w:val="005E59A5"/>
    <w:rsid w:val="005E744A"/>
    <w:rsid w:val="005F1F9D"/>
    <w:rsid w:val="005F27C6"/>
    <w:rsid w:val="005F5983"/>
    <w:rsid w:val="006014AB"/>
    <w:rsid w:val="0060386D"/>
    <w:rsid w:val="00603C70"/>
    <w:rsid w:val="00604389"/>
    <w:rsid w:val="00604DE9"/>
    <w:rsid w:val="00610EDE"/>
    <w:rsid w:val="00613696"/>
    <w:rsid w:val="00613FA4"/>
    <w:rsid w:val="0061459D"/>
    <w:rsid w:val="00623ECD"/>
    <w:rsid w:val="0062547F"/>
    <w:rsid w:val="00626335"/>
    <w:rsid w:val="00630456"/>
    <w:rsid w:val="00631AB8"/>
    <w:rsid w:val="006362C7"/>
    <w:rsid w:val="006376AA"/>
    <w:rsid w:val="006376AD"/>
    <w:rsid w:val="006437C2"/>
    <w:rsid w:val="00644F8B"/>
    <w:rsid w:val="00646AE0"/>
    <w:rsid w:val="006473E4"/>
    <w:rsid w:val="00647AF9"/>
    <w:rsid w:val="006500AF"/>
    <w:rsid w:val="0065046F"/>
    <w:rsid w:val="00652497"/>
    <w:rsid w:val="006525B4"/>
    <w:rsid w:val="006543AD"/>
    <w:rsid w:val="00654ADC"/>
    <w:rsid w:val="00657220"/>
    <w:rsid w:val="00660B65"/>
    <w:rsid w:val="00661683"/>
    <w:rsid w:val="00663A14"/>
    <w:rsid w:val="00663AE7"/>
    <w:rsid w:val="00663B57"/>
    <w:rsid w:val="0066419D"/>
    <w:rsid w:val="006642DA"/>
    <w:rsid w:val="00664418"/>
    <w:rsid w:val="006649CD"/>
    <w:rsid w:val="006660EE"/>
    <w:rsid w:val="00671160"/>
    <w:rsid w:val="00671A58"/>
    <w:rsid w:val="00672089"/>
    <w:rsid w:val="00674A0C"/>
    <w:rsid w:val="006754D2"/>
    <w:rsid w:val="00680CDA"/>
    <w:rsid w:val="006829D8"/>
    <w:rsid w:val="006832EB"/>
    <w:rsid w:val="00684A23"/>
    <w:rsid w:val="00684EFE"/>
    <w:rsid w:val="00690779"/>
    <w:rsid w:val="00693C94"/>
    <w:rsid w:val="0069624E"/>
    <w:rsid w:val="006A2025"/>
    <w:rsid w:val="006A2693"/>
    <w:rsid w:val="006A4B06"/>
    <w:rsid w:val="006A4F31"/>
    <w:rsid w:val="006B03FC"/>
    <w:rsid w:val="006B2D15"/>
    <w:rsid w:val="006B5EDE"/>
    <w:rsid w:val="006C2CFF"/>
    <w:rsid w:val="006C3038"/>
    <w:rsid w:val="006C5895"/>
    <w:rsid w:val="006C5D8B"/>
    <w:rsid w:val="006C6ED6"/>
    <w:rsid w:val="006D2047"/>
    <w:rsid w:val="006D3CED"/>
    <w:rsid w:val="006D4ACB"/>
    <w:rsid w:val="006E0068"/>
    <w:rsid w:val="006E12D0"/>
    <w:rsid w:val="006E2235"/>
    <w:rsid w:val="006E2B37"/>
    <w:rsid w:val="006E3F7F"/>
    <w:rsid w:val="006E5909"/>
    <w:rsid w:val="006E5916"/>
    <w:rsid w:val="006E6646"/>
    <w:rsid w:val="006E6D1C"/>
    <w:rsid w:val="006F03BB"/>
    <w:rsid w:val="006F5196"/>
    <w:rsid w:val="006F5862"/>
    <w:rsid w:val="006F61D1"/>
    <w:rsid w:val="006F62F7"/>
    <w:rsid w:val="006F7974"/>
    <w:rsid w:val="007029AF"/>
    <w:rsid w:val="00703492"/>
    <w:rsid w:val="00707398"/>
    <w:rsid w:val="00707614"/>
    <w:rsid w:val="00707BE4"/>
    <w:rsid w:val="00711868"/>
    <w:rsid w:val="00711B0F"/>
    <w:rsid w:val="00711CCA"/>
    <w:rsid w:val="007121AA"/>
    <w:rsid w:val="007126EB"/>
    <w:rsid w:val="00713B11"/>
    <w:rsid w:val="0071506C"/>
    <w:rsid w:val="00721518"/>
    <w:rsid w:val="00725432"/>
    <w:rsid w:val="0072700A"/>
    <w:rsid w:val="00727CDD"/>
    <w:rsid w:val="0073081D"/>
    <w:rsid w:val="00731306"/>
    <w:rsid w:val="00733E07"/>
    <w:rsid w:val="007402A1"/>
    <w:rsid w:val="00741D4E"/>
    <w:rsid w:val="007433CF"/>
    <w:rsid w:val="00744199"/>
    <w:rsid w:val="00746715"/>
    <w:rsid w:val="00746FA2"/>
    <w:rsid w:val="0075019E"/>
    <w:rsid w:val="00756DB7"/>
    <w:rsid w:val="00757703"/>
    <w:rsid w:val="00760581"/>
    <w:rsid w:val="00760A8C"/>
    <w:rsid w:val="007618C4"/>
    <w:rsid w:val="00761925"/>
    <w:rsid w:val="00763B70"/>
    <w:rsid w:val="0076412E"/>
    <w:rsid w:val="007728F2"/>
    <w:rsid w:val="0077512D"/>
    <w:rsid w:val="00775AA4"/>
    <w:rsid w:val="00775D09"/>
    <w:rsid w:val="00777477"/>
    <w:rsid w:val="00777A9F"/>
    <w:rsid w:val="0078177C"/>
    <w:rsid w:val="00785C65"/>
    <w:rsid w:val="007868AD"/>
    <w:rsid w:val="0078704A"/>
    <w:rsid w:val="00791043"/>
    <w:rsid w:val="00793ECA"/>
    <w:rsid w:val="007946AB"/>
    <w:rsid w:val="00797F7F"/>
    <w:rsid w:val="007A17F8"/>
    <w:rsid w:val="007A2E61"/>
    <w:rsid w:val="007A4232"/>
    <w:rsid w:val="007A5DE3"/>
    <w:rsid w:val="007A6383"/>
    <w:rsid w:val="007A67E5"/>
    <w:rsid w:val="007A7133"/>
    <w:rsid w:val="007B36CE"/>
    <w:rsid w:val="007B3992"/>
    <w:rsid w:val="007B5228"/>
    <w:rsid w:val="007B55BE"/>
    <w:rsid w:val="007B5EED"/>
    <w:rsid w:val="007C15B8"/>
    <w:rsid w:val="007C1FE2"/>
    <w:rsid w:val="007C2E80"/>
    <w:rsid w:val="007C5C82"/>
    <w:rsid w:val="007C6141"/>
    <w:rsid w:val="007C77E8"/>
    <w:rsid w:val="007D1EA0"/>
    <w:rsid w:val="007D2B47"/>
    <w:rsid w:val="007D5313"/>
    <w:rsid w:val="007D71C1"/>
    <w:rsid w:val="007E1A85"/>
    <w:rsid w:val="007E231E"/>
    <w:rsid w:val="007E29EE"/>
    <w:rsid w:val="007E4B11"/>
    <w:rsid w:val="007F195D"/>
    <w:rsid w:val="007F1A0D"/>
    <w:rsid w:val="007F274C"/>
    <w:rsid w:val="007F59B8"/>
    <w:rsid w:val="007F7EE9"/>
    <w:rsid w:val="00800DD8"/>
    <w:rsid w:val="008019EE"/>
    <w:rsid w:val="00802B30"/>
    <w:rsid w:val="00807BFD"/>
    <w:rsid w:val="0081175B"/>
    <w:rsid w:val="0081263C"/>
    <w:rsid w:val="00812DDD"/>
    <w:rsid w:val="00813DB4"/>
    <w:rsid w:val="00814B38"/>
    <w:rsid w:val="0081614D"/>
    <w:rsid w:val="008166E2"/>
    <w:rsid w:val="00816BE6"/>
    <w:rsid w:val="0081721C"/>
    <w:rsid w:val="0082107C"/>
    <w:rsid w:val="00822958"/>
    <w:rsid w:val="0082525E"/>
    <w:rsid w:val="00826374"/>
    <w:rsid w:val="008264AF"/>
    <w:rsid w:val="0083163E"/>
    <w:rsid w:val="00832816"/>
    <w:rsid w:val="00833580"/>
    <w:rsid w:val="00835AD3"/>
    <w:rsid w:val="00840A03"/>
    <w:rsid w:val="0084375B"/>
    <w:rsid w:val="0084427A"/>
    <w:rsid w:val="0084554A"/>
    <w:rsid w:val="008462AC"/>
    <w:rsid w:val="00847633"/>
    <w:rsid w:val="0085150F"/>
    <w:rsid w:val="008521C2"/>
    <w:rsid w:val="00853669"/>
    <w:rsid w:val="00857409"/>
    <w:rsid w:val="00857CE6"/>
    <w:rsid w:val="00865F33"/>
    <w:rsid w:val="00866EDA"/>
    <w:rsid w:val="00866FEA"/>
    <w:rsid w:val="008671C8"/>
    <w:rsid w:val="00872601"/>
    <w:rsid w:val="00872960"/>
    <w:rsid w:val="00873836"/>
    <w:rsid w:val="00874BF3"/>
    <w:rsid w:val="00874D19"/>
    <w:rsid w:val="00876802"/>
    <w:rsid w:val="00880A1F"/>
    <w:rsid w:val="00880B2E"/>
    <w:rsid w:val="00881C6F"/>
    <w:rsid w:val="00883AB6"/>
    <w:rsid w:val="008842FE"/>
    <w:rsid w:val="008844B8"/>
    <w:rsid w:val="00884B1D"/>
    <w:rsid w:val="00885446"/>
    <w:rsid w:val="008908BE"/>
    <w:rsid w:val="00893058"/>
    <w:rsid w:val="00894851"/>
    <w:rsid w:val="008A0357"/>
    <w:rsid w:val="008A36BB"/>
    <w:rsid w:val="008A3711"/>
    <w:rsid w:val="008A64C8"/>
    <w:rsid w:val="008B3AB9"/>
    <w:rsid w:val="008B4D54"/>
    <w:rsid w:val="008B6BE2"/>
    <w:rsid w:val="008B7473"/>
    <w:rsid w:val="008C2267"/>
    <w:rsid w:val="008C38F1"/>
    <w:rsid w:val="008C3B36"/>
    <w:rsid w:val="008C58D0"/>
    <w:rsid w:val="008C66D2"/>
    <w:rsid w:val="008C6DF5"/>
    <w:rsid w:val="008D11E7"/>
    <w:rsid w:val="008D52A0"/>
    <w:rsid w:val="008D5CE7"/>
    <w:rsid w:val="008D770E"/>
    <w:rsid w:val="008D7F04"/>
    <w:rsid w:val="008E1191"/>
    <w:rsid w:val="008E2AAE"/>
    <w:rsid w:val="008E47BF"/>
    <w:rsid w:val="008E570F"/>
    <w:rsid w:val="008F4126"/>
    <w:rsid w:val="008F5708"/>
    <w:rsid w:val="008F5FD0"/>
    <w:rsid w:val="008F7A4B"/>
    <w:rsid w:val="00900E93"/>
    <w:rsid w:val="00901127"/>
    <w:rsid w:val="009032E5"/>
    <w:rsid w:val="009064C8"/>
    <w:rsid w:val="009070CE"/>
    <w:rsid w:val="0090776D"/>
    <w:rsid w:val="009078B0"/>
    <w:rsid w:val="00910645"/>
    <w:rsid w:val="009204F9"/>
    <w:rsid w:val="00920BE8"/>
    <w:rsid w:val="0092228D"/>
    <w:rsid w:val="00922DE8"/>
    <w:rsid w:val="0092329E"/>
    <w:rsid w:val="0092347F"/>
    <w:rsid w:val="009234D8"/>
    <w:rsid w:val="00924A74"/>
    <w:rsid w:val="00926601"/>
    <w:rsid w:val="009331D9"/>
    <w:rsid w:val="009333A1"/>
    <w:rsid w:val="00933FD5"/>
    <w:rsid w:val="00933FD8"/>
    <w:rsid w:val="00934B13"/>
    <w:rsid w:val="00934CA7"/>
    <w:rsid w:val="00935736"/>
    <w:rsid w:val="009428A9"/>
    <w:rsid w:val="00943A6C"/>
    <w:rsid w:val="00943DCE"/>
    <w:rsid w:val="00947856"/>
    <w:rsid w:val="00947D75"/>
    <w:rsid w:val="00952A50"/>
    <w:rsid w:val="009537E3"/>
    <w:rsid w:val="00956F1D"/>
    <w:rsid w:val="00957066"/>
    <w:rsid w:val="00962D34"/>
    <w:rsid w:val="009639B1"/>
    <w:rsid w:val="00964490"/>
    <w:rsid w:val="00964F88"/>
    <w:rsid w:val="009731AD"/>
    <w:rsid w:val="00981785"/>
    <w:rsid w:val="00981FE1"/>
    <w:rsid w:val="009847D6"/>
    <w:rsid w:val="00984C55"/>
    <w:rsid w:val="009866D8"/>
    <w:rsid w:val="00990511"/>
    <w:rsid w:val="0099232D"/>
    <w:rsid w:val="00994DF3"/>
    <w:rsid w:val="00994E9C"/>
    <w:rsid w:val="009954BF"/>
    <w:rsid w:val="00997E49"/>
    <w:rsid w:val="009A005E"/>
    <w:rsid w:val="009A0C55"/>
    <w:rsid w:val="009A0E45"/>
    <w:rsid w:val="009A40BA"/>
    <w:rsid w:val="009A4F6C"/>
    <w:rsid w:val="009A53F8"/>
    <w:rsid w:val="009A6E69"/>
    <w:rsid w:val="009A76A2"/>
    <w:rsid w:val="009B1095"/>
    <w:rsid w:val="009B17BC"/>
    <w:rsid w:val="009B2B7B"/>
    <w:rsid w:val="009B71B8"/>
    <w:rsid w:val="009C070A"/>
    <w:rsid w:val="009C0AA2"/>
    <w:rsid w:val="009C1984"/>
    <w:rsid w:val="009C2820"/>
    <w:rsid w:val="009C2C0D"/>
    <w:rsid w:val="009C318B"/>
    <w:rsid w:val="009C6B1A"/>
    <w:rsid w:val="009D134E"/>
    <w:rsid w:val="009D50D0"/>
    <w:rsid w:val="009D6FAF"/>
    <w:rsid w:val="009D76F4"/>
    <w:rsid w:val="009D7914"/>
    <w:rsid w:val="009D7B36"/>
    <w:rsid w:val="009E2A52"/>
    <w:rsid w:val="009E3F3D"/>
    <w:rsid w:val="009E48A8"/>
    <w:rsid w:val="009E5FBE"/>
    <w:rsid w:val="009E6BBB"/>
    <w:rsid w:val="009E7910"/>
    <w:rsid w:val="009F0F92"/>
    <w:rsid w:val="009F406A"/>
    <w:rsid w:val="009F418B"/>
    <w:rsid w:val="009F5E3F"/>
    <w:rsid w:val="009F7330"/>
    <w:rsid w:val="009F7F26"/>
    <w:rsid w:val="00A01E9B"/>
    <w:rsid w:val="00A04688"/>
    <w:rsid w:val="00A05AEA"/>
    <w:rsid w:val="00A05ED1"/>
    <w:rsid w:val="00A0665D"/>
    <w:rsid w:val="00A07E71"/>
    <w:rsid w:val="00A11E19"/>
    <w:rsid w:val="00A11E47"/>
    <w:rsid w:val="00A13958"/>
    <w:rsid w:val="00A14F12"/>
    <w:rsid w:val="00A201A7"/>
    <w:rsid w:val="00A209BC"/>
    <w:rsid w:val="00A20BAD"/>
    <w:rsid w:val="00A2316A"/>
    <w:rsid w:val="00A24117"/>
    <w:rsid w:val="00A24D53"/>
    <w:rsid w:val="00A257B8"/>
    <w:rsid w:val="00A30345"/>
    <w:rsid w:val="00A303B4"/>
    <w:rsid w:val="00A31120"/>
    <w:rsid w:val="00A3127E"/>
    <w:rsid w:val="00A327CE"/>
    <w:rsid w:val="00A3280C"/>
    <w:rsid w:val="00A3383F"/>
    <w:rsid w:val="00A342E3"/>
    <w:rsid w:val="00A37EFD"/>
    <w:rsid w:val="00A427E5"/>
    <w:rsid w:val="00A428C8"/>
    <w:rsid w:val="00A4486E"/>
    <w:rsid w:val="00A448D3"/>
    <w:rsid w:val="00A4509E"/>
    <w:rsid w:val="00A458F0"/>
    <w:rsid w:val="00A47796"/>
    <w:rsid w:val="00A5056A"/>
    <w:rsid w:val="00A50652"/>
    <w:rsid w:val="00A51E08"/>
    <w:rsid w:val="00A52E83"/>
    <w:rsid w:val="00A53C80"/>
    <w:rsid w:val="00A5441B"/>
    <w:rsid w:val="00A5533F"/>
    <w:rsid w:val="00A579F7"/>
    <w:rsid w:val="00A607E3"/>
    <w:rsid w:val="00A62A01"/>
    <w:rsid w:val="00A71AF3"/>
    <w:rsid w:val="00A71DF5"/>
    <w:rsid w:val="00A744C6"/>
    <w:rsid w:val="00A75A24"/>
    <w:rsid w:val="00A77833"/>
    <w:rsid w:val="00A80E58"/>
    <w:rsid w:val="00A81E58"/>
    <w:rsid w:val="00A821F9"/>
    <w:rsid w:val="00A825E7"/>
    <w:rsid w:val="00A82B46"/>
    <w:rsid w:val="00A8426B"/>
    <w:rsid w:val="00A85D01"/>
    <w:rsid w:val="00A91265"/>
    <w:rsid w:val="00AA06A9"/>
    <w:rsid w:val="00AA2AC1"/>
    <w:rsid w:val="00AA7D42"/>
    <w:rsid w:val="00AB0685"/>
    <w:rsid w:val="00AB1630"/>
    <w:rsid w:val="00AB49A9"/>
    <w:rsid w:val="00AB72FD"/>
    <w:rsid w:val="00AB7FAB"/>
    <w:rsid w:val="00AC3803"/>
    <w:rsid w:val="00AD2BF1"/>
    <w:rsid w:val="00AD3087"/>
    <w:rsid w:val="00AD400F"/>
    <w:rsid w:val="00AD40C9"/>
    <w:rsid w:val="00AD4A51"/>
    <w:rsid w:val="00AD69D6"/>
    <w:rsid w:val="00AD7BCC"/>
    <w:rsid w:val="00AE170F"/>
    <w:rsid w:val="00AE34A2"/>
    <w:rsid w:val="00AE34F2"/>
    <w:rsid w:val="00AE4160"/>
    <w:rsid w:val="00AE423E"/>
    <w:rsid w:val="00AE543F"/>
    <w:rsid w:val="00AE6244"/>
    <w:rsid w:val="00AE741C"/>
    <w:rsid w:val="00AF14E0"/>
    <w:rsid w:val="00AF1642"/>
    <w:rsid w:val="00B02F64"/>
    <w:rsid w:val="00B03511"/>
    <w:rsid w:val="00B03FEA"/>
    <w:rsid w:val="00B12135"/>
    <w:rsid w:val="00B125AC"/>
    <w:rsid w:val="00B13739"/>
    <w:rsid w:val="00B14362"/>
    <w:rsid w:val="00B15A8E"/>
    <w:rsid w:val="00B17AAE"/>
    <w:rsid w:val="00B17E86"/>
    <w:rsid w:val="00B20620"/>
    <w:rsid w:val="00B21DB4"/>
    <w:rsid w:val="00B25293"/>
    <w:rsid w:val="00B2577A"/>
    <w:rsid w:val="00B2620C"/>
    <w:rsid w:val="00B2624F"/>
    <w:rsid w:val="00B27B34"/>
    <w:rsid w:val="00B31CEB"/>
    <w:rsid w:val="00B34874"/>
    <w:rsid w:val="00B3738C"/>
    <w:rsid w:val="00B4513E"/>
    <w:rsid w:val="00B45F7E"/>
    <w:rsid w:val="00B46761"/>
    <w:rsid w:val="00B47251"/>
    <w:rsid w:val="00B50D23"/>
    <w:rsid w:val="00B51651"/>
    <w:rsid w:val="00B537F3"/>
    <w:rsid w:val="00B53C4F"/>
    <w:rsid w:val="00B57A23"/>
    <w:rsid w:val="00B60304"/>
    <w:rsid w:val="00B607EA"/>
    <w:rsid w:val="00B6262D"/>
    <w:rsid w:val="00B63812"/>
    <w:rsid w:val="00B63BCB"/>
    <w:rsid w:val="00B63F92"/>
    <w:rsid w:val="00B646D2"/>
    <w:rsid w:val="00B6693B"/>
    <w:rsid w:val="00B70261"/>
    <w:rsid w:val="00B70D02"/>
    <w:rsid w:val="00B728F3"/>
    <w:rsid w:val="00B72E98"/>
    <w:rsid w:val="00B806C8"/>
    <w:rsid w:val="00B82C60"/>
    <w:rsid w:val="00B8333B"/>
    <w:rsid w:val="00B84288"/>
    <w:rsid w:val="00B8512A"/>
    <w:rsid w:val="00B8520C"/>
    <w:rsid w:val="00B8603D"/>
    <w:rsid w:val="00B877F6"/>
    <w:rsid w:val="00B959D2"/>
    <w:rsid w:val="00B95B38"/>
    <w:rsid w:val="00B96947"/>
    <w:rsid w:val="00B96B0B"/>
    <w:rsid w:val="00B96D4F"/>
    <w:rsid w:val="00B971E7"/>
    <w:rsid w:val="00BA0229"/>
    <w:rsid w:val="00BA2259"/>
    <w:rsid w:val="00BA2FE9"/>
    <w:rsid w:val="00BA39C4"/>
    <w:rsid w:val="00BB04C7"/>
    <w:rsid w:val="00BB1B4A"/>
    <w:rsid w:val="00BB23D8"/>
    <w:rsid w:val="00BB3068"/>
    <w:rsid w:val="00BB3693"/>
    <w:rsid w:val="00BB3ECE"/>
    <w:rsid w:val="00BB48B1"/>
    <w:rsid w:val="00BB5414"/>
    <w:rsid w:val="00BB5425"/>
    <w:rsid w:val="00BB54DB"/>
    <w:rsid w:val="00BB57D9"/>
    <w:rsid w:val="00BB7C6E"/>
    <w:rsid w:val="00BC0D5A"/>
    <w:rsid w:val="00BC4AE0"/>
    <w:rsid w:val="00BC5485"/>
    <w:rsid w:val="00BC7016"/>
    <w:rsid w:val="00BC794E"/>
    <w:rsid w:val="00BD007C"/>
    <w:rsid w:val="00BD09A5"/>
    <w:rsid w:val="00BD0B11"/>
    <w:rsid w:val="00BD23A3"/>
    <w:rsid w:val="00BD4313"/>
    <w:rsid w:val="00BD46B3"/>
    <w:rsid w:val="00BD4901"/>
    <w:rsid w:val="00BD5A3C"/>
    <w:rsid w:val="00BD62CF"/>
    <w:rsid w:val="00BE0A83"/>
    <w:rsid w:val="00BE0D4D"/>
    <w:rsid w:val="00BE2C7D"/>
    <w:rsid w:val="00BE4384"/>
    <w:rsid w:val="00BE60D8"/>
    <w:rsid w:val="00BE7CBF"/>
    <w:rsid w:val="00BF095D"/>
    <w:rsid w:val="00BF231A"/>
    <w:rsid w:val="00BF3C41"/>
    <w:rsid w:val="00BF5769"/>
    <w:rsid w:val="00BF592B"/>
    <w:rsid w:val="00BF5F3A"/>
    <w:rsid w:val="00C03AB2"/>
    <w:rsid w:val="00C06D1B"/>
    <w:rsid w:val="00C0712F"/>
    <w:rsid w:val="00C12DA6"/>
    <w:rsid w:val="00C1301C"/>
    <w:rsid w:val="00C149FE"/>
    <w:rsid w:val="00C14AF0"/>
    <w:rsid w:val="00C154A3"/>
    <w:rsid w:val="00C164C8"/>
    <w:rsid w:val="00C204D3"/>
    <w:rsid w:val="00C242D6"/>
    <w:rsid w:val="00C24A75"/>
    <w:rsid w:val="00C251B1"/>
    <w:rsid w:val="00C26022"/>
    <w:rsid w:val="00C26A06"/>
    <w:rsid w:val="00C270EC"/>
    <w:rsid w:val="00C27A89"/>
    <w:rsid w:val="00C32C6F"/>
    <w:rsid w:val="00C3313D"/>
    <w:rsid w:val="00C33A64"/>
    <w:rsid w:val="00C3443A"/>
    <w:rsid w:val="00C36A05"/>
    <w:rsid w:val="00C36A86"/>
    <w:rsid w:val="00C36B7A"/>
    <w:rsid w:val="00C41186"/>
    <w:rsid w:val="00C4559D"/>
    <w:rsid w:val="00C45B29"/>
    <w:rsid w:val="00C45BF2"/>
    <w:rsid w:val="00C46B47"/>
    <w:rsid w:val="00C50B44"/>
    <w:rsid w:val="00C51408"/>
    <w:rsid w:val="00C53510"/>
    <w:rsid w:val="00C53C8E"/>
    <w:rsid w:val="00C5646D"/>
    <w:rsid w:val="00C62692"/>
    <w:rsid w:val="00C644FE"/>
    <w:rsid w:val="00C65ED9"/>
    <w:rsid w:val="00C662E1"/>
    <w:rsid w:val="00C66AF0"/>
    <w:rsid w:val="00C66EC2"/>
    <w:rsid w:val="00C701FB"/>
    <w:rsid w:val="00C70823"/>
    <w:rsid w:val="00C70F56"/>
    <w:rsid w:val="00C720EC"/>
    <w:rsid w:val="00C75B26"/>
    <w:rsid w:val="00C770AE"/>
    <w:rsid w:val="00C77744"/>
    <w:rsid w:val="00C777E5"/>
    <w:rsid w:val="00C81FD4"/>
    <w:rsid w:val="00C82987"/>
    <w:rsid w:val="00C87CB8"/>
    <w:rsid w:val="00C93291"/>
    <w:rsid w:val="00C93BF6"/>
    <w:rsid w:val="00C9443A"/>
    <w:rsid w:val="00CA03C5"/>
    <w:rsid w:val="00CA1329"/>
    <w:rsid w:val="00CA3A68"/>
    <w:rsid w:val="00CA6836"/>
    <w:rsid w:val="00CA6DD9"/>
    <w:rsid w:val="00CA7451"/>
    <w:rsid w:val="00CB0070"/>
    <w:rsid w:val="00CB12C0"/>
    <w:rsid w:val="00CB212F"/>
    <w:rsid w:val="00CB35D9"/>
    <w:rsid w:val="00CB63D5"/>
    <w:rsid w:val="00CB6701"/>
    <w:rsid w:val="00CB7DDA"/>
    <w:rsid w:val="00CC1C60"/>
    <w:rsid w:val="00CC297E"/>
    <w:rsid w:val="00CC2BF4"/>
    <w:rsid w:val="00CC3A2D"/>
    <w:rsid w:val="00CC52F4"/>
    <w:rsid w:val="00CC576E"/>
    <w:rsid w:val="00CC5B0E"/>
    <w:rsid w:val="00CD24F7"/>
    <w:rsid w:val="00CD36C5"/>
    <w:rsid w:val="00CD7C13"/>
    <w:rsid w:val="00CE0559"/>
    <w:rsid w:val="00CE1A52"/>
    <w:rsid w:val="00CE48A3"/>
    <w:rsid w:val="00CE5457"/>
    <w:rsid w:val="00CF0BBA"/>
    <w:rsid w:val="00CF380E"/>
    <w:rsid w:val="00CF3E12"/>
    <w:rsid w:val="00CF3E62"/>
    <w:rsid w:val="00CF4EF4"/>
    <w:rsid w:val="00CF5D71"/>
    <w:rsid w:val="00CF7749"/>
    <w:rsid w:val="00D0097E"/>
    <w:rsid w:val="00D010E7"/>
    <w:rsid w:val="00D02514"/>
    <w:rsid w:val="00D065B7"/>
    <w:rsid w:val="00D1098C"/>
    <w:rsid w:val="00D15A0A"/>
    <w:rsid w:val="00D163FB"/>
    <w:rsid w:val="00D16776"/>
    <w:rsid w:val="00D1683A"/>
    <w:rsid w:val="00D20309"/>
    <w:rsid w:val="00D20604"/>
    <w:rsid w:val="00D221D7"/>
    <w:rsid w:val="00D23B4B"/>
    <w:rsid w:val="00D245EF"/>
    <w:rsid w:val="00D26B05"/>
    <w:rsid w:val="00D30F18"/>
    <w:rsid w:val="00D37BDA"/>
    <w:rsid w:val="00D404BE"/>
    <w:rsid w:val="00D40F27"/>
    <w:rsid w:val="00D4681B"/>
    <w:rsid w:val="00D46F5F"/>
    <w:rsid w:val="00D47A69"/>
    <w:rsid w:val="00D47E49"/>
    <w:rsid w:val="00D50510"/>
    <w:rsid w:val="00D508FF"/>
    <w:rsid w:val="00D51DFF"/>
    <w:rsid w:val="00D54977"/>
    <w:rsid w:val="00D54E6F"/>
    <w:rsid w:val="00D57531"/>
    <w:rsid w:val="00D622BF"/>
    <w:rsid w:val="00D62F6B"/>
    <w:rsid w:val="00D6320F"/>
    <w:rsid w:val="00D647AD"/>
    <w:rsid w:val="00D652BB"/>
    <w:rsid w:val="00D66C31"/>
    <w:rsid w:val="00D66D30"/>
    <w:rsid w:val="00D67AA7"/>
    <w:rsid w:val="00D72DFE"/>
    <w:rsid w:val="00D74B46"/>
    <w:rsid w:val="00D74F80"/>
    <w:rsid w:val="00D8183B"/>
    <w:rsid w:val="00D82500"/>
    <w:rsid w:val="00D87062"/>
    <w:rsid w:val="00D9094E"/>
    <w:rsid w:val="00D90E84"/>
    <w:rsid w:val="00D9181A"/>
    <w:rsid w:val="00D91FF6"/>
    <w:rsid w:val="00D92C2F"/>
    <w:rsid w:val="00D92F45"/>
    <w:rsid w:val="00D93AA7"/>
    <w:rsid w:val="00D94EA2"/>
    <w:rsid w:val="00D9502C"/>
    <w:rsid w:val="00D953AE"/>
    <w:rsid w:val="00D96E64"/>
    <w:rsid w:val="00DA13EF"/>
    <w:rsid w:val="00DA5F99"/>
    <w:rsid w:val="00DA6D88"/>
    <w:rsid w:val="00DB1D88"/>
    <w:rsid w:val="00DB78E5"/>
    <w:rsid w:val="00DC02EA"/>
    <w:rsid w:val="00DC09E2"/>
    <w:rsid w:val="00DC1274"/>
    <w:rsid w:val="00DC32DD"/>
    <w:rsid w:val="00DC339C"/>
    <w:rsid w:val="00DC3411"/>
    <w:rsid w:val="00DC3D0A"/>
    <w:rsid w:val="00DC66F5"/>
    <w:rsid w:val="00DC67A1"/>
    <w:rsid w:val="00DD0003"/>
    <w:rsid w:val="00DD01D1"/>
    <w:rsid w:val="00DD3B22"/>
    <w:rsid w:val="00DD3F36"/>
    <w:rsid w:val="00DD64E3"/>
    <w:rsid w:val="00DD68B7"/>
    <w:rsid w:val="00DD7A0F"/>
    <w:rsid w:val="00DD7EA1"/>
    <w:rsid w:val="00DE1CCE"/>
    <w:rsid w:val="00DE422B"/>
    <w:rsid w:val="00DE46B4"/>
    <w:rsid w:val="00DE5ADB"/>
    <w:rsid w:val="00DF12DC"/>
    <w:rsid w:val="00DF2770"/>
    <w:rsid w:val="00DF5346"/>
    <w:rsid w:val="00E0063A"/>
    <w:rsid w:val="00E00C27"/>
    <w:rsid w:val="00E02D63"/>
    <w:rsid w:val="00E02D66"/>
    <w:rsid w:val="00E047F5"/>
    <w:rsid w:val="00E06514"/>
    <w:rsid w:val="00E06583"/>
    <w:rsid w:val="00E06B24"/>
    <w:rsid w:val="00E07C2B"/>
    <w:rsid w:val="00E11CF4"/>
    <w:rsid w:val="00E12ACE"/>
    <w:rsid w:val="00E12EBF"/>
    <w:rsid w:val="00E13336"/>
    <w:rsid w:val="00E1639E"/>
    <w:rsid w:val="00E165A1"/>
    <w:rsid w:val="00E170A1"/>
    <w:rsid w:val="00E235A6"/>
    <w:rsid w:val="00E240D3"/>
    <w:rsid w:val="00E24403"/>
    <w:rsid w:val="00E26C3D"/>
    <w:rsid w:val="00E37DC7"/>
    <w:rsid w:val="00E40B40"/>
    <w:rsid w:val="00E4122B"/>
    <w:rsid w:val="00E41D15"/>
    <w:rsid w:val="00E43932"/>
    <w:rsid w:val="00E4450C"/>
    <w:rsid w:val="00E44E2B"/>
    <w:rsid w:val="00E46427"/>
    <w:rsid w:val="00E50CF0"/>
    <w:rsid w:val="00E519D0"/>
    <w:rsid w:val="00E525A0"/>
    <w:rsid w:val="00E52808"/>
    <w:rsid w:val="00E53588"/>
    <w:rsid w:val="00E54E5F"/>
    <w:rsid w:val="00E55273"/>
    <w:rsid w:val="00E55CDF"/>
    <w:rsid w:val="00E55F55"/>
    <w:rsid w:val="00E61CF4"/>
    <w:rsid w:val="00E628F8"/>
    <w:rsid w:val="00E65221"/>
    <w:rsid w:val="00E676E9"/>
    <w:rsid w:val="00E67E42"/>
    <w:rsid w:val="00E72E42"/>
    <w:rsid w:val="00E73100"/>
    <w:rsid w:val="00E736E9"/>
    <w:rsid w:val="00E73A1C"/>
    <w:rsid w:val="00E77C89"/>
    <w:rsid w:val="00E844FD"/>
    <w:rsid w:val="00E84EA9"/>
    <w:rsid w:val="00E8698D"/>
    <w:rsid w:val="00E96230"/>
    <w:rsid w:val="00E966EE"/>
    <w:rsid w:val="00E9677E"/>
    <w:rsid w:val="00E96CEA"/>
    <w:rsid w:val="00E9734C"/>
    <w:rsid w:val="00E97920"/>
    <w:rsid w:val="00EA2316"/>
    <w:rsid w:val="00EA36C8"/>
    <w:rsid w:val="00EA5622"/>
    <w:rsid w:val="00EA6AB9"/>
    <w:rsid w:val="00EB2105"/>
    <w:rsid w:val="00EB2F8B"/>
    <w:rsid w:val="00EB3BA0"/>
    <w:rsid w:val="00EB4008"/>
    <w:rsid w:val="00EB7DA6"/>
    <w:rsid w:val="00EC1585"/>
    <w:rsid w:val="00EC3166"/>
    <w:rsid w:val="00EC5084"/>
    <w:rsid w:val="00EC6BC5"/>
    <w:rsid w:val="00EC6FB2"/>
    <w:rsid w:val="00EC7063"/>
    <w:rsid w:val="00ED1138"/>
    <w:rsid w:val="00ED1C35"/>
    <w:rsid w:val="00ED33C0"/>
    <w:rsid w:val="00ED47A2"/>
    <w:rsid w:val="00ED6358"/>
    <w:rsid w:val="00ED710B"/>
    <w:rsid w:val="00EE032F"/>
    <w:rsid w:val="00EE0A88"/>
    <w:rsid w:val="00EE150B"/>
    <w:rsid w:val="00EE632C"/>
    <w:rsid w:val="00EE6D37"/>
    <w:rsid w:val="00EE76A9"/>
    <w:rsid w:val="00EF07CF"/>
    <w:rsid w:val="00EF3054"/>
    <w:rsid w:val="00EF40A7"/>
    <w:rsid w:val="00EF67F6"/>
    <w:rsid w:val="00EF7039"/>
    <w:rsid w:val="00EF7D33"/>
    <w:rsid w:val="00F0010F"/>
    <w:rsid w:val="00F01470"/>
    <w:rsid w:val="00F01D44"/>
    <w:rsid w:val="00F01E15"/>
    <w:rsid w:val="00F02E18"/>
    <w:rsid w:val="00F0355A"/>
    <w:rsid w:val="00F04701"/>
    <w:rsid w:val="00F0481B"/>
    <w:rsid w:val="00F05E4B"/>
    <w:rsid w:val="00F07600"/>
    <w:rsid w:val="00F10927"/>
    <w:rsid w:val="00F115BD"/>
    <w:rsid w:val="00F120AF"/>
    <w:rsid w:val="00F139DF"/>
    <w:rsid w:val="00F148BD"/>
    <w:rsid w:val="00F14CA5"/>
    <w:rsid w:val="00F15021"/>
    <w:rsid w:val="00F157CA"/>
    <w:rsid w:val="00F22504"/>
    <w:rsid w:val="00F30B07"/>
    <w:rsid w:val="00F35FA0"/>
    <w:rsid w:val="00F368AA"/>
    <w:rsid w:val="00F401B9"/>
    <w:rsid w:val="00F4100B"/>
    <w:rsid w:val="00F45164"/>
    <w:rsid w:val="00F45FFF"/>
    <w:rsid w:val="00F47639"/>
    <w:rsid w:val="00F50C82"/>
    <w:rsid w:val="00F528F6"/>
    <w:rsid w:val="00F570CC"/>
    <w:rsid w:val="00F5755E"/>
    <w:rsid w:val="00F60CEB"/>
    <w:rsid w:val="00F6339A"/>
    <w:rsid w:val="00F646E9"/>
    <w:rsid w:val="00F65175"/>
    <w:rsid w:val="00F65E59"/>
    <w:rsid w:val="00F65F9A"/>
    <w:rsid w:val="00F671CE"/>
    <w:rsid w:val="00F67A25"/>
    <w:rsid w:val="00F70FF7"/>
    <w:rsid w:val="00F719C1"/>
    <w:rsid w:val="00F7268F"/>
    <w:rsid w:val="00F72E9D"/>
    <w:rsid w:val="00F75D07"/>
    <w:rsid w:val="00F76237"/>
    <w:rsid w:val="00F7672B"/>
    <w:rsid w:val="00F80F47"/>
    <w:rsid w:val="00F81011"/>
    <w:rsid w:val="00F82D97"/>
    <w:rsid w:val="00F8390C"/>
    <w:rsid w:val="00F8460A"/>
    <w:rsid w:val="00F8557F"/>
    <w:rsid w:val="00F85DB4"/>
    <w:rsid w:val="00F86CED"/>
    <w:rsid w:val="00F86E8E"/>
    <w:rsid w:val="00F87DAA"/>
    <w:rsid w:val="00F93358"/>
    <w:rsid w:val="00F93700"/>
    <w:rsid w:val="00F94116"/>
    <w:rsid w:val="00F96766"/>
    <w:rsid w:val="00FA211E"/>
    <w:rsid w:val="00FA574B"/>
    <w:rsid w:val="00FA6E44"/>
    <w:rsid w:val="00FA7F5D"/>
    <w:rsid w:val="00FB021F"/>
    <w:rsid w:val="00FB1950"/>
    <w:rsid w:val="00FB1FA0"/>
    <w:rsid w:val="00FB22FA"/>
    <w:rsid w:val="00FB28DB"/>
    <w:rsid w:val="00FB5949"/>
    <w:rsid w:val="00FC067A"/>
    <w:rsid w:val="00FC4AB8"/>
    <w:rsid w:val="00FC5C79"/>
    <w:rsid w:val="00FC6FAF"/>
    <w:rsid w:val="00FD0772"/>
    <w:rsid w:val="00FD0C59"/>
    <w:rsid w:val="00FD300A"/>
    <w:rsid w:val="00FD4496"/>
    <w:rsid w:val="00FD668D"/>
    <w:rsid w:val="00FD6BBC"/>
    <w:rsid w:val="00FD7D37"/>
    <w:rsid w:val="00FE06C8"/>
    <w:rsid w:val="00FE20FA"/>
    <w:rsid w:val="00FE211D"/>
    <w:rsid w:val="00FE29E6"/>
    <w:rsid w:val="00FE30AB"/>
    <w:rsid w:val="00FE4B39"/>
    <w:rsid w:val="00FE520B"/>
    <w:rsid w:val="00FE7E7D"/>
    <w:rsid w:val="00FF5501"/>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8B54AA"/>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lsdException w:name="heading 2" w:locked="1" w:semiHidden="1" w:uiPriority="0" w:unhideWhenUsed="1"/>
    <w:lsdException w:name="heading 3" w:locked="1" w:semiHidden="1" w:uiPriority="0" w:unhideWhenUsed="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lsdException w:name="heading 8" w:locked="1" w:semiHidden="1" w:uiPriority="0"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6DF"/>
    <w:pPr>
      <w:spacing w:line="276" w:lineRule="auto"/>
    </w:pPr>
    <w:rPr>
      <w:sz w:val="22"/>
      <w:szCs w:val="22"/>
      <w:lang w:eastAsia="en-US"/>
    </w:rPr>
  </w:style>
  <w:style w:type="paragraph" w:styleId="Heading1">
    <w:name w:val="heading 1"/>
    <w:basedOn w:val="Normal"/>
    <w:next w:val="Normal"/>
    <w:link w:val="Heading1Char"/>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locked/>
    <w:rsid w:val="00F85D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locked/>
    <w:rsid w:val="00F85DB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F115BD"/>
    <w:pPr>
      <w:keepNext/>
      <w:tabs>
        <w:tab w:val="num" w:pos="864"/>
      </w:tabs>
      <w:spacing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line="240" w:lineRule="auto"/>
      <w:outlineLvl w:val="5"/>
    </w:pPr>
    <w:rPr>
      <w:rFonts w:ascii="Century Gothic" w:eastAsia="Times New Roman" w:hAnsi="Century Gothic"/>
      <w:b/>
      <w:szCs w:val="20"/>
    </w:rPr>
  </w:style>
  <w:style w:type="paragraph" w:styleId="Heading7">
    <w:name w:val="heading 7"/>
    <w:basedOn w:val="Normal"/>
    <w:next w:val="Normal"/>
    <w:link w:val="Heading7Char"/>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F115BD"/>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rsid w:val="008B7473"/>
    <w:pPr>
      <w:tabs>
        <w:tab w:val="center" w:pos="4513"/>
        <w:tab w:val="right" w:pos="9026"/>
      </w:tabs>
      <w:spacing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table" w:customStyle="1" w:styleId="TableGrid1">
    <w:name w:val="Table Grid1"/>
    <w:basedOn w:val="TableNormal"/>
    <w:next w:val="TableGrid"/>
    <w:uiPriority w:val="99"/>
    <w:rsid w:val="00430A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F85DB4"/>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F85DB4"/>
    <w:rPr>
      <w:rFonts w:asciiTheme="majorHAnsi" w:eastAsiaTheme="majorEastAsia" w:hAnsiTheme="majorHAnsi" w:cstheme="majorBidi"/>
      <w:color w:val="243F60" w:themeColor="accent1" w:themeShade="7F"/>
      <w:sz w:val="24"/>
      <w:szCs w:val="24"/>
      <w:lang w:eastAsia="en-US"/>
    </w:rPr>
  </w:style>
  <w:style w:type="character" w:styleId="UnresolvedMention">
    <w:name w:val="Unresolved Mention"/>
    <w:basedOn w:val="DefaultParagraphFont"/>
    <w:uiPriority w:val="99"/>
    <w:semiHidden/>
    <w:unhideWhenUsed/>
    <w:rsid w:val="00663A14"/>
    <w:rPr>
      <w:color w:val="605E5C"/>
      <w:shd w:val="clear" w:color="auto" w:fill="E1DFDD"/>
    </w:rPr>
  </w:style>
  <w:style w:type="character" w:customStyle="1" w:styleId="Heading4Char">
    <w:name w:val="Heading 4 Char"/>
    <w:basedOn w:val="DefaultParagraphFont"/>
    <w:link w:val="Heading4"/>
    <w:rsid w:val="00F115BD"/>
    <w:rPr>
      <w:rFonts w:ascii="Arial" w:eastAsia="Times New Roman" w:hAnsi="Arial" w:cs="Arial"/>
      <w:b/>
      <w:bCs/>
      <w:color w:val="000080"/>
      <w:lang w:eastAsia="en-US"/>
    </w:rPr>
  </w:style>
  <w:style w:type="character" w:customStyle="1" w:styleId="Heading9Char">
    <w:name w:val="Heading 9 Char"/>
    <w:basedOn w:val="DefaultParagraphFont"/>
    <w:link w:val="Heading9"/>
    <w:rsid w:val="00F115BD"/>
    <w:rPr>
      <w:rFonts w:ascii="Arial" w:eastAsia="Times New Roman" w:hAnsi="Arial" w:cs="Arial"/>
      <w:sz w:val="22"/>
      <w:szCs w:val="22"/>
      <w:lang w:eastAsia="en-US"/>
    </w:rPr>
  </w:style>
  <w:style w:type="paragraph" w:styleId="BodyTextIndent3">
    <w:name w:val="Body Text Indent 3"/>
    <w:basedOn w:val="Normal"/>
    <w:link w:val="BodyTextIndent3Char"/>
    <w:rsid w:val="00F115BD"/>
    <w:pPr>
      <w:spacing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F115BD"/>
    <w:rPr>
      <w:rFonts w:ascii="Arial" w:eastAsia="Times New Roman" w:hAnsi="Arial"/>
      <w:sz w:val="22"/>
      <w:szCs w:val="22"/>
      <w:lang w:val="en" w:eastAsia="en-US"/>
    </w:rPr>
  </w:style>
  <w:style w:type="character" w:styleId="PageNumber">
    <w:name w:val="page number"/>
    <w:basedOn w:val="DefaultParagraphFont"/>
    <w:rsid w:val="00F115BD"/>
  </w:style>
  <w:style w:type="paragraph" w:customStyle="1" w:styleId="StyleCCC">
    <w:name w:val="StyleCCC"/>
    <w:basedOn w:val="Normal"/>
    <w:rsid w:val="00F115BD"/>
    <w:pPr>
      <w:tabs>
        <w:tab w:val="num" w:pos="360"/>
      </w:tabs>
      <w:spacing w:line="240" w:lineRule="auto"/>
      <w:ind w:left="360" w:hanging="360"/>
    </w:pPr>
    <w:rPr>
      <w:rFonts w:ascii="Arial" w:eastAsia="Times New Roman" w:hAnsi="Arial"/>
      <w:sz w:val="24"/>
      <w:szCs w:val="20"/>
    </w:rPr>
  </w:style>
  <w:style w:type="paragraph" w:customStyle="1" w:styleId="Char">
    <w:name w:val="Char"/>
    <w:basedOn w:val="Normal"/>
    <w:rsid w:val="00F115BD"/>
    <w:pPr>
      <w:spacing w:after="160" w:line="240" w:lineRule="exact"/>
    </w:pPr>
    <w:rPr>
      <w:rFonts w:ascii="Verdana" w:eastAsia="Times New Roman" w:hAnsi="Verdana" w:cs="Verdana"/>
      <w:sz w:val="20"/>
      <w:szCs w:val="20"/>
      <w:lang w:val="en-US"/>
    </w:rPr>
  </w:style>
  <w:style w:type="paragraph" w:styleId="Title">
    <w:name w:val="Title"/>
    <w:basedOn w:val="Normal"/>
    <w:next w:val="Normal"/>
    <w:link w:val="TitleChar"/>
    <w:qFormat/>
    <w:locked/>
    <w:rsid w:val="00F115BD"/>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F115BD"/>
    <w:rPr>
      <w:rFonts w:ascii="Calibri Light" w:eastAsia="Times New Roman" w:hAnsi="Calibri Light"/>
      <w:b/>
      <w:bCs/>
      <w:kern w:val="28"/>
      <w:sz w:val="32"/>
      <w:szCs w:val="32"/>
      <w:lang w:eastAsia="en-US"/>
    </w:rPr>
  </w:style>
  <w:style w:type="paragraph" w:styleId="Revision">
    <w:name w:val="Revision"/>
    <w:hidden/>
    <w:uiPriority w:val="99"/>
    <w:semiHidden/>
    <w:rsid w:val="004C5989"/>
    <w:rPr>
      <w:sz w:val="22"/>
      <w:szCs w:val="22"/>
      <w:lang w:eastAsia="en-US"/>
    </w:rPr>
  </w:style>
  <w:style w:type="paragraph" w:customStyle="1" w:styleId="PanelPara">
    <w:name w:val="Panel Para"/>
    <w:basedOn w:val="ListParagraph"/>
    <w:link w:val="PanelParaChar"/>
    <w:qFormat/>
    <w:rsid w:val="00BD46B3"/>
    <w:pPr>
      <w:numPr>
        <w:numId w:val="6"/>
      </w:numPr>
      <w:spacing w:after="240" w:line="240" w:lineRule="auto"/>
      <w:ind w:left="567" w:hanging="567"/>
      <w:contextualSpacing w:val="0"/>
      <w:jc w:val="both"/>
    </w:pPr>
    <w:rPr>
      <w:rFonts w:asciiTheme="minorHAnsi" w:hAnsiTheme="minorHAnsi" w:cstheme="minorHAnsi"/>
      <w:sz w:val="24"/>
      <w:szCs w:val="24"/>
    </w:rPr>
  </w:style>
  <w:style w:type="character" w:customStyle="1" w:styleId="PanelParaChar">
    <w:name w:val="Panel Para Char"/>
    <w:basedOn w:val="DefaultParagraphFont"/>
    <w:link w:val="PanelPara"/>
    <w:rsid w:val="00BD46B3"/>
    <w:rPr>
      <w:rFonts w:asciiTheme="minorHAnsi" w:hAnsiTheme="minorHAnsi" w:cstheme="minorHAnsi"/>
      <w:sz w:val="24"/>
      <w:szCs w:val="24"/>
      <w:lang w:eastAsia="en-US"/>
    </w:rPr>
  </w:style>
  <w:style w:type="paragraph" w:customStyle="1" w:styleId="PanelHeading">
    <w:name w:val="Panel Heading"/>
    <w:basedOn w:val="Normal"/>
    <w:link w:val="PanelHeadingChar"/>
    <w:qFormat/>
    <w:rsid w:val="00095FC7"/>
    <w:pPr>
      <w:spacing w:after="240"/>
      <w:jc w:val="both"/>
    </w:pPr>
    <w:rPr>
      <w:rFonts w:asciiTheme="minorHAnsi" w:hAnsiTheme="minorHAnsi" w:cstheme="minorHAnsi"/>
      <w:b/>
      <w:sz w:val="24"/>
      <w:szCs w:val="24"/>
    </w:rPr>
  </w:style>
  <w:style w:type="paragraph" w:customStyle="1" w:styleId="PanelPara2">
    <w:name w:val="Panel Para 2"/>
    <w:basedOn w:val="PanelPara"/>
    <w:link w:val="PanelPara2Char"/>
    <w:qFormat/>
    <w:rsid w:val="00FC067A"/>
    <w:pPr>
      <w:numPr>
        <w:ilvl w:val="1"/>
      </w:numPr>
      <w:ind w:left="1134" w:hanging="567"/>
    </w:pPr>
  </w:style>
  <w:style w:type="character" w:customStyle="1" w:styleId="PanelHeadingChar">
    <w:name w:val="Panel Heading Char"/>
    <w:basedOn w:val="DefaultParagraphFont"/>
    <w:link w:val="PanelHeading"/>
    <w:rsid w:val="00095FC7"/>
    <w:rPr>
      <w:rFonts w:asciiTheme="minorHAnsi" w:hAnsiTheme="minorHAnsi" w:cstheme="minorHAnsi"/>
      <w:b/>
      <w:sz w:val="24"/>
      <w:szCs w:val="24"/>
      <w:lang w:eastAsia="en-US"/>
    </w:rPr>
  </w:style>
  <w:style w:type="paragraph" w:customStyle="1" w:styleId="PanelBullet">
    <w:name w:val="Panel Bullet"/>
    <w:basedOn w:val="PanelPara2"/>
    <w:link w:val="PanelBulletChar"/>
    <w:qFormat/>
    <w:rsid w:val="008C66D2"/>
    <w:pPr>
      <w:numPr>
        <w:ilvl w:val="2"/>
      </w:numPr>
      <w:spacing w:after="120"/>
      <w:ind w:left="1701" w:hanging="567"/>
    </w:pPr>
  </w:style>
  <w:style w:type="character" w:customStyle="1" w:styleId="PanelPara2Char">
    <w:name w:val="Panel Para 2 Char"/>
    <w:basedOn w:val="PanelParaChar"/>
    <w:link w:val="PanelPara2"/>
    <w:rsid w:val="00FC067A"/>
    <w:rPr>
      <w:rFonts w:asciiTheme="minorHAnsi" w:hAnsiTheme="minorHAnsi" w:cstheme="minorHAnsi"/>
      <w:sz w:val="24"/>
      <w:szCs w:val="24"/>
      <w:lang w:eastAsia="en-US"/>
    </w:rPr>
  </w:style>
  <w:style w:type="character" w:customStyle="1" w:styleId="PanelBulletChar">
    <w:name w:val="Panel Bullet Char"/>
    <w:basedOn w:val="PanelPara2Char"/>
    <w:link w:val="PanelBullet"/>
    <w:rsid w:val="008C66D2"/>
    <w:rPr>
      <w:rFonts w:asciiTheme="minorHAnsi" w:hAnsiTheme="minorHAnsi" w:cstheme="minorHAnsi"/>
      <w:sz w:val="24"/>
      <w:szCs w:val="24"/>
      <w:lang w:eastAsia="en-US"/>
    </w:rPr>
  </w:style>
  <w:style w:type="paragraph" w:customStyle="1" w:styleId="ReservesHeading">
    <w:name w:val="Reserves Heading"/>
    <w:basedOn w:val="Normal"/>
    <w:link w:val="ReservesHeadingChar"/>
    <w:qFormat/>
    <w:rsid w:val="009428A9"/>
    <w:pPr>
      <w:numPr>
        <w:numId w:val="8"/>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9428A9"/>
    <w:pPr>
      <w:numPr>
        <w:ilvl w:val="1"/>
      </w:numPr>
      <w:ind w:left="567" w:hanging="567"/>
    </w:pPr>
    <w:rPr>
      <w:b w:val="0"/>
      <w:bCs w:val="0"/>
    </w:rPr>
  </w:style>
  <w:style w:type="character" w:customStyle="1" w:styleId="ReservesHeadingChar">
    <w:name w:val="Reserves Heading Char"/>
    <w:basedOn w:val="DefaultParagraphFont"/>
    <w:link w:val="ReservesHeading"/>
    <w:rsid w:val="009428A9"/>
    <w:rPr>
      <w:rFonts w:eastAsia="Times New Roman" w:cs="Calibri"/>
      <w:b/>
      <w:bCs/>
      <w:sz w:val="24"/>
      <w:szCs w:val="24"/>
      <w:lang w:eastAsia="en-US"/>
    </w:rPr>
  </w:style>
  <w:style w:type="paragraph" w:customStyle="1" w:styleId="Reservesbullet">
    <w:name w:val="Reserves bullet"/>
    <w:basedOn w:val="ReservesBody"/>
    <w:link w:val="ReservesbulletChar"/>
    <w:qFormat/>
    <w:rsid w:val="009428A9"/>
    <w:pPr>
      <w:numPr>
        <w:ilvl w:val="2"/>
      </w:numPr>
      <w:spacing w:after="120"/>
      <w:ind w:left="1077" w:hanging="357"/>
    </w:pPr>
  </w:style>
  <w:style w:type="character" w:customStyle="1" w:styleId="ReservesBodyChar">
    <w:name w:val="Reserves Body Char"/>
    <w:basedOn w:val="ReservesHeadingChar"/>
    <w:link w:val="ReservesBody"/>
    <w:rsid w:val="009428A9"/>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9428A9"/>
    <w:rPr>
      <w:rFonts w:eastAsia="Times New Roman" w:cs="Calibri"/>
      <w:b w:val="0"/>
      <w:bCs w:val="0"/>
      <w:sz w:val="24"/>
      <w:szCs w:val="24"/>
      <w:lang w:eastAsia="en-US"/>
    </w:rPr>
  </w:style>
  <w:style w:type="character" w:customStyle="1" w:styleId="ListParagraphChar">
    <w:name w:val="List Paragraph Char"/>
    <w:basedOn w:val="DefaultParagraphFont"/>
    <w:link w:val="ListParagraph"/>
    <w:uiPriority w:val="34"/>
    <w:rsid w:val="007868A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583">
      <w:bodyDiv w:val="1"/>
      <w:marLeft w:val="0"/>
      <w:marRight w:val="0"/>
      <w:marTop w:val="0"/>
      <w:marBottom w:val="0"/>
      <w:divBdr>
        <w:top w:val="none" w:sz="0" w:space="0" w:color="auto"/>
        <w:left w:val="none" w:sz="0" w:space="0" w:color="auto"/>
        <w:bottom w:val="none" w:sz="0" w:space="0" w:color="auto"/>
        <w:right w:val="none" w:sz="0" w:space="0" w:color="auto"/>
      </w:divBdr>
    </w:div>
    <w:div w:id="9069304">
      <w:bodyDiv w:val="1"/>
      <w:marLeft w:val="0"/>
      <w:marRight w:val="0"/>
      <w:marTop w:val="0"/>
      <w:marBottom w:val="0"/>
      <w:divBdr>
        <w:top w:val="none" w:sz="0" w:space="0" w:color="auto"/>
        <w:left w:val="none" w:sz="0" w:space="0" w:color="auto"/>
        <w:bottom w:val="none" w:sz="0" w:space="0" w:color="auto"/>
        <w:right w:val="none" w:sz="0" w:space="0" w:color="auto"/>
      </w:divBdr>
    </w:div>
    <w:div w:id="13384480">
      <w:bodyDiv w:val="1"/>
      <w:marLeft w:val="0"/>
      <w:marRight w:val="0"/>
      <w:marTop w:val="0"/>
      <w:marBottom w:val="0"/>
      <w:divBdr>
        <w:top w:val="none" w:sz="0" w:space="0" w:color="auto"/>
        <w:left w:val="none" w:sz="0" w:space="0" w:color="auto"/>
        <w:bottom w:val="none" w:sz="0" w:space="0" w:color="auto"/>
        <w:right w:val="none" w:sz="0" w:space="0" w:color="auto"/>
      </w:divBdr>
    </w:div>
    <w:div w:id="16129193">
      <w:bodyDiv w:val="1"/>
      <w:marLeft w:val="0"/>
      <w:marRight w:val="0"/>
      <w:marTop w:val="0"/>
      <w:marBottom w:val="0"/>
      <w:divBdr>
        <w:top w:val="none" w:sz="0" w:space="0" w:color="auto"/>
        <w:left w:val="none" w:sz="0" w:space="0" w:color="auto"/>
        <w:bottom w:val="none" w:sz="0" w:space="0" w:color="auto"/>
        <w:right w:val="none" w:sz="0" w:space="0" w:color="auto"/>
      </w:divBdr>
    </w:div>
    <w:div w:id="70542213">
      <w:bodyDiv w:val="1"/>
      <w:marLeft w:val="0"/>
      <w:marRight w:val="0"/>
      <w:marTop w:val="0"/>
      <w:marBottom w:val="0"/>
      <w:divBdr>
        <w:top w:val="none" w:sz="0" w:space="0" w:color="auto"/>
        <w:left w:val="none" w:sz="0" w:space="0" w:color="auto"/>
        <w:bottom w:val="none" w:sz="0" w:space="0" w:color="auto"/>
        <w:right w:val="none" w:sz="0" w:space="0" w:color="auto"/>
      </w:divBdr>
    </w:div>
    <w:div w:id="77875207">
      <w:bodyDiv w:val="1"/>
      <w:marLeft w:val="0"/>
      <w:marRight w:val="0"/>
      <w:marTop w:val="0"/>
      <w:marBottom w:val="0"/>
      <w:divBdr>
        <w:top w:val="none" w:sz="0" w:space="0" w:color="auto"/>
        <w:left w:val="none" w:sz="0" w:space="0" w:color="auto"/>
        <w:bottom w:val="none" w:sz="0" w:space="0" w:color="auto"/>
        <w:right w:val="none" w:sz="0" w:space="0" w:color="auto"/>
      </w:divBdr>
    </w:div>
    <w:div w:id="95518438">
      <w:bodyDiv w:val="1"/>
      <w:marLeft w:val="0"/>
      <w:marRight w:val="0"/>
      <w:marTop w:val="0"/>
      <w:marBottom w:val="0"/>
      <w:divBdr>
        <w:top w:val="none" w:sz="0" w:space="0" w:color="auto"/>
        <w:left w:val="none" w:sz="0" w:space="0" w:color="auto"/>
        <w:bottom w:val="none" w:sz="0" w:space="0" w:color="auto"/>
        <w:right w:val="none" w:sz="0" w:space="0" w:color="auto"/>
      </w:divBdr>
    </w:div>
    <w:div w:id="126431824">
      <w:bodyDiv w:val="1"/>
      <w:marLeft w:val="0"/>
      <w:marRight w:val="0"/>
      <w:marTop w:val="0"/>
      <w:marBottom w:val="0"/>
      <w:divBdr>
        <w:top w:val="none" w:sz="0" w:space="0" w:color="auto"/>
        <w:left w:val="none" w:sz="0" w:space="0" w:color="auto"/>
        <w:bottom w:val="none" w:sz="0" w:space="0" w:color="auto"/>
        <w:right w:val="none" w:sz="0" w:space="0" w:color="auto"/>
      </w:divBdr>
    </w:div>
    <w:div w:id="130296754">
      <w:bodyDiv w:val="1"/>
      <w:marLeft w:val="0"/>
      <w:marRight w:val="0"/>
      <w:marTop w:val="0"/>
      <w:marBottom w:val="0"/>
      <w:divBdr>
        <w:top w:val="none" w:sz="0" w:space="0" w:color="auto"/>
        <w:left w:val="none" w:sz="0" w:space="0" w:color="auto"/>
        <w:bottom w:val="none" w:sz="0" w:space="0" w:color="auto"/>
        <w:right w:val="none" w:sz="0" w:space="0" w:color="auto"/>
      </w:divBdr>
    </w:div>
    <w:div w:id="139621000">
      <w:bodyDiv w:val="1"/>
      <w:marLeft w:val="0"/>
      <w:marRight w:val="0"/>
      <w:marTop w:val="0"/>
      <w:marBottom w:val="0"/>
      <w:divBdr>
        <w:top w:val="none" w:sz="0" w:space="0" w:color="auto"/>
        <w:left w:val="none" w:sz="0" w:space="0" w:color="auto"/>
        <w:bottom w:val="none" w:sz="0" w:space="0" w:color="auto"/>
        <w:right w:val="none" w:sz="0" w:space="0" w:color="auto"/>
      </w:divBdr>
    </w:div>
    <w:div w:id="203055843">
      <w:bodyDiv w:val="1"/>
      <w:marLeft w:val="0"/>
      <w:marRight w:val="0"/>
      <w:marTop w:val="0"/>
      <w:marBottom w:val="0"/>
      <w:divBdr>
        <w:top w:val="none" w:sz="0" w:space="0" w:color="auto"/>
        <w:left w:val="none" w:sz="0" w:space="0" w:color="auto"/>
        <w:bottom w:val="none" w:sz="0" w:space="0" w:color="auto"/>
        <w:right w:val="none" w:sz="0" w:space="0" w:color="auto"/>
      </w:divBdr>
    </w:div>
    <w:div w:id="225148805">
      <w:bodyDiv w:val="1"/>
      <w:marLeft w:val="0"/>
      <w:marRight w:val="0"/>
      <w:marTop w:val="0"/>
      <w:marBottom w:val="0"/>
      <w:divBdr>
        <w:top w:val="none" w:sz="0" w:space="0" w:color="auto"/>
        <w:left w:val="none" w:sz="0" w:space="0" w:color="auto"/>
        <w:bottom w:val="none" w:sz="0" w:space="0" w:color="auto"/>
        <w:right w:val="none" w:sz="0" w:space="0" w:color="auto"/>
      </w:divBdr>
    </w:div>
    <w:div w:id="253981878">
      <w:bodyDiv w:val="1"/>
      <w:marLeft w:val="0"/>
      <w:marRight w:val="0"/>
      <w:marTop w:val="0"/>
      <w:marBottom w:val="0"/>
      <w:divBdr>
        <w:top w:val="none" w:sz="0" w:space="0" w:color="auto"/>
        <w:left w:val="none" w:sz="0" w:space="0" w:color="auto"/>
        <w:bottom w:val="none" w:sz="0" w:space="0" w:color="auto"/>
        <w:right w:val="none" w:sz="0" w:space="0" w:color="auto"/>
      </w:divBdr>
    </w:div>
    <w:div w:id="283200012">
      <w:bodyDiv w:val="1"/>
      <w:marLeft w:val="0"/>
      <w:marRight w:val="0"/>
      <w:marTop w:val="0"/>
      <w:marBottom w:val="0"/>
      <w:divBdr>
        <w:top w:val="none" w:sz="0" w:space="0" w:color="auto"/>
        <w:left w:val="none" w:sz="0" w:space="0" w:color="auto"/>
        <w:bottom w:val="none" w:sz="0" w:space="0" w:color="auto"/>
        <w:right w:val="none" w:sz="0" w:space="0" w:color="auto"/>
      </w:divBdr>
    </w:div>
    <w:div w:id="286860873">
      <w:bodyDiv w:val="1"/>
      <w:marLeft w:val="0"/>
      <w:marRight w:val="0"/>
      <w:marTop w:val="0"/>
      <w:marBottom w:val="0"/>
      <w:divBdr>
        <w:top w:val="none" w:sz="0" w:space="0" w:color="auto"/>
        <w:left w:val="none" w:sz="0" w:space="0" w:color="auto"/>
        <w:bottom w:val="none" w:sz="0" w:space="0" w:color="auto"/>
        <w:right w:val="none" w:sz="0" w:space="0" w:color="auto"/>
      </w:divBdr>
    </w:div>
    <w:div w:id="289282779">
      <w:bodyDiv w:val="1"/>
      <w:marLeft w:val="0"/>
      <w:marRight w:val="0"/>
      <w:marTop w:val="0"/>
      <w:marBottom w:val="0"/>
      <w:divBdr>
        <w:top w:val="none" w:sz="0" w:space="0" w:color="auto"/>
        <w:left w:val="none" w:sz="0" w:space="0" w:color="auto"/>
        <w:bottom w:val="none" w:sz="0" w:space="0" w:color="auto"/>
        <w:right w:val="none" w:sz="0" w:space="0" w:color="auto"/>
      </w:divBdr>
    </w:div>
    <w:div w:id="336005959">
      <w:bodyDiv w:val="1"/>
      <w:marLeft w:val="0"/>
      <w:marRight w:val="0"/>
      <w:marTop w:val="0"/>
      <w:marBottom w:val="0"/>
      <w:divBdr>
        <w:top w:val="none" w:sz="0" w:space="0" w:color="auto"/>
        <w:left w:val="none" w:sz="0" w:space="0" w:color="auto"/>
        <w:bottom w:val="none" w:sz="0" w:space="0" w:color="auto"/>
        <w:right w:val="none" w:sz="0" w:space="0" w:color="auto"/>
      </w:divBdr>
    </w:div>
    <w:div w:id="349188941">
      <w:bodyDiv w:val="1"/>
      <w:marLeft w:val="0"/>
      <w:marRight w:val="0"/>
      <w:marTop w:val="0"/>
      <w:marBottom w:val="0"/>
      <w:divBdr>
        <w:top w:val="none" w:sz="0" w:space="0" w:color="auto"/>
        <w:left w:val="none" w:sz="0" w:space="0" w:color="auto"/>
        <w:bottom w:val="none" w:sz="0" w:space="0" w:color="auto"/>
        <w:right w:val="none" w:sz="0" w:space="0" w:color="auto"/>
      </w:divBdr>
    </w:div>
    <w:div w:id="382217880">
      <w:bodyDiv w:val="1"/>
      <w:marLeft w:val="0"/>
      <w:marRight w:val="0"/>
      <w:marTop w:val="0"/>
      <w:marBottom w:val="0"/>
      <w:divBdr>
        <w:top w:val="none" w:sz="0" w:space="0" w:color="auto"/>
        <w:left w:val="none" w:sz="0" w:space="0" w:color="auto"/>
        <w:bottom w:val="none" w:sz="0" w:space="0" w:color="auto"/>
        <w:right w:val="none" w:sz="0" w:space="0" w:color="auto"/>
      </w:divBdr>
    </w:div>
    <w:div w:id="387343775">
      <w:bodyDiv w:val="1"/>
      <w:marLeft w:val="0"/>
      <w:marRight w:val="0"/>
      <w:marTop w:val="0"/>
      <w:marBottom w:val="0"/>
      <w:divBdr>
        <w:top w:val="none" w:sz="0" w:space="0" w:color="auto"/>
        <w:left w:val="none" w:sz="0" w:space="0" w:color="auto"/>
        <w:bottom w:val="none" w:sz="0" w:space="0" w:color="auto"/>
        <w:right w:val="none" w:sz="0" w:space="0" w:color="auto"/>
      </w:divBdr>
    </w:div>
    <w:div w:id="395396756">
      <w:bodyDiv w:val="1"/>
      <w:marLeft w:val="0"/>
      <w:marRight w:val="0"/>
      <w:marTop w:val="0"/>
      <w:marBottom w:val="0"/>
      <w:divBdr>
        <w:top w:val="none" w:sz="0" w:space="0" w:color="auto"/>
        <w:left w:val="none" w:sz="0" w:space="0" w:color="auto"/>
        <w:bottom w:val="none" w:sz="0" w:space="0" w:color="auto"/>
        <w:right w:val="none" w:sz="0" w:space="0" w:color="auto"/>
      </w:divBdr>
    </w:div>
    <w:div w:id="402338239">
      <w:bodyDiv w:val="1"/>
      <w:marLeft w:val="0"/>
      <w:marRight w:val="0"/>
      <w:marTop w:val="0"/>
      <w:marBottom w:val="0"/>
      <w:divBdr>
        <w:top w:val="none" w:sz="0" w:space="0" w:color="auto"/>
        <w:left w:val="none" w:sz="0" w:space="0" w:color="auto"/>
        <w:bottom w:val="none" w:sz="0" w:space="0" w:color="auto"/>
        <w:right w:val="none" w:sz="0" w:space="0" w:color="auto"/>
      </w:divBdr>
    </w:div>
    <w:div w:id="403725861">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06729602">
      <w:bodyDiv w:val="1"/>
      <w:marLeft w:val="0"/>
      <w:marRight w:val="0"/>
      <w:marTop w:val="0"/>
      <w:marBottom w:val="0"/>
      <w:divBdr>
        <w:top w:val="none" w:sz="0" w:space="0" w:color="auto"/>
        <w:left w:val="none" w:sz="0" w:space="0" w:color="auto"/>
        <w:bottom w:val="none" w:sz="0" w:space="0" w:color="auto"/>
        <w:right w:val="none" w:sz="0" w:space="0" w:color="auto"/>
      </w:divBdr>
    </w:div>
    <w:div w:id="471482221">
      <w:bodyDiv w:val="1"/>
      <w:marLeft w:val="0"/>
      <w:marRight w:val="0"/>
      <w:marTop w:val="0"/>
      <w:marBottom w:val="0"/>
      <w:divBdr>
        <w:top w:val="none" w:sz="0" w:space="0" w:color="auto"/>
        <w:left w:val="none" w:sz="0" w:space="0" w:color="auto"/>
        <w:bottom w:val="none" w:sz="0" w:space="0" w:color="auto"/>
        <w:right w:val="none" w:sz="0" w:space="0" w:color="auto"/>
      </w:divBdr>
    </w:div>
    <w:div w:id="477498690">
      <w:bodyDiv w:val="1"/>
      <w:marLeft w:val="0"/>
      <w:marRight w:val="0"/>
      <w:marTop w:val="0"/>
      <w:marBottom w:val="0"/>
      <w:divBdr>
        <w:top w:val="none" w:sz="0" w:space="0" w:color="auto"/>
        <w:left w:val="none" w:sz="0" w:space="0" w:color="auto"/>
        <w:bottom w:val="none" w:sz="0" w:space="0" w:color="auto"/>
        <w:right w:val="none" w:sz="0" w:space="0" w:color="auto"/>
      </w:divBdr>
    </w:div>
    <w:div w:id="500583293">
      <w:bodyDiv w:val="1"/>
      <w:marLeft w:val="0"/>
      <w:marRight w:val="0"/>
      <w:marTop w:val="0"/>
      <w:marBottom w:val="0"/>
      <w:divBdr>
        <w:top w:val="none" w:sz="0" w:space="0" w:color="auto"/>
        <w:left w:val="none" w:sz="0" w:space="0" w:color="auto"/>
        <w:bottom w:val="none" w:sz="0" w:space="0" w:color="auto"/>
        <w:right w:val="none" w:sz="0" w:space="0" w:color="auto"/>
      </w:divBdr>
    </w:div>
    <w:div w:id="509292832">
      <w:bodyDiv w:val="1"/>
      <w:marLeft w:val="0"/>
      <w:marRight w:val="0"/>
      <w:marTop w:val="0"/>
      <w:marBottom w:val="0"/>
      <w:divBdr>
        <w:top w:val="none" w:sz="0" w:space="0" w:color="auto"/>
        <w:left w:val="none" w:sz="0" w:space="0" w:color="auto"/>
        <w:bottom w:val="none" w:sz="0" w:space="0" w:color="auto"/>
        <w:right w:val="none" w:sz="0" w:space="0" w:color="auto"/>
      </w:divBdr>
    </w:div>
    <w:div w:id="513542817">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82302081">
      <w:bodyDiv w:val="1"/>
      <w:marLeft w:val="0"/>
      <w:marRight w:val="0"/>
      <w:marTop w:val="0"/>
      <w:marBottom w:val="0"/>
      <w:divBdr>
        <w:top w:val="none" w:sz="0" w:space="0" w:color="auto"/>
        <w:left w:val="none" w:sz="0" w:space="0" w:color="auto"/>
        <w:bottom w:val="none" w:sz="0" w:space="0" w:color="auto"/>
        <w:right w:val="none" w:sz="0" w:space="0" w:color="auto"/>
      </w:divBdr>
    </w:div>
    <w:div w:id="595015623">
      <w:bodyDiv w:val="1"/>
      <w:marLeft w:val="0"/>
      <w:marRight w:val="0"/>
      <w:marTop w:val="0"/>
      <w:marBottom w:val="0"/>
      <w:divBdr>
        <w:top w:val="none" w:sz="0" w:space="0" w:color="auto"/>
        <w:left w:val="none" w:sz="0" w:space="0" w:color="auto"/>
        <w:bottom w:val="none" w:sz="0" w:space="0" w:color="auto"/>
        <w:right w:val="none" w:sz="0" w:space="0" w:color="auto"/>
      </w:divBdr>
    </w:div>
    <w:div w:id="615406144">
      <w:bodyDiv w:val="1"/>
      <w:marLeft w:val="0"/>
      <w:marRight w:val="0"/>
      <w:marTop w:val="0"/>
      <w:marBottom w:val="0"/>
      <w:divBdr>
        <w:top w:val="none" w:sz="0" w:space="0" w:color="auto"/>
        <w:left w:val="none" w:sz="0" w:space="0" w:color="auto"/>
        <w:bottom w:val="none" w:sz="0" w:space="0" w:color="auto"/>
        <w:right w:val="none" w:sz="0" w:space="0" w:color="auto"/>
      </w:divBdr>
      <w:divsChild>
        <w:div w:id="98068100">
          <w:marLeft w:val="547"/>
          <w:marRight w:val="0"/>
          <w:marTop w:val="0"/>
          <w:marBottom w:val="0"/>
          <w:divBdr>
            <w:top w:val="none" w:sz="0" w:space="0" w:color="auto"/>
            <w:left w:val="none" w:sz="0" w:space="0" w:color="auto"/>
            <w:bottom w:val="none" w:sz="0" w:space="0" w:color="auto"/>
            <w:right w:val="none" w:sz="0" w:space="0" w:color="auto"/>
          </w:divBdr>
        </w:div>
        <w:div w:id="1340084514">
          <w:marLeft w:val="1267"/>
          <w:marRight w:val="0"/>
          <w:marTop w:val="0"/>
          <w:marBottom w:val="0"/>
          <w:divBdr>
            <w:top w:val="none" w:sz="0" w:space="0" w:color="auto"/>
            <w:left w:val="none" w:sz="0" w:space="0" w:color="auto"/>
            <w:bottom w:val="none" w:sz="0" w:space="0" w:color="auto"/>
            <w:right w:val="none" w:sz="0" w:space="0" w:color="auto"/>
          </w:divBdr>
        </w:div>
        <w:div w:id="1574853183">
          <w:marLeft w:val="1267"/>
          <w:marRight w:val="0"/>
          <w:marTop w:val="0"/>
          <w:marBottom w:val="0"/>
          <w:divBdr>
            <w:top w:val="none" w:sz="0" w:space="0" w:color="auto"/>
            <w:left w:val="none" w:sz="0" w:space="0" w:color="auto"/>
            <w:bottom w:val="none" w:sz="0" w:space="0" w:color="auto"/>
            <w:right w:val="none" w:sz="0" w:space="0" w:color="auto"/>
          </w:divBdr>
        </w:div>
        <w:div w:id="543255615">
          <w:marLeft w:val="547"/>
          <w:marRight w:val="0"/>
          <w:marTop w:val="0"/>
          <w:marBottom w:val="0"/>
          <w:divBdr>
            <w:top w:val="none" w:sz="0" w:space="0" w:color="auto"/>
            <w:left w:val="none" w:sz="0" w:space="0" w:color="auto"/>
            <w:bottom w:val="none" w:sz="0" w:space="0" w:color="auto"/>
            <w:right w:val="none" w:sz="0" w:space="0" w:color="auto"/>
          </w:divBdr>
        </w:div>
        <w:div w:id="1419641908">
          <w:marLeft w:val="547"/>
          <w:marRight w:val="0"/>
          <w:marTop w:val="0"/>
          <w:marBottom w:val="0"/>
          <w:divBdr>
            <w:top w:val="none" w:sz="0" w:space="0" w:color="auto"/>
            <w:left w:val="none" w:sz="0" w:space="0" w:color="auto"/>
            <w:bottom w:val="none" w:sz="0" w:space="0" w:color="auto"/>
            <w:right w:val="none" w:sz="0" w:space="0" w:color="auto"/>
          </w:divBdr>
        </w:div>
        <w:div w:id="1656295882">
          <w:marLeft w:val="547"/>
          <w:marRight w:val="0"/>
          <w:marTop w:val="0"/>
          <w:marBottom w:val="0"/>
          <w:divBdr>
            <w:top w:val="none" w:sz="0" w:space="0" w:color="auto"/>
            <w:left w:val="none" w:sz="0" w:space="0" w:color="auto"/>
            <w:bottom w:val="none" w:sz="0" w:space="0" w:color="auto"/>
            <w:right w:val="none" w:sz="0" w:space="0" w:color="auto"/>
          </w:divBdr>
        </w:div>
        <w:div w:id="1853295621">
          <w:marLeft w:val="547"/>
          <w:marRight w:val="0"/>
          <w:marTop w:val="0"/>
          <w:marBottom w:val="0"/>
          <w:divBdr>
            <w:top w:val="none" w:sz="0" w:space="0" w:color="auto"/>
            <w:left w:val="none" w:sz="0" w:space="0" w:color="auto"/>
            <w:bottom w:val="none" w:sz="0" w:space="0" w:color="auto"/>
            <w:right w:val="none" w:sz="0" w:space="0" w:color="auto"/>
          </w:divBdr>
        </w:div>
        <w:div w:id="500971328">
          <w:marLeft w:val="547"/>
          <w:marRight w:val="0"/>
          <w:marTop w:val="0"/>
          <w:marBottom w:val="0"/>
          <w:divBdr>
            <w:top w:val="none" w:sz="0" w:space="0" w:color="auto"/>
            <w:left w:val="none" w:sz="0" w:space="0" w:color="auto"/>
            <w:bottom w:val="none" w:sz="0" w:space="0" w:color="auto"/>
            <w:right w:val="none" w:sz="0" w:space="0" w:color="auto"/>
          </w:divBdr>
        </w:div>
      </w:divsChild>
    </w:div>
    <w:div w:id="631591335">
      <w:bodyDiv w:val="1"/>
      <w:marLeft w:val="0"/>
      <w:marRight w:val="0"/>
      <w:marTop w:val="0"/>
      <w:marBottom w:val="0"/>
      <w:divBdr>
        <w:top w:val="none" w:sz="0" w:space="0" w:color="auto"/>
        <w:left w:val="none" w:sz="0" w:space="0" w:color="auto"/>
        <w:bottom w:val="none" w:sz="0" w:space="0" w:color="auto"/>
        <w:right w:val="none" w:sz="0" w:space="0" w:color="auto"/>
      </w:divBdr>
    </w:div>
    <w:div w:id="641154720">
      <w:bodyDiv w:val="1"/>
      <w:marLeft w:val="0"/>
      <w:marRight w:val="0"/>
      <w:marTop w:val="0"/>
      <w:marBottom w:val="0"/>
      <w:divBdr>
        <w:top w:val="none" w:sz="0" w:space="0" w:color="auto"/>
        <w:left w:val="none" w:sz="0" w:space="0" w:color="auto"/>
        <w:bottom w:val="none" w:sz="0" w:space="0" w:color="auto"/>
        <w:right w:val="none" w:sz="0" w:space="0" w:color="auto"/>
      </w:divBdr>
    </w:div>
    <w:div w:id="652758950">
      <w:bodyDiv w:val="1"/>
      <w:marLeft w:val="0"/>
      <w:marRight w:val="0"/>
      <w:marTop w:val="0"/>
      <w:marBottom w:val="0"/>
      <w:divBdr>
        <w:top w:val="none" w:sz="0" w:space="0" w:color="auto"/>
        <w:left w:val="none" w:sz="0" w:space="0" w:color="auto"/>
        <w:bottom w:val="none" w:sz="0" w:space="0" w:color="auto"/>
        <w:right w:val="none" w:sz="0" w:space="0" w:color="auto"/>
      </w:divBdr>
    </w:div>
    <w:div w:id="680548251">
      <w:bodyDiv w:val="1"/>
      <w:marLeft w:val="0"/>
      <w:marRight w:val="0"/>
      <w:marTop w:val="0"/>
      <w:marBottom w:val="0"/>
      <w:divBdr>
        <w:top w:val="none" w:sz="0" w:space="0" w:color="auto"/>
        <w:left w:val="none" w:sz="0" w:space="0" w:color="auto"/>
        <w:bottom w:val="none" w:sz="0" w:space="0" w:color="auto"/>
        <w:right w:val="none" w:sz="0" w:space="0" w:color="auto"/>
      </w:divBdr>
      <w:divsChild>
        <w:div w:id="1173179612">
          <w:marLeft w:val="1440"/>
          <w:marRight w:val="0"/>
          <w:marTop w:val="0"/>
          <w:marBottom w:val="0"/>
          <w:divBdr>
            <w:top w:val="none" w:sz="0" w:space="0" w:color="auto"/>
            <w:left w:val="none" w:sz="0" w:space="0" w:color="auto"/>
            <w:bottom w:val="none" w:sz="0" w:space="0" w:color="auto"/>
            <w:right w:val="none" w:sz="0" w:space="0" w:color="auto"/>
          </w:divBdr>
        </w:div>
        <w:div w:id="558899631">
          <w:marLeft w:val="1440"/>
          <w:marRight w:val="0"/>
          <w:marTop w:val="0"/>
          <w:marBottom w:val="0"/>
          <w:divBdr>
            <w:top w:val="none" w:sz="0" w:space="0" w:color="auto"/>
            <w:left w:val="none" w:sz="0" w:space="0" w:color="auto"/>
            <w:bottom w:val="none" w:sz="0" w:space="0" w:color="auto"/>
            <w:right w:val="none" w:sz="0" w:space="0" w:color="auto"/>
          </w:divBdr>
        </w:div>
        <w:div w:id="1377506054">
          <w:marLeft w:val="1440"/>
          <w:marRight w:val="0"/>
          <w:marTop w:val="0"/>
          <w:marBottom w:val="0"/>
          <w:divBdr>
            <w:top w:val="none" w:sz="0" w:space="0" w:color="auto"/>
            <w:left w:val="none" w:sz="0" w:space="0" w:color="auto"/>
            <w:bottom w:val="none" w:sz="0" w:space="0" w:color="auto"/>
            <w:right w:val="none" w:sz="0" w:space="0" w:color="auto"/>
          </w:divBdr>
        </w:div>
        <w:div w:id="216359848">
          <w:marLeft w:val="1440"/>
          <w:marRight w:val="0"/>
          <w:marTop w:val="0"/>
          <w:marBottom w:val="0"/>
          <w:divBdr>
            <w:top w:val="none" w:sz="0" w:space="0" w:color="auto"/>
            <w:left w:val="none" w:sz="0" w:space="0" w:color="auto"/>
            <w:bottom w:val="none" w:sz="0" w:space="0" w:color="auto"/>
            <w:right w:val="none" w:sz="0" w:space="0" w:color="auto"/>
          </w:divBdr>
        </w:div>
        <w:div w:id="1775245735">
          <w:marLeft w:val="1440"/>
          <w:marRight w:val="0"/>
          <w:marTop w:val="0"/>
          <w:marBottom w:val="0"/>
          <w:divBdr>
            <w:top w:val="none" w:sz="0" w:space="0" w:color="auto"/>
            <w:left w:val="none" w:sz="0" w:space="0" w:color="auto"/>
            <w:bottom w:val="none" w:sz="0" w:space="0" w:color="auto"/>
            <w:right w:val="none" w:sz="0" w:space="0" w:color="auto"/>
          </w:divBdr>
        </w:div>
        <w:div w:id="744650911">
          <w:marLeft w:val="1440"/>
          <w:marRight w:val="0"/>
          <w:marTop w:val="0"/>
          <w:marBottom w:val="0"/>
          <w:divBdr>
            <w:top w:val="none" w:sz="0" w:space="0" w:color="auto"/>
            <w:left w:val="none" w:sz="0" w:space="0" w:color="auto"/>
            <w:bottom w:val="none" w:sz="0" w:space="0" w:color="auto"/>
            <w:right w:val="none" w:sz="0" w:space="0" w:color="auto"/>
          </w:divBdr>
        </w:div>
      </w:divsChild>
    </w:div>
    <w:div w:id="682903776">
      <w:bodyDiv w:val="1"/>
      <w:marLeft w:val="0"/>
      <w:marRight w:val="0"/>
      <w:marTop w:val="0"/>
      <w:marBottom w:val="0"/>
      <w:divBdr>
        <w:top w:val="none" w:sz="0" w:space="0" w:color="auto"/>
        <w:left w:val="none" w:sz="0" w:space="0" w:color="auto"/>
        <w:bottom w:val="none" w:sz="0" w:space="0" w:color="auto"/>
        <w:right w:val="none" w:sz="0" w:space="0" w:color="auto"/>
      </w:divBdr>
    </w:div>
    <w:div w:id="710619393">
      <w:bodyDiv w:val="1"/>
      <w:marLeft w:val="0"/>
      <w:marRight w:val="0"/>
      <w:marTop w:val="0"/>
      <w:marBottom w:val="0"/>
      <w:divBdr>
        <w:top w:val="none" w:sz="0" w:space="0" w:color="auto"/>
        <w:left w:val="none" w:sz="0" w:space="0" w:color="auto"/>
        <w:bottom w:val="none" w:sz="0" w:space="0" w:color="auto"/>
        <w:right w:val="none" w:sz="0" w:space="0" w:color="auto"/>
      </w:divBdr>
    </w:div>
    <w:div w:id="714961804">
      <w:bodyDiv w:val="1"/>
      <w:marLeft w:val="0"/>
      <w:marRight w:val="0"/>
      <w:marTop w:val="0"/>
      <w:marBottom w:val="0"/>
      <w:divBdr>
        <w:top w:val="none" w:sz="0" w:space="0" w:color="auto"/>
        <w:left w:val="none" w:sz="0" w:space="0" w:color="auto"/>
        <w:bottom w:val="none" w:sz="0" w:space="0" w:color="auto"/>
        <w:right w:val="none" w:sz="0" w:space="0" w:color="auto"/>
      </w:divBdr>
    </w:div>
    <w:div w:id="734544886">
      <w:bodyDiv w:val="1"/>
      <w:marLeft w:val="0"/>
      <w:marRight w:val="0"/>
      <w:marTop w:val="0"/>
      <w:marBottom w:val="0"/>
      <w:divBdr>
        <w:top w:val="none" w:sz="0" w:space="0" w:color="auto"/>
        <w:left w:val="none" w:sz="0" w:space="0" w:color="auto"/>
        <w:bottom w:val="none" w:sz="0" w:space="0" w:color="auto"/>
        <w:right w:val="none" w:sz="0" w:space="0" w:color="auto"/>
      </w:divBdr>
    </w:div>
    <w:div w:id="748312665">
      <w:bodyDiv w:val="1"/>
      <w:marLeft w:val="0"/>
      <w:marRight w:val="0"/>
      <w:marTop w:val="0"/>
      <w:marBottom w:val="0"/>
      <w:divBdr>
        <w:top w:val="none" w:sz="0" w:space="0" w:color="auto"/>
        <w:left w:val="none" w:sz="0" w:space="0" w:color="auto"/>
        <w:bottom w:val="none" w:sz="0" w:space="0" w:color="auto"/>
        <w:right w:val="none" w:sz="0" w:space="0" w:color="auto"/>
      </w:divBdr>
    </w:div>
    <w:div w:id="773675783">
      <w:bodyDiv w:val="1"/>
      <w:marLeft w:val="0"/>
      <w:marRight w:val="0"/>
      <w:marTop w:val="0"/>
      <w:marBottom w:val="0"/>
      <w:divBdr>
        <w:top w:val="none" w:sz="0" w:space="0" w:color="auto"/>
        <w:left w:val="none" w:sz="0" w:space="0" w:color="auto"/>
        <w:bottom w:val="none" w:sz="0" w:space="0" w:color="auto"/>
        <w:right w:val="none" w:sz="0" w:space="0" w:color="auto"/>
      </w:divBdr>
    </w:div>
    <w:div w:id="818692444">
      <w:bodyDiv w:val="1"/>
      <w:marLeft w:val="0"/>
      <w:marRight w:val="0"/>
      <w:marTop w:val="0"/>
      <w:marBottom w:val="0"/>
      <w:divBdr>
        <w:top w:val="none" w:sz="0" w:space="0" w:color="auto"/>
        <w:left w:val="none" w:sz="0" w:space="0" w:color="auto"/>
        <w:bottom w:val="none" w:sz="0" w:space="0" w:color="auto"/>
        <w:right w:val="none" w:sz="0" w:space="0" w:color="auto"/>
      </w:divBdr>
    </w:div>
    <w:div w:id="826165251">
      <w:bodyDiv w:val="1"/>
      <w:marLeft w:val="0"/>
      <w:marRight w:val="0"/>
      <w:marTop w:val="0"/>
      <w:marBottom w:val="0"/>
      <w:divBdr>
        <w:top w:val="none" w:sz="0" w:space="0" w:color="auto"/>
        <w:left w:val="none" w:sz="0" w:space="0" w:color="auto"/>
        <w:bottom w:val="none" w:sz="0" w:space="0" w:color="auto"/>
        <w:right w:val="none" w:sz="0" w:space="0" w:color="auto"/>
      </w:divBdr>
    </w:div>
    <w:div w:id="857238972">
      <w:bodyDiv w:val="1"/>
      <w:marLeft w:val="0"/>
      <w:marRight w:val="0"/>
      <w:marTop w:val="0"/>
      <w:marBottom w:val="0"/>
      <w:divBdr>
        <w:top w:val="none" w:sz="0" w:space="0" w:color="auto"/>
        <w:left w:val="none" w:sz="0" w:space="0" w:color="auto"/>
        <w:bottom w:val="none" w:sz="0" w:space="0" w:color="auto"/>
        <w:right w:val="none" w:sz="0" w:space="0" w:color="auto"/>
      </w:divBdr>
    </w:div>
    <w:div w:id="897473710">
      <w:bodyDiv w:val="1"/>
      <w:marLeft w:val="0"/>
      <w:marRight w:val="0"/>
      <w:marTop w:val="0"/>
      <w:marBottom w:val="0"/>
      <w:divBdr>
        <w:top w:val="none" w:sz="0" w:space="0" w:color="auto"/>
        <w:left w:val="none" w:sz="0" w:space="0" w:color="auto"/>
        <w:bottom w:val="none" w:sz="0" w:space="0" w:color="auto"/>
        <w:right w:val="none" w:sz="0" w:space="0" w:color="auto"/>
      </w:divBdr>
    </w:div>
    <w:div w:id="926964302">
      <w:bodyDiv w:val="1"/>
      <w:marLeft w:val="0"/>
      <w:marRight w:val="0"/>
      <w:marTop w:val="0"/>
      <w:marBottom w:val="0"/>
      <w:divBdr>
        <w:top w:val="none" w:sz="0" w:space="0" w:color="auto"/>
        <w:left w:val="none" w:sz="0" w:space="0" w:color="auto"/>
        <w:bottom w:val="none" w:sz="0" w:space="0" w:color="auto"/>
        <w:right w:val="none" w:sz="0" w:space="0" w:color="auto"/>
      </w:divBdr>
    </w:div>
    <w:div w:id="986276046">
      <w:bodyDiv w:val="1"/>
      <w:marLeft w:val="0"/>
      <w:marRight w:val="0"/>
      <w:marTop w:val="0"/>
      <w:marBottom w:val="0"/>
      <w:divBdr>
        <w:top w:val="none" w:sz="0" w:space="0" w:color="auto"/>
        <w:left w:val="none" w:sz="0" w:space="0" w:color="auto"/>
        <w:bottom w:val="none" w:sz="0" w:space="0" w:color="auto"/>
        <w:right w:val="none" w:sz="0" w:space="0" w:color="auto"/>
      </w:divBdr>
    </w:div>
    <w:div w:id="1013187263">
      <w:bodyDiv w:val="1"/>
      <w:marLeft w:val="0"/>
      <w:marRight w:val="0"/>
      <w:marTop w:val="0"/>
      <w:marBottom w:val="0"/>
      <w:divBdr>
        <w:top w:val="none" w:sz="0" w:space="0" w:color="auto"/>
        <w:left w:val="none" w:sz="0" w:space="0" w:color="auto"/>
        <w:bottom w:val="none" w:sz="0" w:space="0" w:color="auto"/>
        <w:right w:val="none" w:sz="0" w:space="0" w:color="auto"/>
      </w:divBdr>
    </w:div>
    <w:div w:id="1042055092">
      <w:bodyDiv w:val="1"/>
      <w:marLeft w:val="0"/>
      <w:marRight w:val="0"/>
      <w:marTop w:val="0"/>
      <w:marBottom w:val="0"/>
      <w:divBdr>
        <w:top w:val="none" w:sz="0" w:space="0" w:color="auto"/>
        <w:left w:val="none" w:sz="0" w:space="0" w:color="auto"/>
        <w:bottom w:val="none" w:sz="0" w:space="0" w:color="auto"/>
        <w:right w:val="none" w:sz="0" w:space="0" w:color="auto"/>
      </w:divBdr>
    </w:div>
    <w:div w:id="1050805000">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59749505">
      <w:bodyDiv w:val="1"/>
      <w:marLeft w:val="0"/>
      <w:marRight w:val="0"/>
      <w:marTop w:val="0"/>
      <w:marBottom w:val="0"/>
      <w:divBdr>
        <w:top w:val="none" w:sz="0" w:space="0" w:color="auto"/>
        <w:left w:val="none" w:sz="0" w:space="0" w:color="auto"/>
        <w:bottom w:val="none" w:sz="0" w:space="0" w:color="auto"/>
        <w:right w:val="none" w:sz="0" w:space="0" w:color="auto"/>
      </w:divBdr>
    </w:div>
    <w:div w:id="1094328982">
      <w:bodyDiv w:val="1"/>
      <w:marLeft w:val="0"/>
      <w:marRight w:val="0"/>
      <w:marTop w:val="0"/>
      <w:marBottom w:val="0"/>
      <w:divBdr>
        <w:top w:val="none" w:sz="0" w:space="0" w:color="auto"/>
        <w:left w:val="none" w:sz="0" w:space="0" w:color="auto"/>
        <w:bottom w:val="none" w:sz="0" w:space="0" w:color="auto"/>
        <w:right w:val="none" w:sz="0" w:space="0" w:color="auto"/>
      </w:divBdr>
    </w:div>
    <w:div w:id="1094984086">
      <w:bodyDiv w:val="1"/>
      <w:marLeft w:val="0"/>
      <w:marRight w:val="0"/>
      <w:marTop w:val="0"/>
      <w:marBottom w:val="0"/>
      <w:divBdr>
        <w:top w:val="none" w:sz="0" w:space="0" w:color="auto"/>
        <w:left w:val="none" w:sz="0" w:space="0" w:color="auto"/>
        <w:bottom w:val="none" w:sz="0" w:space="0" w:color="auto"/>
        <w:right w:val="none" w:sz="0" w:space="0" w:color="auto"/>
      </w:divBdr>
    </w:div>
    <w:div w:id="1117913933">
      <w:bodyDiv w:val="1"/>
      <w:marLeft w:val="0"/>
      <w:marRight w:val="0"/>
      <w:marTop w:val="0"/>
      <w:marBottom w:val="0"/>
      <w:divBdr>
        <w:top w:val="none" w:sz="0" w:space="0" w:color="auto"/>
        <w:left w:val="none" w:sz="0" w:space="0" w:color="auto"/>
        <w:bottom w:val="none" w:sz="0" w:space="0" w:color="auto"/>
        <w:right w:val="none" w:sz="0" w:space="0" w:color="auto"/>
      </w:divBdr>
    </w:div>
    <w:div w:id="1133333483">
      <w:bodyDiv w:val="1"/>
      <w:marLeft w:val="0"/>
      <w:marRight w:val="0"/>
      <w:marTop w:val="0"/>
      <w:marBottom w:val="0"/>
      <w:divBdr>
        <w:top w:val="none" w:sz="0" w:space="0" w:color="auto"/>
        <w:left w:val="none" w:sz="0" w:space="0" w:color="auto"/>
        <w:bottom w:val="none" w:sz="0" w:space="0" w:color="auto"/>
        <w:right w:val="none" w:sz="0" w:space="0" w:color="auto"/>
      </w:divBdr>
    </w:div>
    <w:div w:id="1172453084">
      <w:bodyDiv w:val="1"/>
      <w:marLeft w:val="0"/>
      <w:marRight w:val="0"/>
      <w:marTop w:val="0"/>
      <w:marBottom w:val="0"/>
      <w:divBdr>
        <w:top w:val="none" w:sz="0" w:space="0" w:color="auto"/>
        <w:left w:val="none" w:sz="0" w:space="0" w:color="auto"/>
        <w:bottom w:val="none" w:sz="0" w:space="0" w:color="auto"/>
        <w:right w:val="none" w:sz="0" w:space="0" w:color="auto"/>
      </w:divBdr>
    </w:div>
    <w:div w:id="1185704494">
      <w:bodyDiv w:val="1"/>
      <w:marLeft w:val="0"/>
      <w:marRight w:val="0"/>
      <w:marTop w:val="0"/>
      <w:marBottom w:val="0"/>
      <w:divBdr>
        <w:top w:val="none" w:sz="0" w:space="0" w:color="auto"/>
        <w:left w:val="none" w:sz="0" w:space="0" w:color="auto"/>
        <w:bottom w:val="none" w:sz="0" w:space="0" w:color="auto"/>
        <w:right w:val="none" w:sz="0" w:space="0" w:color="auto"/>
      </w:divBdr>
    </w:div>
    <w:div w:id="1189832104">
      <w:bodyDiv w:val="1"/>
      <w:marLeft w:val="0"/>
      <w:marRight w:val="0"/>
      <w:marTop w:val="0"/>
      <w:marBottom w:val="0"/>
      <w:divBdr>
        <w:top w:val="none" w:sz="0" w:space="0" w:color="auto"/>
        <w:left w:val="none" w:sz="0" w:space="0" w:color="auto"/>
        <w:bottom w:val="none" w:sz="0" w:space="0" w:color="auto"/>
        <w:right w:val="none" w:sz="0" w:space="0" w:color="auto"/>
      </w:divBdr>
    </w:div>
    <w:div w:id="1254777381">
      <w:bodyDiv w:val="1"/>
      <w:marLeft w:val="0"/>
      <w:marRight w:val="0"/>
      <w:marTop w:val="0"/>
      <w:marBottom w:val="0"/>
      <w:divBdr>
        <w:top w:val="none" w:sz="0" w:space="0" w:color="auto"/>
        <w:left w:val="none" w:sz="0" w:space="0" w:color="auto"/>
        <w:bottom w:val="none" w:sz="0" w:space="0" w:color="auto"/>
        <w:right w:val="none" w:sz="0" w:space="0" w:color="auto"/>
      </w:divBdr>
    </w:div>
    <w:div w:id="1274435864">
      <w:bodyDiv w:val="1"/>
      <w:marLeft w:val="0"/>
      <w:marRight w:val="0"/>
      <w:marTop w:val="0"/>
      <w:marBottom w:val="0"/>
      <w:divBdr>
        <w:top w:val="none" w:sz="0" w:space="0" w:color="auto"/>
        <w:left w:val="none" w:sz="0" w:space="0" w:color="auto"/>
        <w:bottom w:val="none" w:sz="0" w:space="0" w:color="auto"/>
        <w:right w:val="none" w:sz="0" w:space="0" w:color="auto"/>
      </w:divBdr>
    </w:div>
    <w:div w:id="1283146336">
      <w:bodyDiv w:val="1"/>
      <w:marLeft w:val="0"/>
      <w:marRight w:val="0"/>
      <w:marTop w:val="0"/>
      <w:marBottom w:val="0"/>
      <w:divBdr>
        <w:top w:val="none" w:sz="0" w:space="0" w:color="auto"/>
        <w:left w:val="none" w:sz="0" w:space="0" w:color="auto"/>
        <w:bottom w:val="none" w:sz="0" w:space="0" w:color="auto"/>
        <w:right w:val="none" w:sz="0" w:space="0" w:color="auto"/>
      </w:divBdr>
    </w:div>
    <w:div w:id="1301152300">
      <w:bodyDiv w:val="1"/>
      <w:marLeft w:val="0"/>
      <w:marRight w:val="0"/>
      <w:marTop w:val="0"/>
      <w:marBottom w:val="0"/>
      <w:divBdr>
        <w:top w:val="none" w:sz="0" w:space="0" w:color="auto"/>
        <w:left w:val="none" w:sz="0" w:space="0" w:color="auto"/>
        <w:bottom w:val="none" w:sz="0" w:space="0" w:color="auto"/>
        <w:right w:val="none" w:sz="0" w:space="0" w:color="auto"/>
      </w:divBdr>
    </w:div>
    <w:div w:id="1336885411">
      <w:bodyDiv w:val="1"/>
      <w:marLeft w:val="0"/>
      <w:marRight w:val="0"/>
      <w:marTop w:val="0"/>
      <w:marBottom w:val="0"/>
      <w:divBdr>
        <w:top w:val="none" w:sz="0" w:space="0" w:color="auto"/>
        <w:left w:val="none" w:sz="0" w:space="0" w:color="auto"/>
        <w:bottom w:val="none" w:sz="0" w:space="0" w:color="auto"/>
        <w:right w:val="none" w:sz="0" w:space="0" w:color="auto"/>
      </w:divBdr>
    </w:div>
    <w:div w:id="1354308835">
      <w:bodyDiv w:val="1"/>
      <w:marLeft w:val="0"/>
      <w:marRight w:val="0"/>
      <w:marTop w:val="0"/>
      <w:marBottom w:val="0"/>
      <w:divBdr>
        <w:top w:val="none" w:sz="0" w:space="0" w:color="auto"/>
        <w:left w:val="none" w:sz="0" w:space="0" w:color="auto"/>
        <w:bottom w:val="none" w:sz="0" w:space="0" w:color="auto"/>
        <w:right w:val="none" w:sz="0" w:space="0" w:color="auto"/>
      </w:divBdr>
    </w:div>
    <w:div w:id="1357806503">
      <w:bodyDiv w:val="1"/>
      <w:marLeft w:val="0"/>
      <w:marRight w:val="0"/>
      <w:marTop w:val="0"/>
      <w:marBottom w:val="0"/>
      <w:divBdr>
        <w:top w:val="none" w:sz="0" w:space="0" w:color="auto"/>
        <w:left w:val="none" w:sz="0" w:space="0" w:color="auto"/>
        <w:bottom w:val="none" w:sz="0" w:space="0" w:color="auto"/>
        <w:right w:val="none" w:sz="0" w:space="0" w:color="auto"/>
      </w:divBdr>
    </w:div>
    <w:div w:id="1374117012">
      <w:bodyDiv w:val="1"/>
      <w:marLeft w:val="0"/>
      <w:marRight w:val="0"/>
      <w:marTop w:val="0"/>
      <w:marBottom w:val="0"/>
      <w:divBdr>
        <w:top w:val="none" w:sz="0" w:space="0" w:color="auto"/>
        <w:left w:val="none" w:sz="0" w:space="0" w:color="auto"/>
        <w:bottom w:val="none" w:sz="0" w:space="0" w:color="auto"/>
        <w:right w:val="none" w:sz="0" w:space="0" w:color="auto"/>
      </w:divBdr>
    </w:div>
    <w:div w:id="1384327888">
      <w:bodyDiv w:val="1"/>
      <w:marLeft w:val="0"/>
      <w:marRight w:val="0"/>
      <w:marTop w:val="0"/>
      <w:marBottom w:val="0"/>
      <w:divBdr>
        <w:top w:val="none" w:sz="0" w:space="0" w:color="auto"/>
        <w:left w:val="none" w:sz="0" w:space="0" w:color="auto"/>
        <w:bottom w:val="none" w:sz="0" w:space="0" w:color="auto"/>
        <w:right w:val="none" w:sz="0" w:space="0" w:color="auto"/>
      </w:divBdr>
    </w:div>
    <w:div w:id="1487818127">
      <w:bodyDiv w:val="1"/>
      <w:marLeft w:val="0"/>
      <w:marRight w:val="0"/>
      <w:marTop w:val="0"/>
      <w:marBottom w:val="0"/>
      <w:divBdr>
        <w:top w:val="none" w:sz="0" w:space="0" w:color="auto"/>
        <w:left w:val="none" w:sz="0" w:space="0" w:color="auto"/>
        <w:bottom w:val="none" w:sz="0" w:space="0" w:color="auto"/>
        <w:right w:val="none" w:sz="0" w:space="0" w:color="auto"/>
      </w:divBdr>
    </w:div>
    <w:div w:id="1512256237">
      <w:bodyDiv w:val="1"/>
      <w:marLeft w:val="0"/>
      <w:marRight w:val="0"/>
      <w:marTop w:val="0"/>
      <w:marBottom w:val="0"/>
      <w:divBdr>
        <w:top w:val="none" w:sz="0" w:space="0" w:color="auto"/>
        <w:left w:val="none" w:sz="0" w:space="0" w:color="auto"/>
        <w:bottom w:val="none" w:sz="0" w:space="0" w:color="auto"/>
        <w:right w:val="none" w:sz="0" w:space="0" w:color="auto"/>
      </w:divBdr>
    </w:div>
    <w:div w:id="1533962033">
      <w:bodyDiv w:val="1"/>
      <w:marLeft w:val="0"/>
      <w:marRight w:val="0"/>
      <w:marTop w:val="0"/>
      <w:marBottom w:val="0"/>
      <w:divBdr>
        <w:top w:val="none" w:sz="0" w:space="0" w:color="auto"/>
        <w:left w:val="none" w:sz="0" w:space="0" w:color="auto"/>
        <w:bottom w:val="none" w:sz="0" w:space="0" w:color="auto"/>
        <w:right w:val="none" w:sz="0" w:space="0" w:color="auto"/>
      </w:divBdr>
    </w:div>
    <w:div w:id="1549142943">
      <w:bodyDiv w:val="1"/>
      <w:marLeft w:val="0"/>
      <w:marRight w:val="0"/>
      <w:marTop w:val="0"/>
      <w:marBottom w:val="0"/>
      <w:divBdr>
        <w:top w:val="none" w:sz="0" w:space="0" w:color="auto"/>
        <w:left w:val="none" w:sz="0" w:space="0" w:color="auto"/>
        <w:bottom w:val="none" w:sz="0" w:space="0" w:color="auto"/>
        <w:right w:val="none" w:sz="0" w:space="0" w:color="auto"/>
      </w:divBdr>
    </w:div>
    <w:div w:id="1584413932">
      <w:bodyDiv w:val="1"/>
      <w:marLeft w:val="0"/>
      <w:marRight w:val="0"/>
      <w:marTop w:val="0"/>
      <w:marBottom w:val="0"/>
      <w:divBdr>
        <w:top w:val="none" w:sz="0" w:space="0" w:color="auto"/>
        <w:left w:val="none" w:sz="0" w:space="0" w:color="auto"/>
        <w:bottom w:val="none" w:sz="0" w:space="0" w:color="auto"/>
        <w:right w:val="none" w:sz="0" w:space="0" w:color="auto"/>
      </w:divBdr>
    </w:div>
    <w:div w:id="1587036780">
      <w:bodyDiv w:val="1"/>
      <w:marLeft w:val="0"/>
      <w:marRight w:val="0"/>
      <w:marTop w:val="0"/>
      <w:marBottom w:val="0"/>
      <w:divBdr>
        <w:top w:val="none" w:sz="0" w:space="0" w:color="auto"/>
        <w:left w:val="none" w:sz="0" w:space="0" w:color="auto"/>
        <w:bottom w:val="none" w:sz="0" w:space="0" w:color="auto"/>
        <w:right w:val="none" w:sz="0" w:space="0" w:color="auto"/>
      </w:divBdr>
    </w:div>
    <w:div w:id="1593124022">
      <w:bodyDiv w:val="1"/>
      <w:marLeft w:val="0"/>
      <w:marRight w:val="0"/>
      <w:marTop w:val="0"/>
      <w:marBottom w:val="0"/>
      <w:divBdr>
        <w:top w:val="none" w:sz="0" w:space="0" w:color="auto"/>
        <w:left w:val="none" w:sz="0" w:space="0" w:color="auto"/>
        <w:bottom w:val="none" w:sz="0" w:space="0" w:color="auto"/>
        <w:right w:val="none" w:sz="0" w:space="0" w:color="auto"/>
      </w:divBdr>
    </w:div>
    <w:div w:id="1608384670">
      <w:bodyDiv w:val="1"/>
      <w:marLeft w:val="0"/>
      <w:marRight w:val="0"/>
      <w:marTop w:val="0"/>
      <w:marBottom w:val="0"/>
      <w:divBdr>
        <w:top w:val="none" w:sz="0" w:space="0" w:color="auto"/>
        <w:left w:val="none" w:sz="0" w:space="0" w:color="auto"/>
        <w:bottom w:val="none" w:sz="0" w:space="0" w:color="auto"/>
        <w:right w:val="none" w:sz="0" w:space="0" w:color="auto"/>
      </w:divBdr>
    </w:div>
    <w:div w:id="1617524406">
      <w:bodyDiv w:val="1"/>
      <w:marLeft w:val="0"/>
      <w:marRight w:val="0"/>
      <w:marTop w:val="0"/>
      <w:marBottom w:val="0"/>
      <w:divBdr>
        <w:top w:val="none" w:sz="0" w:space="0" w:color="auto"/>
        <w:left w:val="none" w:sz="0" w:space="0" w:color="auto"/>
        <w:bottom w:val="none" w:sz="0" w:space="0" w:color="auto"/>
        <w:right w:val="none" w:sz="0" w:space="0" w:color="auto"/>
      </w:divBdr>
    </w:div>
    <w:div w:id="1621955198">
      <w:bodyDiv w:val="1"/>
      <w:marLeft w:val="0"/>
      <w:marRight w:val="0"/>
      <w:marTop w:val="0"/>
      <w:marBottom w:val="0"/>
      <w:divBdr>
        <w:top w:val="none" w:sz="0" w:space="0" w:color="auto"/>
        <w:left w:val="none" w:sz="0" w:space="0" w:color="auto"/>
        <w:bottom w:val="none" w:sz="0" w:space="0" w:color="auto"/>
        <w:right w:val="none" w:sz="0" w:space="0" w:color="auto"/>
      </w:divBdr>
    </w:div>
    <w:div w:id="1640114712">
      <w:bodyDiv w:val="1"/>
      <w:marLeft w:val="0"/>
      <w:marRight w:val="0"/>
      <w:marTop w:val="0"/>
      <w:marBottom w:val="0"/>
      <w:divBdr>
        <w:top w:val="none" w:sz="0" w:space="0" w:color="auto"/>
        <w:left w:val="none" w:sz="0" w:space="0" w:color="auto"/>
        <w:bottom w:val="none" w:sz="0" w:space="0" w:color="auto"/>
        <w:right w:val="none" w:sz="0" w:space="0" w:color="auto"/>
      </w:divBdr>
    </w:div>
    <w:div w:id="1650986513">
      <w:bodyDiv w:val="1"/>
      <w:marLeft w:val="0"/>
      <w:marRight w:val="0"/>
      <w:marTop w:val="0"/>
      <w:marBottom w:val="0"/>
      <w:divBdr>
        <w:top w:val="none" w:sz="0" w:space="0" w:color="auto"/>
        <w:left w:val="none" w:sz="0" w:space="0" w:color="auto"/>
        <w:bottom w:val="none" w:sz="0" w:space="0" w:color="auto"/>
        <w:right w:val="none" w:sz="0" w:space="0" w:color="auto"/>
      </w:divBdr>
    </w:div>
    <w:div w:id="1656641466">
      <w:bodyDiv w:val="1"/>
      <w:marLeft w:val="0"/>
      <w:marRight w:val="0"/>
      <w:marTop w:val="0"/>
      <w:marBottom w:val="0"/>
      <w:divBdr>
        <w:top w:val="none" w:sz="0" w:space="0" w:color="auto"/>
        <w:left w:val="none" w:sz="0" w:space="0" w:color="auto"/>
        <w:bottom w:val="none" w:sz="0" w:space="0" w:color="auto"/>
        <w:right w:val="none" w:sz="0" w:space="0" w:color="auto"/>
      </w:divBdr>
    </w:div>
    <w:div w:id="1681854313">
      <w:bodyDiv w:val="1"/>
      <w:marLeft w:val="0"/>
      <w:marRight w:val="0"/>
      <w:marTop w:val="0"/>
      <w:marBottom w:val="0"/>
      <w:divBdr>
        <w:top w:val="none" w:sz="0" w:space="0" w:color="auto"/>
        <w:left w:val="none" w:sz="0" w:space="0" w:color="auto"/>
        <w:bottom w:val="none" w:sz="0" w:space="0" w:color="auto"/>
        <w:right w:val="none" w:sz="0" w:space="0" w:color="auto"/>
      </w:divBdr>
    </w:div>
    <w:div w:id="1711681238">
      <w:bodyDiv w:val="1"/>
      <w:marLeft w:val="0"/>
      <w:marRight w:val="0"/>
      <w:marTop w:val="0"/>
      <w:marBottom w:val="0"/>
      <w:divBdr>
        <w:top w:val="none" w:sz="0" w:space="0" w:color="auto"/>
        <w:left w:val="none" w:sz="0" w:space="0" w:color="auto"/>
        <w:bottom w:val="none" w:sz="0" w:space="0" w:color="auto"/>
        <w:right w:val="none" w:sz="0" w:space="0" w:color="auto"/>
      </w:divBdr>
    </w:div>
    <w:div w:id="1722359641">
      <w:bodyDiv w:val="1"/>
      <w:marLeft w:val="0"/>
      <w:marRight w:val="0"/>
      <w:marTop w:val="0"/>
      <w:marBottom w:val="0"/>
      <w:divBdr>
        <w:top w:val="none" w:sz="0" w:space="0" w:color="auto"/>
        <w:left w:val="none" w:sz="0" w:space="0" w:color="auto"/>
        <w:bottom w:val="none" w:sz="0" w:space="0" w:color="auto"/>
        <w:right w:val="none" w:sz="0" w:space="0" w:color="auto"/>
      </w:divBdr>
    </w:div>
    <w:div w:id="1724282857">
      <w:bodyDiv w:val="1"/>
      <w:marLeft w:val="0"/>
      <w:marRight w:val="0"/>
      <w:marTop w:val="0"/>
      <w:marBottom w:val="0"/>
      <w:divBdr>
        <w:top w:val="none" w:sz="0" w:space="0" w:color="auto"/>
        <w:left w:val="none" w:sz="0" w:space="0" w:color="auto"/>
        <w:bottom w:val="none" w:sz="0" w:space="0" w:color="auto"/>
        <w:right w:val="none" w:sz="0" w:space="0" w:color="auto"/>
      </w:divBdr>
    </w:div>
    <w:div w:id="1754930664">
      <w:bodyDiv w:val="1"/>
      <w:marLeft w:val="0"/>
      <w:marRight w:val="0"/>
      <w:marTop w:val="0"/>
      <w:marBottom w:val="0"/>
      <w:divBdr>
        <w:top w:val="none" w:sz="0" w:space="0" w:color="auto"/>
        <w:left w:val="none" w:sz="0" w:space="0" w:color="auto"/>
        <w:bottom w:val="none" w:sz="0" w:space="0" w:color="auto"/>
        <w:right w:val="none" w:sz="0" w:space="0" w:color="auto"/>
      </w:divBdr>
    </w:div>
    <w:div w:id="1786272985">
      <w:bodyDiv w:val="1"/>
      <w:marLeft w:val="0"/>
      <w:marRight w:val="0"/>
      <w:marTop w:val="0"/>
      <w:marBottom w:val="0"/>
      <w:divBdr>
        <w:top w:val="none" w:sz="0" w:space="0" w:color="auto"/>
        <w:left w:val="none" w:sz="0" w:space="0" w:color="auto"/>
        <w:bottom w:val="none" w:sz="0" w:space="0" w:color="auto"/>
        <w:right w:val="none" w:sz="0" w:space="0" w:color="auto"/>
      </w:divBdr>
    </w:div>
    <w:div w:id="1856117596">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1185243">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17787990">
      <w:bodyDiv w:val="1"/>
      <w:marLeft w:val="0"/>
      <w:marRight w:val="0"/>
      <w:marTop w:val="0"/>
      <w:marBottom w:val="0"/>
      <w:divBdr>
        <w:top w:val="none" w:sz="0" w:space="0" w:color="auto"/>
        <w:left w:val="none" w:sz="0" w:space="0" w:color="auto"/>
        <w:bottom w:val="none" w:sz="0" w:space="0" w:color="auto"/>
        <w:right w:val="none" w:sz="0" w:space="0" w:color="auto"/>
      </w:divBdr>
    </w:div>
    <w:div w:id="1935168779">
      <w:bodyDiv w:val="1"/>
      <w:marLeft w:val="0"/>
      <w:marRight w:val="0"/>
      <w:marTop w:val="0"/>
      <w:marBottom w:val="0"/>
      <w:divBdr>
        <w:top w:val="none" w:sz="0" w:space="0" w:color="auto"/>
        <w:left w:val="none" w:sz="0" w:space="0" w:color="auto"/>
        <w:bottom w:val="none" w:sz="0" w:space="0" w:color="auto"/>
        <w:right w:val="none" w:sz="0" w:space="0" w:color="auto"/>
      </w:divBdr>
    </w:div>
    <w:div w:id="1940063948">
      <w:bodyDiv w:val="1"/>
      <w:marLeft w:val="0"/>
      <w:marRight w:val="0"/>
      <w:marTop w:val="0"/>
      <w:marBottom w:val="0"/>
      <w:divBdr>
        <w:top w:val="none" w:sz="0" w:space="0" w:color="auto"/>
        <w:left w:val="none" w:sz="0" w:space="0" w:color="auto"/>
        <w:bottom w:val="none" w:sz="0" w:space="0" w:color="auto"/>
        <w:right w:val="none" w:sz="0" w:space="0" w:color="auto"/>
      </w:divBdr>
    </w:div>
    <w:div w:id="1964728389">
      <w:bodyDiv w:val="1"/>
      <w:marLeft w:val="0"/>
      <w:marRight w:val="0"/>
      <w:marTop w:val="0"/>
      <w:marBottom w:val="0"/>
      <w:divBdr>
        <w:top w:val="none" w:sz="0" w:space="0" w:color="auto"/>
        <w:left w:val="none" w:sz="0" w:space="0" w:color="auto"/>
        <w:bottom w:val="none" w:sz="0" w:space="0" w:color="auto"/>
        <w:right w:val="none" w:sz="0" w:space="0" w:color="auto"/>
      </w:divBdr>
    </w:div>
    <w:div w:id="1995334968">
      <w:bodyDiv w:val="1"/>
      <w:marLeft w:val="0"/>
      <w:marRight w:val="0"/>
      <w:marTop w:val="0"/>
      <w:marBottom w:val="0"/>
      <w:divBdr>
        <w:top w:val="none" w:sz="0" w:space="0" w:color="auto"/>
        <w:left w:val="none" w:sz="0" w:space="0" w:color="auto"/>
        <w:bottom w:val="none" w:sz="0" w:space="0" w:color="auto"/>
        <w:right w:val="none" w:sz="0" w:space="0" w:color="auto"/>
      </w:divBdr>
    </w:div>
    <w:div w:id="2017924803">
      <w:bodyDiv w:val="1"/>
      <w:marLeft w:val="0"/>
      <w:marRight w:val="0"/>
      <w:marTop w:val="0"/>
      <w:marBottom w:val="0"/>
      <w:divBdr>
        <w:top w:val="none" w:sz="0" w:space="0" w:color="auto"/>
        <w:left w:val="none" w:sz="0" w:space="0" w:color="auto"/>
        <w:bottom w:val="none" w:sz="0" w:space="0" w:color="auto"/>
        <w:right w:val="none" w:sz="0" w:space="0" w:color="auto"/>
      </w:divBdr>
    </w:div>
    <w:div w:id="211478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F396D-FAD9-434C-B431-993BEA1F1B60}" type="doc">
      <dgm:prSet loTypeId="urn:microsoft.com/office/officeart/2005/8/layout/chevron2" loCatId="list" qsTypeId="urn:microsoft.com/office/officeart/2005/8/quickstyle/simple4" qsCatId="simple" csTypeId="urn:microsoft.com/office/officeart/2005/8/colors/accent2_2" csCatId="accent2" phldr="1"/>
      <dgm:spPr/>
      <dgm:t>
        <a:bodyPr/>
        <a:lstStyle/>
        <a:p>
          <a:endParaRPr lang="en-GB"/>
        </a:p>
      </dgm:t>
    </dgm:pt>
    <dgm:pt modelId="{58D56BA6-200A-400B-BFC7-EBF76D8C8B08}">
      <dgm:prSet phldrT="[Text]"/>
      <dgm:spPr/>
      <dgm:t>
        <a:bodyPr/>
        <a:lstStyle/>
        <a:p>
          <a:r>
            <a:rPr lang="en-GB" dirty="0"/>
            <a:t>September/ October</a:t>
          </a:r>
        </a:p>
      </dgm:t>
    </dgm:pt>
    <dgm:pt modelId="{62E5B131-F2A4-46D7-A531-F8377ACC2443}" type="parTrans" cxnId="{A814B54D-1702-434E-8A55-9EA985368E61}">
      <dgm:prSet/>
      <dgm:spPr/>
      <dgm:t>
        <a:bodyPr/>
        <a:lstStyle/>
        <a:p>
          <a:endParaRPr lang="en-GB"/>
        </a:p>
      </dgm:t>
    </dgm:pt>
    <dgm:pt modelId="{8BF36C57-A1E2-4000-A74C-EEB26BEAB328}" type="sibTrans" cxnId="{A814B54D-1702-434E-8A55-9EA985368E61}">
      <dgm:prSet/>
      <dgm:spPr/>
      <dgm:t>
        <a:bodyPr/>
        <a:lstStyle/>
        <a:p>
          <a:endParaRPr lang="en-GB"/>
        </a:p>
      </dgm:t>
    </dgm:pt>
    <dgm:pt modelId="{FBF3BEDF-45C4-46F7-BAC0-00D15BB0AE3C}">
      <dgm:prSet phldrT="[Text]"/>
      <dgm:spPr/>
      <dgm:t>
        <a:bodyPr/>
        <a:lstStyle/>
        <a:p>
          <a:pPr>
            <a:buNone/>
          </a:pPr>
          <a:r>
            <a:rPr lang="en-GB" dirty="0">
              <a:latin typeface="Calibri" panose="020F0502020204030204" pitchFamily="34" charset="0"/>
              <a:cs typeface="Calibri" panose="020F0502020204030204" pitchFamily="34" charset="0"/>
            </a:rPr>
            <a:t>Finance personnel calculate the budget requirements in conjunction with budget holders</a:t>
          </a:r>
          <a:endParaRPr lang="en-GB" dirty="0"/>
        </a:p>
      </dgm:t>
    </dgm:pt>
    <dgm:pt modelId="{EA11BC2E-2E92-4675-A3EE-4DCB06D409AC}" type="parTrans" cxnId="{5DFAEC87-1AB7-4820-939D-A16151E1E602}">
      <dgm:prSet/>
      <dgm:spPr/>
      <dgm:t>
        <a:bodyPr/>
        <a:lstStyle/>
        <a:p>
          <a:endParaRPr lang="en-GB"/>
        </a:p>
      </dgm:t>
    </dgm:pt>
    <dgm:pt modelId="{EF61D74B-2A49-4411-BD2A-07FF49CFB1B9}" type="sibTrans" cxnId="{5DFAEC87-1AB7-4820-939D-A16151E1E602}">
      <dgm:prSet/>
      <dgm:spPr/>
      <dgm:t>
        <a:bodyPr/>
        <a:lstStyle/>
        <a:p>
          <a:endParaRPr lang="en-GB"/>
        </a:p>
      </dgm:t>
    </dgm:pt>
    <dgm:pt modelId="{8CFA7F46-3F36-44EF-97ED-3294C53D6A91}">
      <dgm:prSet phldrT="[Text]"/>
      <dgm:spPr/>
      <dgm:t>
        <a:bodyPr/>
        <a:lstStyle/>
        <a:p>
          <a:pPr>
            <a:buNone/>
          </a:pPr>
          <a:r>
            <a:rPr lang="en-GB" dirty="0">
              <a:latin typeface="Calibri" panose="020F0502020204030204" pitchFamily="34" charset="0"/>
              <a:cs typeface="Calibri" panose="020F0502020204030204" pitchFamily="34" charset="0"/>
            </a:rPr>
            <a:t>Review and Challenge by Finance Leads and CC CFO</a:t>
          </a:r>
          <a:endParaRPr lang="en-GB" dirty="0"/>
        </a:p>
      </dgm:t>
    </dgm:pt>
    <dgm:pt modelId="{44375A24-BBC7-4947-AF37-0EE2EEC88B20}" type="parTrans" cxnId="{4CB026C6-0939-4312-B8ED-8FB31B339EA4}">
      <dgm:prSet/>
      <dgm:spPr/>
      <dgm:t>
        <a:bodyPr/>
        <a:lstStyle/>
        <a:p>
          <a:endParaRPr lang="en-GB"/>
        </a:p>
      </dgm:t>
    </dgm:pt>
    <dgm:pt modelId="{209495F1-F492-4763-ABD5-1FE9B304899A}" type="sibTrans" cxnId="{4CB026C6-0939-4312-B8ED-8FB31B339EA4}">
      <dgm:prSet/>
      <dgm:spPr/>
      <dgm:t>
        <a:bodyPr/>
        <a:lstStyle/>
        <a:p>
          <a:endParaRPr lang="en-GB"/>
        </a:p>
      </dgm:t>
    </dgm:pt>
    <dgm:pt modelId="{9F0ED3C2-CDE0-4FCB-A7F9-1792C9708150}">
      <dgm:prSet phldrT="[Text]"/>
      <dgm:spPr/>
      <dgm:t>
        <a:bodyPr/>
        <a:lstStyle/>
        <a:p>
          <a:r>
            <a:rPr lang="en-GB" dirty="0"/>
            <a:t>October/ November</a:t>
          </a:r>
        </a:p>
      </dgm:t>
    </dgm:pt>
    <dgm:pt modelId="{CB75B86D-59B8-4896-9EC7-A56190B92500}" type="parTrans" cxnId="{D3D3D273-AB98-448C-80F3-D2389E7CE731}">
      <dgm:prSet/>
      <dgm:spPr/>
      <dgm:t>
        <a:bodyPr/>
        <a:lstStyle/>
        <a:p>
          <a:endParaRPr lang="en-GB"/>
        </a:p>
      </dgm:t>
    </dgm:pt>
    <dgm:pt modelId="{ED769993-7F3A-4372-8DEB-5CE741AD1616}" type="sibTrans" cxnId="{D3D3D273-AB98-448C-80F3-D2389E7CE731}">
      <dgm:prSet/>
      <dgm:spPr/>
      <dgm:t>
        <a:bodyPr/>
        <a:lstStyle/>
        <a:p>
          <a:endParaRPr lang="en-GB"/>
        </a:p>
      </dgm:t>
    </dgm:pt>
    <dgm:pt modelId="{3B1CEB3D-4914-43F5-8318-B58F40D70609}">
      <dgm:prSet phldrT="[Text]"/>
      <dgm:spPr/>
      <dgm:t>
        <a:bodyPr/>
        <a:lstStyle/>
        <a:p>
          <a:pPr>
            <a:buNone/>
          </a:pPr>
          <a:r>
            <a:rPr lang="en-GB" dirty="0">
              <a:latin typeface="Calibri" panose="020F0502020204030204" pitchFamily="34" charset="0"/>
              <a:cs typeface="Calibri" panose="020F0502020204030204" pitchFamily="34" charset="0"/>
            </a:rPr>
            <a:t>Review and further challenge by PFCC CFO</a:t>
          </a:r>
          <a:endParaRPr lang="en-GB" dirty="0"/>
        </a:p>
      </dgm:t>
    </dgm:pt>
    <dgm:pt modelId="{5016D617-AD71-4802-A53E-4FEFEAE2C9D0}" type="parTrans" cxnId="{70ECDBB9-25D9-48EC-B523-FC02C876BF3A}">
      <dgm:prSet/>
      <dgm:spPr/>
      <dgm:t>
        <a:bodyPr/>
        <a:lstStyle/>
        <a:p>
          <a:endParaRPr lang="en-GB"/>
        </a:p>
      </dgm:t>
    </dgm:pt>
    <dgm:pt modelId="{82BF9941-2772-4B57-97A8-5FB170C955FB}" type="sibTrans" cxnId="{70ECDBB9-25D9-48EC-B523-FC02C876BF3A}">
      <dgm:prSet/>
      <dgm:spPr/>
      <dgm:t>
        <a:bodyPr/>
        <a:lstStyle/>
        <a:p>
          <a:endParaRPr lang="en-GB"/>
        </a:p>
      </dgm:t>
    </dgm:pt>
    <dgm:pt modelId="{82FF0DAF-BB70-4602-BB3D-FECD5A68A2EC}">
      <dgm:prSet phldrT="[Text]"/>
      <dgm:spPr/>
      <dgm:t>
        <a:bodyPr/>
        <a:lstStyle/>
        <a:p>
          <a:r>
            <a:rPr lang="en-GB" dirty="0"/>
            <a:t>October</a:t>
          </a:r>
        </a:p>
      </dgm:t>
    </dgm:pt>
    <dgm:pt modelId="{C1A173C6-A5E2-4507-9B67-57E30BA5C608}" type="parTrans" cxnId="{8E14D47C-545F-423D-B994-633EDFFEFB3A}">
      <dgm:prSet/>
      <dgm:spPr/>
      <dgm:t>
        <a:bodyPr/>
        <a:lstStyle/>
        <a:p>
          <a:endParaRPr lang="en-GB"/>
        </a:p>
      </dgm:t>
    </dgm:pt>
    <dgm:pt modelId="{5A7A3C5A-725B-4724-A154-67BD86E1BB12}" type="sibTrans" cxnId="{8E14D47C-545F-423D-B994-633EDFFEFB3A}">
      <dgm:prSet/>
      <dgm:spPr/>
      <dgm:t>
        <a:bodyPr/>
        <a:lstStyle/>
        <a:p>
          <a:endParaRPr lang="en-GB"/>
        </a:p>
      </dgm:t>
    </dgm:pt>
    <dgm:pt modelId="{2C2503A6-1FF0-47AC-A13D-0A0BE77A6AFE}">
      <dgm:prSet phldrT="[Text]"/>
      <dgm:spPr/>
      <dgm:t>
        <a:bodyPr/>
        <a:lstStyle/>
        <a:p>
          <a:pPr>
            <a:buNone/>
          </a:pPr>
          <a:r>
            <a:rPr lang="en-GB" dirty="0">
              <a:latin typeface="Calibri" panose="020F0502020204030204" pitchFamily="34" charset="0"/>
              <a:cs typeface="Calibri" panose="020F0502020204030204" pitchFamily="34" charset="0"/>
            </a:rPr>
            <a:t>First level of reconciliation and scrutiny by team leader </a:t>
          </a:r>
          <a:endParaRPr lang="en-GB" dirty="0"/>
        </a:p>
      </dgm:t>
    </dgm:pt>
    <dgm:pt modelId="{E4A59C71-0E3D-44E9-967B-F1E10ADC78B3}" type="parTrans" cxnId="{97C5AB28-A21A-4DCC-AFC2-5E0B70B01B80}">
      <dgm:prSet/>
      <dgm:spPr/>
      <dgm:t>
        <a:bodyPr/>
        <a:lstStyle/>
        <a:p>
          <a:endParaRPr lang="en-GB"/>
        </a:p>
      </dgm:t>
    </dgm:pt>
    <dgm:pt modelId="{07ADC382-0698-4A50-8940-D39CE8D1E31C}" type="sibTrans" cxnId="{97C5AB28-A21A-4DCC-AFC2-5E0B70B01B80}">
      <dgm:prSet/>
      <dgm:spPr/>
      <dgm:t>
        <a:bodyPr/>
        <a:lstStyle/>
        <a:p>
          <a:endParaRPr lang="en-GB"/>
        </a:p>
      </dgm:t>
    </dgm:pt>
    <dgm:pt modelId="{B7DFAB61-C46A-4EA2-8493-72B794392D41}">
      <dgm:prSet phldrT="[Text]"/>
      <dgm:spPr/>
      <dgm:t>
        <a:bodyPr/>
        <a:lstStyle/>
        <a:p>
          <a:r>
            <a:rPr lang="en-GB" dirty="0"/>
            <a:t>October</a:t>
          </a:r>
        </a:p>
      </dgm:t>
    </dgm:pt>
    <dgm:pt modelId="{9654F6BC-CB5F-4F46-97A9-EA108E2946E8}" type="parTrans" cxnId="{E8153720-C513-4146-9012-810E72BDBE0D}">
      <dgm:prSet/>
      <dgm:spPr/>
      <dgm:t>
        <a:bodyPr/>
        <a:lstStyle/>
        <a:p>
          <a:endParaRPr lang="en-GB"/>
        </a:p>
      </dgm:t>
    </dgm:pt>
    <dgm:pt modelId="{6E04C1E2-5D86-40B4-8508-10E45451F34D}" type="sibTrans" cxnId="{E8153720-C513-4146-9012-810E72BDBE0D}">
      <dgm:prSet/>
      <dgm:spPr/>
      <dgm:t>
        <a:bodyPr/>
        <a:lstStyle/>
        <a:p>
          <a:endParaRPr lang="en-GB"/>
        </a:p>
      </dgm:t>
    </dgm:pt>
    <dgm:pt modelId="{719001B5-FABC-4998-840E-3709978992B1}">
      <dgm:prSet phldrT="[Text]"/>
      <dgm:spPr/>
      <dgm:t>
        <a:bodyPr/>
        <a:lstStyle/>
        <a:p>
          <a:pPr>
            <a:buNone/>
          </a:pPr>
          <a:r>
            <a:rPr lang="en-GB" dirty="0">
              <a:latin typeface="Calibri" panose="020F0502020204030204" pitchFamily="34" charset="0"/>
              <a:cs typeface="Calibri" panose="020F0502020204030204" pitchFamily="34" charset="0"/>
            </a:rPr>
            <a:t>Report and discussions with Chief Constable/Chief Fire Officer </a:t>
          </a:r>
          <a:endParaRPr lang="en-GB" dirty="0"/>
        </a:p>
      </dgm:t>
    </dgm:pt>
    <dgm:pt modelId="{7353D9FE-9E7B-4F6D-A2F7-E8196F1D2B10}" type="parTrans" cxnId="{E4314648-7C03-4BF3-BD65-3C30D25CF7C9}">
      <dgm:prSet/>
      <dgm:spPr/>
      <dgm:t>
        <a:bodyPr/>
        <a:lstStyle/>
        <a:p>
          <a:endParaRPr lang="en-GB"/>
        </a:p>
      </dgm:t>
    </dgm:pt>
    <dgm:pt modelId="{DEC51A6B-446B-4409-9C0C-E68A76DDC776}" type="sibTrans" cxnId="{E4314648-7C03-4BF3-BD65-3C30D25CF7C9}">
      <dgm:prSet/>
      <dgm:spPr/>
      <dgm:t>
        <a:bodyPr/>
        <a:lstStyle/>
        <a:p>
          <a:endParaRPr lang="en-GB"/>
        </a:p>
      </dgm:t>
    </dgm:pt>
    <dgm:pt modelId="{3087A382-C96F-4546-B4D1-B582819098FD}">
      <dgm:prSet phldrT="[Text]"/>
      <dgm:spPr/>
      <dgm:t>
        <a:bodyPr/>
        <a:lstStyle/>
        <a:p>
          <a:r>
            <a:rPr lang="en-GB" dirty="0"/>
            <a:t>December</a:t>
          </a:r>
        </a:p>
      </dgm:t>
    </dgm:pt>
    <dgm:pt modelId="{B6F70E16-8553-40EB-A1BE-F8959CC5EEDF}" type="parTrans" cxnId="{E4FFD3B3-D366-4070-8B70-69A0E23B181F}">
      <dgm:prSet/>
      <dgm:spPr/>
      <dgm:t>
        <a:bodyPr/>
        <a:lstStyle/>
        <a:p>
          <a:endParaRPr lang="en-GB"/>
        </a:p>
      </dgm:t>
    </dgm:pt>
    <dgm:pt modelId="{532B05A4-5ACB-43B0-B8C8-B480D0D66803}" type="sibTrans" cxnId="{E4FFD3B3-D366-4070-8B70-69A0E23B181F}">
      <dgm:prSet/>
      <dgm:spPr/>
      <dgm:t>
        <a:bodyPr/>
        <a:lstStyle/>
        <a:p>
          <a:endParaRPr lang="en-GB"/>
        </a:p>
      </dgm:t>
    </dgm:pt>
    <dgm:pt modelId="{E72B679F-D95A-4BBB-A3CD-F7DBADD30467}">
      <dgm:prSet phldrT="[Text]"/>
      <dgm:spPr/>
      <dgm:t>
        <a:bodyPr/>
        <a:lstStyle/>
        <a:p>
          <a:pPr>
            <a:buNone/>
          </a:pPr>
          <a:r>
            <a:rPr lang="en-GB" dirty="0">
              <a:latin typeface="Calibri" panose="020F0502020204030204" pitchFamily="34" charset="0"/>
              <a:cs typeface="Calibri" panose="020F0502020204030204" pitchFamily="34" charset="0"/>
            </a:rPr>
            <a:t>PFCC challenge at December Accountability Board – DRAFT budget proposals</a:t>
          </a:r>
          <a:endParaRPr lang="en-GB" dirty="0"/>
        </a:p>
      </dgm:t>
    </dgm:pt>
    <dgm:pt modelId="{AAB31C4F-A753-47E6-A990-E74E7A42EF3A}" type="parTrans" cxnId="{644A1839-C838-4DC3-B8C9-3EC6BD9FC2F5}">
      <dgm:prSet/>
      <dgm:spPr/>
      <dgm:t>
        <a:bodyPr/>
        <a:lstStyle/>
        <a:p>
          <a:endParaRPr lang="en-GB"/>
        </a:p>
      </dgm:t>
    </dgm:pt>
    <dgm:pt modelId="{913711B8-684C-4BF9-BFEB-B786210380A3}" type="sibTrans" cxnId="{644A1839-C838-4DC3-B8C9-3EC6BD9FC2F5}">
      <dgm:prSet/>
      <dgm:spPr/>
      <dgm:t>
        <a:bodyPr/>
        <a:lstStyle/>
        <a:p>
          <a:endParaRPr lang="en-GB"/>
        </a:p>
      </dgm:t>
    </dgm:pt>
    <dgm:pt modelId="{EB083492-A14F-45B0-85BC-C2150C530255}">
      <dgm:prSet phldrT="[Text]"/>
      <dgm:spPr/>
      <dgm:t>
        <a:bodyPr/>
        <a:lstStyle/>
        <a:p>
          <a:r>
            <a:rPr lang="en-GB" dirty="0"/>
            <a:t>January</a:t>
          </a:r>
        </a:p>
      </dgm:t>
    </dgm:pt>
    <dgm:pt modelId="{66420801-F069-47AE-B08B-041CA8FFB77E}" type="parTrans" cxnId="{6BDEE3C1-3EC0-4FAC-B6DD-49B37D4D93FF}">
      <dgm:prSet/>
      <dgm:spPr/>
      <dgm:t>
        <a:bodyPr/>
        <a:lstStyle/>
        <a:p>
          <a:endParaRPr lang="en-GB"/>
        </a:p>
      </dgm:t>
    </dgm:pt>
    <dgm:pt modelId="{88E32DC5-D602-478E-8E3D-4AA138EC2AB3}" type="sibTrans" cxnId="{6BDEE3C1-3EC0-4FAC-B6DD-49B37D4D93FF}">
      <dgm:prSet/>
      <dgm:spPr/>
      <dgm:t>
        <a:bodyPr/>
        <a:lstStyle/>
        <a:p>
          <a:endParaRPr lang="en-GB"/>
        </a:p>
      </dgm:t>
    </dgm:pt>
    <dgm:pt modelId="{3A403949-B436-4552-A1AB-8EECC0ACF743}">
      <dgm:prSet phldrT="[Text]"/>
      <dgm:spPr/>
      <dgm:t>
        <a:bodyPr/>
        <a:lstStyle/>
        <a:p>
          <a:pPr>
            <a:buNone/>
          </a:pPr>
          <a:r>
            <a:rPr lang="en-GB" dirty="0">
              <a:latin typeface="Calibri" panose="020F0502020204030204" pitchFamily="34" charset="0"/>
              <a:cs typeface="Calibri" panose="020F0502020204030204" pitchFamily="34" charset="0"/>
            </a:rPr>
            <a:t>PFCC final approval at January Accountability Board – FINAL budget proposals</a:t>
          </a:r>
          <a:endParaRPr lang="en-GB" dirty="0"/>
        </a:p>
      </dgm:t>
    </dgm:pt>
    <dgm:pt modelId="{BA2D68C5-5DCE-4C2C-B665-BBF9A18BFF90}" type="parTrans" cxnId="{F4EE6D1D-2329-4B6D-A7EB-793DD9D45A1B}">
      <dgm:prSet/>
      <dgm:spPr/>
      <dgm:t>
        <a:bodyPr/>
        <a:lstStyle/>
        <a:p>
          <a:endParaRPr lang="en-GB"/>
        </a:p>
      </dgm:t>
    </dgm:pt>
    <dgm:pt modelId="{DEBAF137-0642-4181-9F53-5C16819F2660}" type="sibTrans" cxnId="{F4EE6D1D-2329-4B6D-A7EB-793DD9D45A1B}">
      <dgm:prSet/>
      <dgm:spPr/>
      <dgm:t>
        <a:bodyPr/>
        <a:lstStyle/>
        <a:p>
          <a:endParaRPr lang="en-GB"/>
        </a:p>
      </dgm:t>
    </dgm:pt>
    <dgm:pt modelId="{9F8AE336-FD06-429A-81B2-1596B4741605}">
      <dgm:prSet phldrT="[Text]"/>
      <dgm:spPr/>
      <dgm:t>
        <a:bodyPr/>
        <a:lstStyle/>
        <a:p>
          <a:r>
            <a:rPr lang="en-GB" dirty="0"/>
            <a:t>February</a:t>
          </a:r>
        </a:p>
      </dgm:t>
    </dgm:pt>
    <dgm:pt modelId="{46104067-ACFD-4C91-A4AE-27807F0F8448}" type="parTrans" cxnId="{77BF0075-629A-42CA-9343-A4995805A1BD}">
      <dgm:prSet/>
      <dgm:spPr/>
      <dgm:t>
        <a:bodyPr/>
        <a:lstStyle/>
        <a:p>
          <a:endParaRPr lang="en-GB"/>
        </a:p>
      </dgm:t>
    </dgm:pt>
    <dgm:pt modelId="{FD0D9C9A-36E1-4BA7-856F-6D27803EEDFB}" type="sibTrans" cxnId="{77BF0075-629A-42CA-9343-A4995805A1BD}">
      <dgm:prSet/>
      <dgm:spPr/>
      <dgm:t>
        <a:bodyPr/>
        <a:lstStyle/>
        <a:p>
          <a:endParaRPr lang="en-GB"/>
        </a:p>
      </dgm:t>
    </dgm:pt>
    <dgm:pt modelId="{B0914334-38E6-47EB-8E5E-EE054F75E4F7}">
      <dgm:prSet phldrT="[Text]"/>
      <dgm:spPr/>
      <dgm:t>
        <a:bodyPr/>
        <a:lstStyle/>
        <a:p>
          <a:pPr>
            <a:buNone/>
          </a:pPr>
          <a:r>
            <a:rPr lang="en-GB" dirty="0"/>
            <a:t>Budget Papers and Precept Proposal considered by the Panel</a:t>
          </a:r>
        </a:p>
      </dgm:t>
    </dgm:pt>
    <dgm:pt modelId="{A7FC66FA-E2ED-48AA-80F1-0792BDCC6DAB}" type="parTrans" cxnId="{2D4E5E8F-442A-4886-B406-A5F9E264F256}">
      <dgm:prSet/>
      <dgm:spPr/>
      <dgm:t>
        <a:bodyPr/>
        <a:lstStyle/>
        <a:p>
          <a:endParaRPr lang="en-GB"/>
        </a:p>
      </dgm:t>
    </dgm:pt>
    <dgm:pt modelId="{11278B4B-58B8-45D3-9E76-9F69EA9D7012}" type="sibTrans" cxnId="{2D4E5E8F-442A-4886-B406-A5F9E264F256}">
      <dgm:prSet/>
      <dgm:spPr/>
      <dgm:t>
        <a:bodyPr/>
        <a:lstStyle/>
        <a:p>
          <a:endParaRPr lang="en-GB"/>
        </a:p>
      </dgm:t>
    </dgm:pt>
    <dgm:pt modelId="{B1CFEE0E-0710-4A52-B485-C83971F2F6E4}">
      <dgm:prSet phldrT="[Text]"/>
      <dgm:spPr/>
      <dgm:t>
        <a:bodyPr/>
        <a:lstStyle/>
        <a:p>
          <a:r>
            <a:rPr lang="en-GB" dirty="0"/>
            <a:t>November</a:t>
          </a:r>
        </a:p>
      </dgm:t>
    </dgm:pt>
    <dgm:pt modelId="{7AE011EE-2FCC-4871-9247-5818F3C21393}" type="parTrans" cxnId="{71D775D5-B96B-4BFA-AC86-3DC73C23D9D9}">
      <dgm:prSet/>
      <dgm:spPr/>
      <dgm:t>
        <a:bodyPr/>
        <a:lstStyle/>
        <a:p>
          <a:endParaRPr lang="en-GB"/>
        </a:p>
      </dgm:t>
    </dgm:pt>
    <dgm:pt modelId="{7D1AD7D9-9DFB-409A-9E82-06F32D72861F}" type="sibTrans" cxnId="{71D775D5-B96B-4BFA-AC86-3DC73C23D9D9}">
      <dgm:prSet/>
      <dgm:spPr/>
      <dgm:t>
        <a:bodyPr/>
        <a:lstStyle/>
        <a:p>
          <a:endParaRPr lang="en-GB"/>
        </a:p>
      </dgm:t>
    </dgm:pt>
    <dgm:pt modelId="{A471EF92-0089-4C2C-A961-3BFC038565B9}" type="pres">
      <dgm:prSet presAssocID="{4C3F396D-FAD9-434C-B431-993BEA1F1B60}" presName="linearFlow" presStyleCnt="0">
        <dgm:presLayoutVars>
          <dgm:dir/>
          <dgm:animLvl val="lvl"/>
          <dgm:resizeHandles val="exact"/>
        </dgm:presLayoutVars>
      </dgm:prSet>
      <dgm:spPr/>
    </dgm:pt>
    <dgm:pt modelId="{4D9EE095-1D58-49F8-860D-8535E41C0379}" type="pres">
      <dgm:prSet presAssocID="{58D56BA6-200A-400B-BFC7-EBF76D8C8B08}" presName="composite" presStyleCnt="0"/>
      <dgm:spPr/>
    </dgm:pt>
    <dgm:pt modelId="{93C5A65B-FEDE-4A95-8750-B64043D7CF19}" type="pres">
      <dgm:prSet presAssocID="{58D56BA6-200A-400B-BFC7-EBF76D8C8B08}" presName="parentText" presStyleLbl="alignNode1" presStyleIdx="0" presStyleCnt="8">
        <dgm:presLayoutVars>
          <dgm:chMax val="1"/>
          <dgm:bulletEnabled val="1"/>
        </dgm:presLayoutVars>
      </dgm:prSet>
      <dgm:spPr/>
    </dgm:pt>
    <dgm:pt modelId="{B6214A9C-FC0A-40EB-9481-C1A415E38D89}" type="pres">
      <dgm:prSet presAssocID="{58D56BA6-200A-400B-BFC7-EBF76D8C8B08}" presName="descendantText" presStyleLbl="alignAcc1" presStyleIdx="0" presStyleCnt="8">
        <dgm:presLayoutVars>
          <dgm:bulletEnabled val="1"/>
        </dgm:presLayoutVars>
      </dgm:prSet>
      <dgm:spPr/>
    </dgm:pt>
    <dgm:pt modelId="{31964F2F-3420-4ECD-B608-777773ACFACB}" type="pres">
      <dgm:prSet presAssocID="{8BF36C57-A1E2-4000-A74C-EEB26BEAB328}" presName="sp" presStyleCnt="0"/>
      <dgm:spPr/>
    </dgm:pt>
    <dgm:pt modelId="{B2F36A81-CEBE-46E0-A2A0-76693F3014C6}" type="pres">
      <dgm:prSet presAssocID="{B7DFAB61-C46A-4EA2-8493-72B794392D41}" presName="composite" presStyleCnt="0"/>
      <dgm:spPr/>
    </dgm:pt>
    <dgm:pt modelId="{FF032F62-3E43-4B40-AC74-44D91BDC6B5E}" type="pres">
      <dgm:prSet presAssocID="{B7DFAB61-C46A-4EA2-8493-72B794392D41}" presName="parentText" presStyleLbl="alignNode1" presStyleIdx="1" presStyleCnt="8">
        <dgm:presLayoutVars>
          <dgm:chMax val="1"/>
          <dgm:bulletEnabled val="1"/>
        </dgm:presLayoutVars>
      </dgm:prSet>
      <dgm:spPr/>
    </dgm:pt>
    <dgm:pt modelId="{600CA261-7C2F-4088-8E48-39DE8129A95D}" type="pres">
      <dgm:prSet presAssocID="{B7DFAB61-C46A-4EA2-8493-72B794392D41}" presName="descendantText" presStyleLbl="alignAcc1" presStyleIdx="1" presStyleCnt="8">
        <dgm:presLayoutVars>
          <dgm:bulletEnabled val="1"/>
        </dgm:presLayoutVars>
      </dgm:prSet>
      <dgm:spPr/>
    </dgm:pt>
    <dgm:pt modelId="{9F35907E-84AD-4675-B07D-D90C04911EEC}" type="pres">
      <dgm:prSet presAssocID="{6E04C1E2-5D86-40B4-8508-10E45451F34D}" presName="sp" presStyleCnt="0"/>
      <dgm:spPr/>
    </dgm:pt>
    <dgm:pt modelId="{E9B8D935-58F5-4430-B896-532A26B84FEB}" type="pres">
      <dgm:prSet presAssocID="{82FF0DAF-BB70-4602-BB3D-FECD5A68A2EC}" presName="composite" presStyleCnt="0"/>
      <dgm:spPr/>
    </dgm:pt>
    <dgm:pt modelId="{7E8E2E81-B372-487E-AE3D-B9A41FC03C2D}" type="pres">
      <dgm:prSet presAssocID="{82FF0DAF-BB70-4602-BB3D-FECD5A68A2EC}" presName="parentText" presStyleLbl="alignNode1" presStyleIdx="2" presStyleCnt="8">
        <dgm:presLayoutVars>
          <dgm:chMax val="1"/>
          <dgm:bulletEnabled val="1"/>
        </dgm:presLayoutVars>
      </dgm:prSet>
      <dgm:spPr/>
    </dgm:pt>
    <dgm:pt modelId="{BD94E167-1A74-4C28-8F1D-CF50A6F7B8CC}" type="pres">
      <dgm:prSet presAssocID="{82FF0DAF-BB70-4602-BB3D-FECD5A68A2EC}" presName="descendantText" presStyleLbl="alignAcc1" presStyleIdx="2" presStyleCnt="8">
        <dgm:presLayoutVars>
          <dgm:bulletEnabled val="1"/>
        </dgm:presLayoutVars>
      </dgm:prSet>
      <dgm:spPr/>
    </dgm:pt>
    <dgm:pt modelId="{7987A30F-3AC0-44FA-9DD6-38700242E29D}" type="pres">
      <dgm:prSet presAssocID="{5A7A3C5A-725B-4724-A154-67BD86E1BB12}" presName="sp" presStyleCnt="0"/>
      <dgm:spPr/>
    </dgm:pt>
    <dgm:pt modelId="{28A5F93C-6BC4-45A5-9915-8E342462B46C}" type="pres">
      <dgm:prSet presAssocID="{9F0ED3C2-CDE0-4FCB-A7F9-1792C9708150}" presName="composite" presStyleCnt="0"/>
      <dgm:spPr/>
    </dgm:pt>
    <dgm:pt modelId="{C334268B-13CF-4AF6-BE4D-36C6A337FAD0}" type="pres">
      <dgm:prSet presAssocID="{9F0ED3C2-CDE0-4FCB-A7F9-1792C9708150}" presName="parentText" presStyleLbl="alignNode1" presStyleIdx="3" presStyleCnt="8">
        <dgm:presLayoutVars>
          <dgm:chMax val="1"/>
          <dgm:bulletEnabled val="1"/>
        </dgm:presLayoutVars>
      </dgm:prSet>
      <dgm:spPr/>
    </dgm:pt>
    <dgm:pt modelId="{81C86889-B220-496F-9C29-F27E623DA04C}" type="pres">
      <dgm:prSet presAssocID="{9F0ED3C2-CDE0-4FCB-A7F9-1792C9708150}" presName="descendantText" presStyleLbl="alignAcc1" presStyleIdx="3" presStyleCnt="8">
        <dgm:presLayoutVars>
          <dgm:bulletEnabled val="1"/>
        </dgm:presLayoutVars>
      </dgm:prSet>
      <dgm:spPr/>
    </dgm:pt>
    <dgm:pt modelId="{096CFC96-437A-4183-A324-39516DECCE96}" type="pres">
      <dgm:prSet presAssocID="{ED769993-7F3A-4372-8DEB-5CE741AD1616}" presName="sp" presStyleCnt="0"/>
      <dgm:spPr/>
    </dgm:pt>
    <dgm:pt modelId="{AFB49B4D-ACC3-49F3-93CD-B242B56674B6}" type="pres">
      <dgm:prSet presAssocID="{B1CFEE0E-0710-4A52-B485-C83971F2F6E4}" presName="composite" presStyleCnt="0"/>
      <dgm:spPr/>
    </dgm:pt>
    <dgm:pt modelId="{520729A9-1C47-4970-B485-ED179A6D328E}" type="pres">
      <dgm:prSet presAssocID="{B1CFEE0E-0710-4A52-B485-C83971F2F6E4}" presName="parentText" presStyleLbl="alignNode1" presStyleIdx="4" presStyleCnt="8">
        <dgm:presLayoutVars>
          <dgm:chMax val="1"/>
          <dgm:bulletEnabled val="1"/>
        </dgm:presLayoutVars>
      </dgm:prSet>
      <dgm:spPr/>
    </dgm:pt>
    <dgm:pt modelId="{3EF0D81E-94B7-4263-8532-C417CD9E99FF}" type="pres">
      <dgm:prSet presAssocID="{B1CFEE0E-0710-4A52-B485-C83971F2F6E4}" presName="descendantText" presStyleLbl="alignAcc1" presStyleIdx="4" presStyleCnt="8">
        <dgm:presLayoutVars>
          <dgm:bulletEnabled val="1"/>
        </dgm:presLayoutVars>
      </dgm:prSet>
      <dgm:spPr/>
    </dgm:pt>
    <dgm:pt modelId="{ED1B3E09-B44F-49C9-83F8-87267AFA0C68}" type="pres">
      <dgm:prSet presAssocID="{7D1AD7D9-9DFB-409A-9E82-06F32D72861F}" presName="sp" presStyleCnt="0"/>
      <dgm:spPr/>
    </dgm:pt>
    <dgm:pt modelId="{352C8771-18CD-4218-9C25-6B2459A01062}" type="pres">
      <dgm:prSet presAssocID="{3087A382-C96F-4546-B4D1-B582819098FD}" presName="composite" presStyleCnt="0"/>
      <dgm:spPr/>
    </dgm:pt>
    <dgm:pt modelId="{AE9748B8-2736-47E3-A005-4C8ED8F65A2B}" type="pres">
      <dgm:prSet presAssocID="{3087A382-C96F-4546-B4D1-B582819098FD}" presName="parentText" presStyleLbl="alignNode1" presStyleIdx="5" presStyleCnt="8">
        <dgm:presLayoutVars>
          <dgm:chMax val="1"/>
          <dgm:bulletEnabled val="1"/>
        </dgm:presLayoutVars>
      </dgm:prSet>
      <dgm:spPr/>
    </dgm:pt>
    <dgm:pt modelId="{93E4C178-4971-488E-90F9-E065A2540AA3}" type="pres">
      <dgm:prSet presAssocID="{3087A382-C96F-4546-B4D1-B582819098FD}" presName="descendantText" presStyleLbl="alignAcc1" presStyleIdx="5" presStyleCnt="8">
        <dgm:presLayoutVars>
          <dgm:bulletEnabled val="1"/>
        </dgm:presLayoutVars>
      </dgm:prSet>
      <dgm:spPr/>
    </dgm:pt>
    <dgm:pt modelId="{AC326FD5-A49E-456F-9D15-54C39CAE70B4}" type="pres">
      <dgm:prSet presAssocID="{532B05A4-5ACB-43B0-B8C8-B480D0D66803}" presName="sp" presStyleCnt="0"/>
      <dgm:spPr/>
    </dgm:pt>
    <dgm:pt modelId="{C52F9743-A8B6-4F68-80F2-620FF555276F}" type="pres">
      <dgm:prSet presAssocID="{EB083492-A14F-45B0-85BC-C2150C530255}" presName="composite" presStyleCnt="0"/>
      <dgm:spPr/>
    </dgm:pt>
    <dgm:pt modelId="{D98FF503-CA8D-442A-ABF9-A8B228430D4D}" type="pres">
      <dgm:prSet presAssocID="{EB083492-A14F-45B0-85BC-C2150C530255}" presName="parentText" presStyleLbl="alignNode1" presStyleIdx="6" presStyleCnt="8">
        <dgm:presLayoutVars>
          <dgm:chMax val="1"/>
          <dgm:bulletEnabled val="1"/>
        </dgm:presLayoutVars>
      </dgm:prSet>
      <dgm:spPr/>
    </dgm:pt>
    <dgm:pt modelId="{596651A8-09C5-4682-812F-7891D37AF21D}" type="pres">
      <dgm:prSet presAssocID="{EB083492-A14F-45B0-85BC-C2150C530255}" presName="descendantText" presStyleLbl="alignAcc1" presStyleIdx="6" presStyleCnt="8">
        <dgm:presLayoutVars>
          <dgm:bulletEnabled val="1"/>
        </dgm:presLayoutVars>
      </dgm:prSet>
      <dgm:spPr/>
    </dgm:pt>
    <dgm:pt modelId="{8A0C94ED-86A5-425A-87EF-BF2783B2393E}" type="pres">
      <dgm:prSet presAssocID="{88E32DC5-D602-478E-8E3D-4AA138EC2AB3}" presName="sp" presStyleCnt="0"/>
      <dgm:spPr/>
    </dgm:pt>
    <dgm:pt modelId="{08CC169C-AC72-4DAE-82FF-D1F99EADA293}" type="pres">
      <dgm:prSet presAssocID="{9F8AE336-FD06-429A-81B2-1596B4741605}" presName="composite" presStyleCnt="0"/>
      <dgm:spPr/>
    </dgm:pt>
    <dgm:pt modelId="{51C8A537-7C5A-4262-89F6-338B290EC87F}" type="pres">
      <dgm:prSet presAssocID="{9F8AE336-FD06-429A-81B2-1596B4741605}" presName="parentText" presStyleLbl="alignNode1" presStyleIdx="7" presStyleCnt="8">
        <dgm:presLayoutVars>
          <dgm:chMax val="1"/>
          <dgm:bulletEnabled val="1"/>
        </dgm:presLayoutVars>
      </dgm:prSet>
      <dgm:spPr/>
    </dgm:pt>
    <dgm:pt modelId="{A79DC3F1-CBC2-43C8-9800-3925CAE939F5}" type="pres">
      <dgm:prSet presAssocID="{9F8AE336-FD06-429A-81B2-1596B4741605}" presName="descendantText" presStyleLbl="alignAcc1" presStyleIdx="7" presStyleCnt="8">
        <dgm:presLayoutVars>
          <dgm:bulletEnabled val="1"/>
        </dgm:presLayoutVars>
      </dgm:prSet>
      <dgm:spPr/>
    </dgm:pt>
  </dgm:ptLst>
  <dgm:cxnLst>
    <dgm:cxn modelId="{FF45EA0B-051C-4763-A551-266B826EF3F4}" type="presOf" srcId="{2C2503A6-1FF0-47AC-A13D-0A0BE77A6AFE}" destId="{600CA261-7C2F-4088-8E48-39DE8129A95D}" srcOrd="0" destOrd="0" presId="urn:microsoft.com/office/officeart/2005/8/layout/chevron2"/>
    <dgm:cxn modelId="{E6DA5E10-53DA-4711-B633-FAFD14C73212}" type="presOf" srcId="{9F0ED3C2-CDE0-4FCB-A7F9-1792C9708150}" destId="{C334268B-13CF-4AF6-BE4D-36C6A337FAD0}" srcOrd="0" destOrd="0" presId="urn:microsoft.com/office/officeart/2005/8/layout/chevron2"/>
    <dgm:cxn modelId="{577D6610-7FCC-45E0-9A0A-2D78F7A7005A}" type="presOf" srcId="{3A403949-B436-4552-A1AB-8EECC0ACF743}" destId="{596651A8-09C5-4682-812F-7891D37AF21D}" srcOrd="0" destOrd="0" presId="urn:microsoft.com/office/officeart/2005/8/layout/chevron2"/>
    <dgm:cxn modelId="{AA10D319-32E9-4513-824D-41238A66B415}" type="presOf" srcId="{B0914334-38E6-47EB-8E5E-EE054F75E4F7}" destId="{A79DC3F1-CBC2-43C8-9800-3925CAE939F5}" srcOrd="0" destOrd="0" presId="urn:microsoft.com/office/officeart/2005/8/layout/chevron2"/>
    <dgm:cxn modelId="{F4EE6D1D-2329-4B6D-A7EB-793DD9D45A1B}" srcId="{EB083492-A14F-45B0-85BC-C2150C530255}" destId="{3A403949-B436-4552-A1AB-8EECC0ACF743}" srcOrd="0" destOrd="0" parTransId="{BA2D68C5-5DCE-4C2C-B665-BBF9A18BFF90}" sibTransId="{DEBAF137-0642-4181-9F53-5C16819F2660}"/>
    <dgm:cxn modelId="{DB9E491F-2956-46D8-A90D-B9CFB6573132}" type="presOf" srcId="{B7DFAB61-C46A-4EA2-8493-72B794392D41}" destId="{FF032F62-3E43-4B40-AC74-44D91BDC6B5E}" srcOrd="0" destOrd="0" presId="urn:microsoft.com/office/officeart/2005/8/layout/chevron2"/>
    <dgm:cxn modelId="{E8153720-C513-4146-9012-810E72BDBE0D}" srcId="{4C3F396D-FAD9-434C-B431-993BEA1F1B60}" destId="{B7DFAB61-C46A-4EA2-8493-72B794392D41}" srcOrd="1" destOrd="0" parTransId="{9654F6BC-CB5F-4F46-97A9-EA108E2946E8}" sibTransId="{6E04C1E2-5D86-40B4-8508-10E45451F34D}"/>
    <dgm:cxn modelId="{97C5AB28-A21A-4DCC-AFC2-5E0B70B01B80}" srcId="{B7DFAB61-C46A-4EA2-8493-72B794392D41}" destId="{2C2503A6-1FF0-47AC-A13D-0A0BE77A6AFE}" srcOrd="0" destOrd="0" parTransId="{E4A59C71-0E3D-44E9-967B-F1E10ADC78B3}" sibTransId="{07ADC382-0698-4A50-8940-D39CE8D1E31C}"/>
    <dgm:cxn modelId="{384ECF2A-E6ED-420A-8738-0162A8E8C3BB}" type="presOf" srcId="{FBF3BEDF-45C4-46F7-BAC0-00D15BB0AE3C}" destId="{B6214A9C-FC0A-40EB-9481-C1A415E38D89}" srcOrd="0" destOrd="0" presId="urn:microsoft.com/office/officeart/2005/8/layout/chevron2"/>
    <dgm:cxn modelId="{72376C38-B937-4F35-89A8-8601B25512BC}" type="presOf" srcId="{4C3F396D-FAD9-434C-B431-993BEA1F1B60}" destId="{A471EF92-0089-4C2C-A961-3BFC038565B9}" srcOrd="0" destOrd="0" presId="urn:microsoft.com/office/officeart/2005/8/layout/chevron2"/>
    <dgm:cxn modelId="{644A1839-C838-4DC3-B8C9-3EC6BD9FC2F5}" srcId="{3087A382-C96F-4546-B4D1-B582819098FD}" destId="{E72B679F-D95A-4BBB-A3CD-F7DBADD30467}" srcOrd="0" destOrd="0" parTransId="{AAB31C4F-A753-47E6-A990-E74E7A42EF3A}" sibTransId="{913711B8-684C-4BF9-BFEB-B786210380A3}"/>
    <dgm:cxn modelId="{6333913A-BEDF-40AA-8949-B045862817EA}" type="presOf" srcId="{82FF0DAF-BB70-4602-BB3D-FECD5A68A2EC}" destId="{7E8E2E81-B372-487E-AE3D-B9A41FC03C2D}" srcOrd="0" destOrd="0" presId="urn:microsoft.com/office/officeart/2005/8/layout/chevron2"/>
    <dgm:cxn modelId="{E4314648-7C03-4BF3-BD65-3C30D25CF7C9}" srcId="{B1CFEE0E-0710-4A52-B485-C83971F2F6E4}" destId="{719001B5-FABC-4998-840E-3709978992B1}" srcOrd="0" destOrd="0" parTransId="{7353D9FE-9E7B-4F6D-A2F7-E8196F1D2B10}" sibTransId="{DEC51A6B-446B-4409-9C0C-E68A76DDC776}"/>
    <dgm:cxn modelId="{A814B54D-1702-434E-8A55-9EA985368E61}" srcId="{4C3F396D-FAD9-434C-B431-993BEA1F1B60}" destId="{58D56BA6-200A-400B-BFC7-EBF76D8C8B08}" srcOrd="0" destOrd="0" parTransId="{62E5B131-F2A4-46D7-A531-F8377ACC2443}" sibTransId="{8BF36C57-A1E2-4000-A74C-EEB26BEAB328}"/>
    <dgm:cxn modelId="{775B6B4E-691E-4175-8ED1-4A9276DB281B}" type="presOf" srcId="{719001B5-FABC-4998-840E-3709978992B1}" destId="{3EF0D81E-94B7-4263-8532-C417CD9E99FF}" srcOrd="0" destOrd="0" presId="urn:microsoft.com/office/officeart/2005/8/layout/chevron2"/>
    <dgm:cxn modelId="{D3D3D273-AB98-448C-80F3-D2389E7CE731}" srcId="{4C3F396D-FAD9-434C-B431-993BEA1F1B60}" destId="{9F0ED3C2-CDE0-4FCB-A7F9-1792C9708150}" srcOrd="3" destOrd="0" parTransId="{CB75B86D-59B8-4896-9EC7-A56190B92500}" sibTransId="{ED769993-7F3A-4372-8DEB-5CE741AD1616}"/>
    <dgm:cxn modelId="{77BF0075-629A-42CA-9343-A4995805A1BD}" srcId="{4C3F396D-FAD9-434C-B431-993BEA1F1B60}" destId="{9F8AE336-FD06-429A-81B2-1596B4741605}" srcOrd="7" destOrd="0" parTransId="{46104067-ACFD-4C91-A4AE-27807F0F8448}" sibTransId="{FD0D9C9A-36E1-4BA7-856F-6D27803EEDFB}"/>
    <dgm:cxn modelId="{8E14D47C-545F-423D-B994-633EDFFEFB3A}" srcId="{4C3F396D-FAD9-434C-B431-993BEA1F1B60}" destId="{82FF0DAF-BB70-4602-BB3D-FECD5A68A2EC}" srcOrd="2" destOrd="0" parTransId="{C1A173C6-A5E2-4507-9B67-57E30BA5C608}" sibTransId="{5A7A3C5A-725B-4724-A154-67BD86E1BB12}"/>
    <dgm:cxn modelId="{8CC8487E-B797-4D30-BF67-9FD582B608DD}" type="presOf" srcId="{58D56BA6-200A-400B-BFC7-EBF76D8C8B08}" destId="{93C5A65B-FEDE-4A95-8750-B64043D7CF19}" srcOrd="0" destOrd="0" presId="urn:microsoft.com/office/officeart/2005/8/layout/chevron2"/>
    <dgm:cxn modelId="{4C154F7F-028A-4EDE-BB54-9FF11805DDE0}" type="presOf" srcId="{9F8AE336-FD06-429A-81B2-1596B4741605}" destId="{51C8A537-7C5A-4262-89F6-338B290EC87F}" srcOrd="0" destOrd="0" presId="urn:microsoft.com/office/officeart/2005/8/layout/chevron2"/>
    <dgm:cxn modelId="{5DFAEC87-1AB7-4820-939D-A16151E1E602}" srcId="{58D56BA6-200A-400B-BFC7-EBF76D8C8B08}" destId="{FBF3BEDF-45C4-46F7-BAC0-00D15BB0AE3C}" srcOrd="0" destOrd="0" parTransId="{EA11BC2E-2E92-4675-A3EE-4DCB06D409AC}" sibTransId="{EF61D74B-2A49-4411-BD2A-07FF49CFB1B9}"/>
    <dgm:cxn modelId="{2D4E5E8F-442A-4886-B406-A5F9E264F256}" srcId="{9F8AE336-FD06-429A-81B2-1596B4741605}" destId="{B0914334-38E6-47EB-8E5E-EE054F75E4F7}" srcOrd="0" destOrd="0" parTransId="{A7FC66FA-E2ED-48AA-80F1-0792BDCC6DAB}" sibTransId="{11278B4B-58B8-45D3-9E76-9F69EA9D7012}"/>
    <dgm:cxn modelId="{6E687290-C9E4-4980-9980-B5F50C946C11}" type="presOf" srcId="{3087A382-C96F-4546-B4D1-B582819098FD}" destId="{AE9748B8-2736-47E3-A005-4C8ED8F65A2B}" srcOrd="0" destOrd="0" presId="urn:microsoft.com/office/officeart/2005/8/layout/chevron2"/>
    <dgm:cxn modelId="{BE3BD59C-F17B-414E-9AC5-6B39850744A4}" type="presOf" srcId="{EB083492-A14F-45B0-85BC-C2150C530255}" destId="{D98FF503-CA8D-442A-ABF9-A8B228430D4D}" srcOrd="0" destOrd="0" presId="urn:microsoft.com/office/officeart/2005/8/layout/chevron2"/>
    <dgm:cxn modelId="{B6BE1AB0-15DF-4493-945A-187F4CA85C63}" type="presOf" srcId="{E72B679F-D95A-4BBB-A3CD-F7DBADD30467}" destId="{93E4C178-4971-488E-90F9-E065A2540AA3}" srcOrd="0" destOrd="0" presId="urn:microsoft.com/office/officeart/2005/8/layout/chevron2"/>
    <dgm:cxn modelId="{E4FFD3B3-D366-4070-8B70-69A0E23B181F}" srcId="{4C3F396D-FAD9-434C-B431-993BEA1F1B60}" destId="{3087A382-C96F-4546-B4D1-B582819098FD}" srcOrd="5" destOrd="0" parTransId="{B6F70E16-8553-40EB-A1BE-F8959CC5EEDF}" sibTransId="{532B05A4-5ACB-43B0-B8C8-B480D0D66803}"/>
    <dgm:cxn modelId="{22258AB4-7278-4475-BED3-428363418DF3}" type="presOf" srcId="{8CFA7F46-3F36-44EF-97ED-3294C53D6A91}" destId="{BD94E167-1A74-4C28-8F1D-CF50A6F7B8CC}" srcOrd="0" destOrd="0" presId="urn:microsoft.com/office/officeart/2005/8/layout/chevron2"/>
    <dgm:cxn modelId="{70ECDBB9-25D9-48EC-B523-FC02C876BF3A}" srcId="{9F0ED3C2-CDE0-4FCB-A7F9-1792C9708150}" destId="{3B1CEB3D-4914-43F5-8318-B58F40D70609}" srcOrd="0" destOrd="0" parTransId="{5016D617-AD71-4802-A53E-4FEFEAE2C9D0}" sibTransId="{82BF9941-2772-4B57-97A8-5FB170C955FB}"/>
    <dgm:cxn modelId="{6BDEE3C1-3EC0-4FAC-B6DD-49B37D4D93FF}" srcId="{4C3F396D-FAD9-434C-B431-993BEA1F1B60}" destId="{EB083492-A14F-45B0-85BC-C2150C530255}" srcOrd="6" destOrd="0" parTransId="{66420801-F069-47AE-B08B-041CA8FFB77E}" sibTransId="{88E32DC5-D602-478E-8E3D-4AA138EC2AB3}"/>
    <dgm:cxn modelId="{4CB026C6-0939-4312-B8ED-8FB31B339EA4}" srcId="{82FF0DAF-BB70-4602-BB3D-FECD5A68A2EC}" destId="{8CFA7F46-3F36-44EF-97ED-3294C53D6A91}" srcOrd="0" destOrd="0" parTransId="{44375A24-BBC7-4947-AF37-0EE2EEC88B20}" sibTransId="{209495F1-F492-4763-ABD5-1FE9B304899A}"/>
    <dgm:cxn modelId="{71D775D5-B96B-4BFA-AC86-3DC73C23D9D9}" srcId="{4C3F396D-FAD9-434C-B431-993BEA1F1B60}" destId="{B1CFEE0E-0710-4A52-B485-C83971F2F6E4}" srcOrd="4" destOrd="0" parTransId="{7AE011EE-2FCC-4871-9247-5818F3C21393}" sibTransId="{7D1AD7D9-9DFB-409A-9E82-06F32D72861F}"/>
    <dgm:cxn modelId="{107141F3-4139-4CE3-87A9-58FAF527BF58}" type="presOf" srcId="{3B1CEB3D-4914-43F5-8318-B58F40D70609}" destId="{81C86889-B220-496F-9C29-F27E623DA04C}" srcOrd="0" destOrd="0" presId="urn:microsoft.com/office/officeart/2005/8/layout/chevron2"/>
    <dgm:cxn modelId="{494967F3-C9C0-43AD-95E1-7F25790D96A6}" type="presOf" srcId="{B1CFEE0E-0710-4A52-B485-C83971F2F6E4}" destId="{520729A9-1C47-4970-B485-ED179A6D328E}" srcOrd="0" destOrd="0" presId="urn:microsoft.com/office/officeart/2005/8/layout/chevron2"/>
    <dgm:cxn modelId="{DA4C6C7B-4F3E-4908-B5C4-579EA9F11104}" type="presParOf" srcId="{A471EF92-0089-4C2C-A961-3BFC038565B9}" destId="{4D9EE095-1D58-49F8-860D-8535E41C0379}" srcOrd="0" destOrd="0" presId="urn:microsoft.com/office/officeart/2005/8/layout/chevron2"/>
    <dgm:cxn modelId="{DDE87B35-1DC7-46AE-8369-C82041EA27DF}" type="presParOf" srcId="{4D9EE095-1D58-49F8-860D-8535E41C0379}" destId="{93C5A65B-FEDE-4A95-8750-B64043D7CF19}" srcOrd="0" destOrd="0" presId="urn:microsoft.com/office/officeart/2005/8/layout/chevron2"/>
    <dgm:cxn modelId="{10051C0E-1F13-4F19-824A-EB3611772A98}" type="presParOf" srcId="{4D9EE095-1D58-49F8-860D-8535E41C0379}" destId="{B6214A9C-FC0A-40EB-9481-C1A415E38D89}" srcOrd="1" destOrd="0" presId="urn:microsoft.com/office/officeart/2005/8/layout/chevron2"/>
    <dgm:cxn modelId="{C22E9DD1-9B7E-459D-B14F-DC6FED4F273A}" type="presParOf" srcId="{A471EF92-0089-4C2C-A961-3BFC038565B9}" destId="{31964F2F-3420-4ECD-B608-777773ACFACB}" srcOrd="1" destOrd="0" presId="urn:microsoft.com/office/officeart/2005/8/layout/chevron2"/>
    <dgm:cxn modelId="{2AE3545C-F37F-4F58-B5D1-26762651B8D4}" type="presParOf" srcId="{A471EF92-0089-4C2C-A961-3BFC038565B9}" destId="{B2F36A81-CEBE-46E0-A2A0-76693F3014C6}" srcOrd="2" destOrd="0" presId="urn:microsoft.com/office/officeart/2005/8/layout/chevron2"/>
    <dgm:cxn modelId="{B9CD9834-DEBD-4220-A733-6F2ABA2734CB}" type="presParOf" srcId="{B2F36A81-CEBE-46E0-A2A0-76693F3014C6}" destId="{FF032F62-3E43-4B40-AC74-44D91BDC6B5E}" srcOrd="0" destOrd="0" presId="urn:microsoft.com/office/officeart/2005/8/layout/chevron2"/>
    <dgm:cxn modelId="{3F7A605F-F16D-4397-9F90-FBB496BBEA9A}" type="presParOf" srcId="{B2F36A81-CEBE-46E0-A2A0-76693F3014C6}" destId="{600CA261-7C2F-4088-8E48-39DE8129A95D}" srcOrd="1" destOrd="0" presId="urn:microsoft.com/office/officeart/2005/8/layout/chevron2"/>
    <dgm:cxn modelId="{81A972A2-3FDB-4E00-8085-30E8C4C8B793}" type="presParOf" srcId="{A471EF92-0089-4C2C-A961-3BFC038565B9}" destId="{9F35907E-84AD-4675-B07D-D90C04911EEC}" srcOrd="3" destOrd="0" presId="urn:microsoft.com/office/officeart/2005/8/layout/chevron2"/>
    <dgm:cxn modelId="{A03D5ED5-9F16-4042-B7A3-E20B8527738F}" type="presParOf" srcId="{A471EF92-0089-4C2C-A961-3BFC038565B9}" destId="{E9B8D935-58F5-4430-B896-532A26B84FEB}" srcOrd="4" destOrd="0" presId="urn:microsoft.com/office/officeart/2005/8/layout/chevron2"/>
    <dgm:cxn modelId="{23F6EC58-93DD-46B4-BCEF-EE1830F6D9C1}" type="presParOf" srcId="{E9B8D935-58F5-4430-B896-532A26B84FEB}" destId="{7E8E2E81-B372-487E-AE3D-B9A41FC03C2D}" srcOrd="0" destOrd="0" presId="urn:microsoft.com/office/officeart/2005/8/layout/chevron2"/>
    <dgm:cxn modelId="{2CA08D9C-7481-4C2C-814D-3B446F8B463A}" type="presParOf" srcId="{E9B8D935-58F5-4430-B896-532A26B84FEB}" destId="{BD94E167-1A74-4C28-8F1D-CF50A6F7B8CC}" srcOrd="1" destOrd="0" presId="urn:microsoft.com/office/officeart/2005/8/layout/chevron2"/>
    <dgm:cxn modelId="{411345B5-EA30-47CE-8430-7E3EA24A5E79}" type="presParOf" srcId="{A471EF92-0089-4C2C-A961-3BFC038565B9}" destId="{7987A30F-3AC0-44FA-9DD6-38700242E29D}" srcOrd="5" destOrd="0" presId="urn:microsoft.com/office/officeart/2005/8/layout/chevron2"/>
    <dgm:cxn modelId="{3FD34F6D-10FA-4D3D-8262-B34CDEF04529}" type="presParOf" srcId="{A471EF92-0089-4C2C-A961-3BFC038565B9}" destId="{28A5F93C-6BC4-45A5-9915-8E342462B46C}" srcOrd="6" destOrd="0" presId="urn:microsoft.com/office/officeart/2005/8/layout/chevron2"/>
    <dgm:cxn modelId="{CA05A474-1FE9-44EB-B07F-4B3B673B88E6}" type="presParOf" srcId="{28A5F93C-6BC4-45A5-9915-8E342462B46C}" destId="{C334268B-13CF-4AF6-BE4D-36C6A337FAD0}" srcOrd="0" destOrd="0" presId="urn:microsoft.com/office/officeart/2005/8/layout/chevron2"/>
    <dgm:cxn modelId="{13E0D251-95AF-4D03-91AB-C0B026C5646C}" type="presParOf" srcId="{28A5F93C-6BC4-45A5-9915-8E342462B46C}" destId="{81C86889-B220-496F-9C29-F27E623DA04C}" srcOrd="1" destOrd="0" presId="urn:microsoft.com/office/officeart/2005/8/layout/chevron2"/>
    <dgm:cxn modelId="{97776EA4-6442-47F3-9519-20FE8E83A21C}" type="presParOf" srcId="{A471EF92-0089-4C2C-A961-3BFC038565B9}" destId="{096CFC96-437A-4183-A324-39516DECCE96}" srcOrd="7" destOrd="0" presId="urn:microsoft.com/office/officeart/2005/8/layout/chevron2"/>
    <dgm:cxn modelId="{9C42B850-70E6-48B1-AA91-0BC084A2290A}" type="presParOf" srcId="{A471EF92-0089-4C2C-A961-3BFC038565B9}" destId="{AFB49B4D-ACC3-49F3-93CD-B242B56674B6}" srcOrd="8" destOrd="0" presId="urn:microsoft.com/office/officeart/2005/8/layout/chevron2"/>
    <dgm:cxn modelId="{1EBAA83C-B93A-4FFD-B373-D47DC209E580}" type="presParOf" srcId="{AFB49B4D-ACC3-49F3-93CD-B242B56674B6}" destId="{520729A9-1C47-4970-B485-ED179A6D328E}" srcOrd="0" destOrd="0" presId="urn:microsoft.com/office/officeart/2005/8/layout/chevron2"/>
    <dgm:cxn modelId="{AA8FFE61-2412-4333-8A2E-50C93AD5A849}" type="presParOf" srcId="{AFB49B4D-ACC3-49F3-93CD-B242B56674B6}" destId="{3EF0D81E-94B7-4263-8532-C417CD9E99FF}" srcOrd="1" destOrd="0" presId="urn:microsoft.com/office/officeart/2005/8/layout/chevron2"/>
    <dgm:cxn modelId="{0D3396DD-F31F-4E08-8050-69A3116FF6D0}" type="presParOf" srcId="{A471EF92-0089-4C2C-A961-3BFC038565B9}" destId="{ED1B3E09-B44F-49C9-83F8-87267AFA0C68}" srcOrd="9" destOrd="0" presId="urn:microsoft.com/office/officeart/2005/8/layout/chevron2"/>
    <dgm:cxn modelId="{28C22355-191D-4C4F-8327-B5E444783D61}" type="presParOf" srcId="{A471EF92-0089-4C2C-A961-3BFC038565B9}" destId="{352C8771-18CD-4218-9C25-6B2459A01062}" srcOrd="10" destOrd="0" presId="urn:microsoft.com/office/officeart/2005/8/layout/chevron2"/>
    <dgm:cxn modelId="{AE1015F0-1E88-455F-8438-BD2C024107C6}" type="presParOf" srcId="{352C8771-18CD-4218-9C25-6B2459A01062}" destId="{AE9748B8-2736-47E3-A005-4C8ED8F65A2B}" srcOrd="0" destOrd="0" presId="urn:microsoft.com/office/officeart/2005/8/layout/chevron2"/>
    <dgm:cxn modelId="{259600DE-5764-4FDD-8790-B4D7BDDA0BE7}" type="presParOf" srcId="{352C8771-18CD-4218-9C25-6B2459A01062}" destId="{93E4C178-4971-488E-90F9-E065A2540AA3}" srcOrd="1" destOrd="0" presId="urn:microsoft.com/office/officeart/2005/8/layout/chevron2"/>
    <dgm:cxn modelId="{A6B63EF4-2DE6-4ACA-9450-FEAA7A20BD0C}" type="presParOf" srcId="{A471EF92-0089-4C2C-A961-3BFC038565B9}" destId="{AC326FD5-A49E-456F-9D15-54C39CAE70B4}" srcOrd="11" destOrd="0" presId="urn:microsoft.com/office/officeart/2005/8/layout/chevron2"/>
    <dgm:cxn modelId="{1AAF2CCD-5C48-4D02-B6C9-5020A3766EB7}" type="presParOf" srcId="{A471EF92-0089-4C2C-A961-3BFC038565B9}" destId="{C52F9743-A8B6-4F68-80F2-620FF555276F}" srcOrd="12" destOrd="0" presId="urn:microsoft.com/office/officeart/2005/8/layout/chevron2"/>
    <dgm:cxn modelId="{E6F37C00-CD15-4B4E-82EE-3228799E2232}" type="presParOf" srcId="{C52F9743-A8B6-4F68-80F2-620FF555276F}" destId="{D98FF503-CA8D-442A-ABF9-A8B228430D4D}" srcOrd="0" destOrd="0" presId="urn:microsoft.com/office/officeart/2005/8/layout/chevron2"/>
    <dgm:cxn modelId="{A835042A-65EC-4E0F-9E85-9C5524A6962C}" type="presParOf" srcId="{C52F9743-A8B6-4F68-80F2-620FF555276F}" destId="{596651A8-09C5-4682-812F-7891D37AF21D}" srcOrd="1" destOrd="0" presId="urn:microsoft.com/office/officeart/2005/8/layout/chevron2"/>
    <dgm:cxn modelId="{4650AEF2-9C79-48FF-838A-A16E65A63FAC}" type="presParOf" srcId="{A471EF92-0089-4C2C-A961-3BFC038565B9}" destId="{8A0C94ED-86A5-425A-87EF-BF2783B2393E}" srcOrd="13" destOrd="0" presId="urn:microsoft.com/office/officeart/2005/8/layout/chevron2"/>
    <dgm:cxn modelId="{B1DFEF4B-2329-40FE-BC7F-63530C73B757}" type="presParOf" srcId="{A471EF92-0089-4C2C-A961-3BFC038565B9}" destId="{08CC169C-AC72-4DAE-82FF-D1F99EADA293}" srcOrd="14" destOrd="0" presId="urn:microsoft.com/office/officeart/2005/8/layout/chevron2"/>
    <dgm:cxn modelId="{B03EAECE-1428-4B0E-94FA-C4D9FC696C56}" type="presParOf" srcId="{08CC169C-AC72-4DAE-82FF-D1F99EADA293}" destId="{51C8A537-7C5A-4262-89F6-338B290EC87F}" srcOrd="0" destOrd="0" presId="urn:microsoft.com/office/officeart/2005/8/layout/chevron2"/>
    <dgm:cxn modelId="{6F8BE368-3136-4C8A-BB02-D0147B775BE4}" type="presParOf" srcId="{08CC169C-AC72-4DAE-82FF-D1F99EADA293}" destId="{A79DC3F1-CBC2-43C8-9800-3925CAE939F5}"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5A65B-FEDE-4A95-8750-B64043D7CF19}">
      <dsp:nvSpPr>
        <dsp:cNvPr id="0" name=""/>
        <dsp:cNvSpPr/>
      </dsp:nvSpPr>
      <dsp:spPr>
        <a:xfrm rot="5400000">
          <a:off x="-84566" y="85659"/>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September/ October</a:t>
          </a:r>
        </a:p>
      </dsp:txBody>
      <dsp:txXfrm rot="-5400000">
        <a:off x="2" y="198415"/>
        <a:ext cx="394645" cy="169134"/>
      </dsp:txXfrm>
    </dsp:sp>
    <dsp:sp modelId="{B6214A9C-FC0A-40EB-9481-C1A415E38D89}">
      <dsp:nvSpPr>
        <dsp:cNvPr id="0" name=""/>
        <dsp:cNvSpPr/>
      </dsp:nvSpPr>
      <dsp:spPr>
        <a:xfrm rot="5400000">
          <a:off x="3066856" y="-2671118"/>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Finance personnel calculate the budget requirements in conjunction with budget holders</a:t>
          </a:r>
          <a:endParaRPr lang="en-GB" sz="1200" kern="1200" dirty="0"/>
        </a:p>
      </dsp:txBody>
      <dsp:txXfrm rot="-5400000">
        <a:off x="394645" y="18982"/>
        <a:ext cx="5692990" cy="330678"/>
      </dsp:txXfrm>
    </dsp:sp>
    <dsp:sp modelId="{FF032F62-3E43-4B40-AC74-44D91BDC6B5E}">
      <dsp:nvSpPr>
        <dsp:cNvPr id="0" name=""/>
        <dsp:cNvSpPr/>
      </dsp:nvSpPr>
      <dsp:spPr>
        <a:xfrm rot="5400000">
          <a:off x="-84566" y="573586"/>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October</a:t>
          </a:r>
        </a:p>
      </dsp:txBody>
      <dsp:txXfrm rot="-5400000">
        <a:off x="2" y="686342"/>
        <a:ext cx="394645" cy="169134"/>
      </dsp:txXfrm>
    </dsp:sp>
    <dsp:sp modelId="{600CA261-7C2F-4088-8E48-39DE8129A95D}">
      <dsp:nvSpPr>
        <dsp:cNvPr id="0" name=""/>
        <dsp:cNvSpPr/>
      </dsp:nvSpPr>
      <dsp:spPr>
        <a:xfrm rot="5400000">
          <a:off x="3066856" y="-2183192"/>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First level of reconciliation and scrutiny by team leader </a:t>
          </a:r>
          <a:endParaRPr lang="en-GB" sz="1200" kern="1200" dirty="0"/>
        </a:p>
      </dsp:txBody>
      <dsp:txXfrm rot="-5400000">
        <a:off x="394645" y="506908"/>
        <a:ext cx="5692990" cy="330678"/>
      </dsp:txXfrm>
    </dsp:sp>
    <dsp:sp modelId="{7E8E2E81-B372-487E-AE3D-B9A41FC03C2D}">
      <dsp:nvSpPr>
        <dsp:cNvPr id="0" name=""/>
        <dsp:cNvSpPr/>
      </dsp:nvSpPr>
      <dsp:spPr>
        <a:xfrm rot="5400000">
          <a:off x="-84566" y="1061512"/>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October</a:t>
          </a:r>
        </a:p>
      </dsp:txBody>
      <dsp:txXfrm rot="-5400000">
        <a:off x="2" y="1174268"/>
        <a:ext cx="394645" cy="169134"/>
      </dsp:txXfrm>
    </dsp:sp>
    <dsp:sp modelId="{BD94E167-1A74-4C28-8F1D-CF50A6F7B8CC}">
      <dsp:nvSpPr>
        <dsp:cNvPr id="0" name=""/>
        <dsp:cNvSpPr/>
      </dsp:nvSpPr>
      <dsp:spPr>
        <a:xfrm rot="5400000">
          <a:off x="3066856" y="-1695265"/>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Review and Challenge by Finance Leads and CC CFO</a:t>
          </a:r>
          <a:endParaRPr lang="en-GB" sz="1200" kern="1200" dirty="0"/>
        </a:p>
      </dsp:txBody>
      <dsp:txXfrm rot="-5400000">
        <a:off x="394645" y="994835"/>
        <a:ext cx="5692990" cy="330678"/>
      </dsp:txXfrm>
    </dsp:sp>
    <dsp:sp modelId="{C334268B-13CF-4AF6-BE4D-36C6A337FAD0}">
      <dsp:nvSpPr>
        <dsp:cNvPr id="0" name=""/>
        <dsp:cNvSpPr/>
      </dsp:nvSpPr>
      <dsp:spPr>
        <a:xfrm rot="5400000">
          <a:off x="-84566" y="1549438"/>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October/ November</a:t>
          </a:r>
        </a:p>
      </dsp:txBody>
      <dsp:txXfrm rot="-5400000">
        <a:off x="2" y="1662194"/>
        <a:ext cx="394645" cy="169134"/>
      </dsp:txXfrm>
    </dsp:sp>
    <dsp:sp modelId="{81C86889-B220-496F-9C29-F27E623DA04C}">
      <dsp:nvSpPr>
        <dsp:cNvPr id="0" name=""/>
        <dsp:cNvSpPr/>
      </dsp:nvSpPr>
      <dsp:spPr>
        <a:xfrm rot="5400000">
          <a:off x="3066856" y="-1207339"/>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Review and further challenge by PFCC CFO</a:t>
          </a:r>
          <a:endParaRPr lang="en-GB" sz="1200" kern="1200" dirty="0"/>
        </a:p>
      </dsp:txBody>
      <dsp:txXfrm rot="-5400000">
        <a:off x="394645" y="1482761"/>
        <a:ext cx="5692990" cy="330678"/>
      </dsp:txXfrm>
    </dsp:sp>
    <dsp:sp modelId="{520729A9-1C47-4970-B485-ED179A6D328E}">
      <dsp:nvSpPr>
        <dsp:cNvPr id="0" name=""/>
        <dsp:cNvSpPr/>
      </dsp:nvSpPr>
      <dsp:spPr>
        <a:xfrm rot="5400000">
          <a:off x="-84566" y="2037365"/>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November</a:t>
          </a:r>
        </a:p>
      </dsp:txBody>
      <dsp:txXfrm rot="-5400000">
        <a:off x="2" y="2150121"/>
        <a:ext cx="394645" cy="169134"/>
      </dsp:txXfrm>
    </dsp:sp>
    <dsp:sp modelId="{3EF0D81E-94B7-4263-8532-C417CD9E99FF}">
      <dsp:nvSpPr>
        <dsp:cNvPr id="0" name=""/>
        <dsp:cNvSpPr/>
      </dsp:nvSpPr>
      <dsp:spPr>
        <a:xfrm rot="5400000">
          <a:off x="3066856" y="-719412"/>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Report and discussions with Chief Constable/Chief Fire Officer </a:t>
          </a:r>
          <a:endParaRPr lang="en-GB" sz="1200" kern="1200" dirty="0"/>
        </a:p>
      </dsp:txBody>
      <dsp:txXfrm rot="-5400000">
        <a:off x="394645" y="1970688"/>
        <a:ext cx="5692990" cy="330678"/>
      </dsp:txXfrm>
    </dsp:sp>
    <dsp:sp modelId="{AE9748B8-2736-47E3-A005-4C8ED8F65A2B}">
      <dsp:nvSpPr>
        <dsp:cNvPr id="0" name=""/>
        <dsp:cNvSpPr/>
      </dsp:nvSpPr>
      <dsp:spPr>
        <a:xfrm rot="5400000">
          <a:off x="-84566" y="2525291"/>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December</a:t>
          </a:r>
        </a:p>
      </dsp:txBody>
      <dsp:txXfrm rot="-5400000">
        <a:off x="2" y="2638047"/>
        <a:ext cx="394645" cy="169134"/>
      </dsp:txXfrm>
    </dsp:sp>
    <dsp:sp modelId="{93E4C178-4971-488E-90F9-E065A2540AA3}">
      <dsp:nvSpPr>
        <dsp:cNvPr id="0" name=""/>
        <dsp:cNvSpPr/>
      </dsp:nvSpPr>
      <dsp:spPr>
        <a:xfrm rot="5400000">
          <a:off x="3066856" y="-231486"/>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PFCC challenge at December Accountability Board – DRAFT budget proposals</a:t>
          </a:r>
          <a:endParaRPr lang="en-GB" sz="1200" kern="1200" dirty="0"/>
        </a:p>
      </dsp:txBody>
      <dsp:txXfrm rot="-5400000">
        <a:off x="394645" y="2458614"/>
        <a:ext cx="5692990" cy="330678"/>
      </dsp:txXfrm>
    </dsp:sp>
    <dsp:sp modelId="{D98FF503-CA8D-442A-ABF9-A8B228430D4D}">
      <dsp:nvSpPr>
        <dsp:cNvPr id="0" name=""/>
        <dsp:cNvSpPr/>
      </dsp:nvSpPr>
      <dsp:spPr>
        <a:xfrm rot="5400000">
          <a:off x="-84566" y="3013218"/>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January</a:t>
          </a:r>
        </a:p>
      </dsp:txBody>
      <dsp:txXfrm rot="-5400000">
        <a:off x="2" y="3125974"/>
        <a:ext cx="394645" cy="169134"/>
      </dsp:txXfrm>
    </dsp:sp>
    <dsp:sp modelId="{596651A8-09C5-4682-812F-7891D37AF21D}">
      <dsp:nvSpPr>
        <dsp:cNvPr id="0" name=""/>
        <dsp:cNvSpPr/>
      </dsp:nvSpPr>
      <dsp:spPr>
        <a:xfrm rot="5400000">
          <a:off x="3066856" y="256439"/>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PFCC final approval at January Accountability Board – FINAL budget proposals</a:t>
          </a:r>
          <a:endParaRPr lang="en-GB" sz="1200" kern="1200" dirty="0"/>
        </a:p>
      </dsp:txBody>
      <dsp:txXfrm rot="-5400000">
        <a:off x="394645" y="2946540"/>
        <a:ext cx="5692990" cy="330678"/>
      </dsp:txXfrm>
    </dsp:sp>
    <dsp:sp modelId="{51C8A537-7C5A-4262-89F6-338B290EC87F}">
      <dsp:nvSpPr>
        <dsp:cNvPr id="0" name=""/>
        <dsp:cNvSpPr/>
      </dsp:nvSpPr>
      <dsp:spPr>
        <a:xfrm rot="5400000">
          <a:off x="-84566" y="3501144"/>
          <a:ext cx="563779" cy="3946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dirty="0"/>
            <a:t>February</a:t>
          </a:r>
        </a:p>
      </dsp:txBody>
      <dsp:txXfrm rot="-5400000">
        <a:off x="2" y="3613900"/>
        <a:ext cx="394645" cy="169134"/>
      </dsp:txXfrm>
    </dsp:sp>
    <dsp:sp modelId="{A79DC3F1-CBC2-43C8-9800-3925CAE939F5}">
      <dsp:nvSpPr>
        <dsp:cNvPr id="0" name=""/>
        <dsp:cNvSpPr/>
      </dsp:nvSpPr>
      <dsp:spPr>
        <a:xfrm rot="5400000">
          <a:off x="3066856" y="744366"/>
          <a:ext cx="366456" cy="57108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t>Budget Papers and Precept Proposal considered by the Panel</a:t>
          </a:r>
        </a:p>
      </dsp:txBody>
      <dsp:txXfrm rot="-5400000">
        <a:off x="394645" y="3434467"/>
        <a:ext cx="5692990" cy="3306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73A71-A630-4B0A-BAE1-DB45A3150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12610</Words>
  <Characters>71881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84323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Osborne Kate</cp:lastModifiedBy>
  <cp:revision>2</cp:revision>
  <cp:lastPrinted>2025-01-15T12:11:00Z</cp:lastPrinted>
  <dcterms:created xsi:type="dcterms:W3CDTF">2025-02-28T09:36:00Z</dcterms:created>
  <dcterms:modified xsi:type="dcterms:W3CDTF">2025-02-28T09:36:00Z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2021-01-19T14:42:00.9311210Z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