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C94D0" w14:textId="2F1CACB6" w:rsidR="005B590E" w:rsidRDefault="000D1925" w:rsidP="007120DF">
      <w:pPr>
        <w:ind w:left="851" w:hanging="851"/>
        <w:jc w:val="center"/>
        <w:rPr>
          <w:noProof/>
          <w:color w:val="1F497D"/>
          <w:lang w:eastAsia="en-GB"/>
        </w:rPr>
      </w:pPr>
      <w:r>
        <w:rPr>
          <w:noProof/>
        </w:rPr>
        <w:drawing>
          <wp:inline distT="0" distB="0" distL="0" distR="0" wp14:anchorId="4E2D6CB6" wp14:editId="50B8271F">
            <wp:extent cx="1494000" cy="14940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4000" cy="1494000"/>
                    </a:xfrm>
                    <a:prstGeom prst="rect">
                      <a:avLst/>
                    </a:prstGeom>
                    <a:noFill/>
                    <a:ln>
                      <a:noFill/>
                    </a:ln>
                  </pic:spPr>
                </pic:pic>
              </a:graphicData>
            </a:graphic>
          </wp:inline>
        </w:drawing>
      </w:r>
    </w:p>
    <w:p w14:paraId="5AF5E50C" w14:textId="79731B53" w:rsidR="005B590E" w:rsidRPr="00C76FBD" w:rsidRDefault="005B590E" w:rsidP="00141D16">
      <w:pPr>
        <w:jc w:val="center"/>
        <w:rPr>
          <w:rFonts w:asciiTheme="minorHAnsi" w:hAnsiTheme="minorHAnsi" w:cstheme="minorHAnsi"/>
          <w:b/>
          <w:sz w:val="24"/>
          <w:szCs w:val="24"/>
        </w:rPr>
      </w:pPr>
      <w:r w:rsidRPr="00C76FBD">
        <w:rPr>
          <w:rFonts w:asciiTheme="minorHAnsi" w:hAnsiTheme="minorHAnsi" w:cstheme="minorHAnsi"/>
          <w:b/>
          <w:sz w:val="24"/>
          <w:szCs w:val="24"/>
        </w:rPr>
        <w:t xml:space="preserve">NORTHAMPTONSHIRE POLICE, FIRE &amp; </w:t>
      </w:r>
      <w:r w:rsidR="00444593">
        <w:rPr>
          <w:rFonts w:asciiTheme="minorHAnsi" w:hAnsiTheme="minorHAnsi" w:cstheme="minorHAnsi"/>
          <w:b/>
          <w:sz w:val="24"/>
          <w:szCs w:val="24"/>
        </w:rPr>
        <w:t>CRIME COMMISSIONER – 2025/26 BUDGETS</w:t>
      </w:r>
    </w:p>
    <w:p w14:paraId="76834323" w14:textId="40C5EF67" w:rsidR="00AE75DF" w:rsidRDefault="00AE75DF">
      <w:pPr>
        <w:spacing w:line="240" w:lineRule="auto"/>
        <w:rPr>
          <w:rFonts w:asciiTheme="minorHAnsi" w:hAnsiTheme="minorHAnsi" w:cstheme="minorHAnsi"/>
          <w:b/>
          <w:sz w:val="24"/>
          <w:szCs w:val="24"/>
        </w:rPr>
      </w:pPr>
    </w:p>
    <w:p w14:paraId="750D13C5" w14:textId="099A10CD" w:rsidR="002B58F7" w:rsidRPr="00444593" w:rsidRDefault="00FC4407" w:rsidP="00444593">
      <w:pPr>
        <w:pStyle w:val="PanelHeading"/>
        <w:jc w:val="center"/>
        <w:rPr>
          <w:b w:val="0"/>
          <w:bCs/>
          <w:u w:val="single"/>
        </w:rPr>
      </w:pPr>
      <w:r w:rsidRPr="00444593">
        <w:rPr>
          <w:b w:val="0"/>
          <w:bCs/>
          <w:u w:val="single"/>
        </w:rPr>
        <w:t>POLICE, FIRE AND CRIME COMMISSIONER – OFFICE BUDGET</w:t>
      </w:r>
    </w:p>
    <w:p w14:paraId="3DE821F9" w14:textId="77777777" w:rsidR="00DC3D4F" w:rsidRPr="00185C1B" w:rsidRDefault="00444B26" w:rsidP="00DC3D4F">
      <w:pPr>
        <w:pStyle w:val="PanelPara"/>
      </w:pPr>
      <w:r w:rsidRPr="00185C1B">
        <w:t>The PFCC manages t</w:t>
      </w:r>
      <w:r w:rsidR="00FA3B68" w:rsidRPr="00185C1B">
        <w:t>w</w:t>
      </w:r>
      <w:r w:rsidRPr="00185C1B">
        <w:t xml:space="preserve">o </w:t>
      </w:r>
      <w:r w:rsidR="00035F03" w:rsidRPr="00185C1B">
        <w:t>separate budget areas</w:t>
      </w:r>
      <w:r w:rsidR="00461F30" w:rsidRPr="00185C1B">
        <w:t>:</w:t>
      </w:r>
    </w:p>
    <w:p w14:paraId="3AD924FD" w14:textId="30111120" w:rsidR="00DC3D4F" w:rsidRPr="00185C1B" w:rsidRDefault="00461F30" w:rsidP="00CC0A00">
      <w:pPr>
        <w:pStyle w:val="PanelPara"/>
        <w:numPr>
          <w:ilvl w:val="1"/>
          <w:numId w:val="6"/>
        </w:numPr>
      </w:pPr>
      <w:r w:rsidRPr="00185C1B">
        <w:t xml:space="preserve">The cost of running </w:t>
      </w:r>
      <w:r w:rsidR="00151106" w:rsidRPr="00185C1B">
        <w:t>the</w:t>
      </w:r>
      <w:r w:rsidRPr="00185C1B">
        <w:t xml:space="preserve"> office</w:t>
      </w:r>
      <w:r w:rsidR="00997B4B" w:rsidRPr="00185C1B">
        <w:t xml:space="preserve">, </w:t>
      </w:r>
      <w:r w:rsidRPr="00185C1B">
        <w:t>t</w:t>
      </w:r>
      <w:r w:rsidR="00444B26" w:rsidRPr="00185C1B">
        <w:t xml:space="preserve">he </w:t>
      </w:r>
      <w:r w:rsidR="00BF4D7C" w:rsidRPr="00185C1B">
        <w:t>OPFCC.</w:t>
      </w:r>
      <w:r w:rsidR="00444B26" w:rsidRPr="00185C1B">
        <w:t xml:space="preserve">  </w:t>
      </w:r>
    </w:p>
    <w:p w14:paraId="2A62AE9E" w14:textId="316A9BBA" w:rsidR="001D2374" w:rsidRPr="00185C1B" w:rsidRDefault="00444B26" w:rsidP="00CC0A00">
      <w:pPr>
        <w:pStyle w:val="PanelPara"/>
        <w:numPr>
          <w:ilvl w:val="1"/>
          <w:numId w:val="6"/>
        </w:numPr>
      </w:pPr>
      <w:r w:rsidRPr="00185C1B">
        <w:t xml:space="preserve">Commissioning and Delivery </w:t>
      </w:r>
      <w:r w:rsidR="00185C1B" w:rsidRPr="00185C1B">
        <w:t>–</w:t>
      </w:r>
      <w:r w:rsidR="00461F30" w:rsidRPr="00185C1B">
        <w:t xml:space="preserve"> </w:t>
      </w:r>
      <w:r w:rsidR="00185C1B" w:rsidRPr="00185C1B">
        <w:t xml:space="preserve">funds for important prevention, reducing reoffending and victim support services.  </w:t>
      </w:r>
    </w:p>
    <w:p w14:paraId="53F67C94" w14:textId="7D426986" w:rsidR="001D2374" w:rsidRPr="00F2188E" w:rsidRDefault="00444B26" w:rsidP="00DC3D4F">
      <w:pPr>
        <w:pStyle w:val="PanelPara"/>
      </w:pPr>
      <w:r w:rsidRPr="00F2188E">
        <w:t xml:space="preserve">The office budget for </w:t>
      </w:r>
      <w:r w:rsidR="00220144" w:rsidRPr="00F2188E">
        <w:t>202</w:t>
      </w:r>
      <w:r w:rsidR="00185C1B" w:rsidRPr="00F2188E">
        <w:t>5</w:t>
      </w:r>
      <w:r w:rsidR="00220144" w:rsidRPr="00F2188E">
        <w:t>/2</w:t>
      </w:r>
      <w:r w:rsidR="00185C1B" w:rsidRPr="00F2188E">
        <w:t>6</w:t>
      </w:r>
      <w:r w:rsidRPr="00F2188E">
        <w:t xml:space="preserve"> </w:t>
      </w:r>
      <w:r w:rsidR="00A1250A" w:rsidRPr="00F2188E">
        <w:t xml:space="preserve">has </w:t>
      </w:r>
      <w:r w:rsidR="001D2374" w:rsidRPr="00F2188E">
        <w:t>an increase of £</w:t>
      </w:r>
      <w:r w:rsidR="00604C03">
        <w:t>0.</w:t>
      </w:r>
      <w:r w:rsidR="00185C1B" w:rsidRPr="00F2188E">
        <w:t>107</w:t>
      </w:r>
      <w:r w:rsidR="00604C03">
        <w:t>m</w:t>
      </w:r>
      <w:r w:rsidR="007C7571" w:rsidRPr="00F2188E">
        <w:t>, of which £</w:t>
      </w:r>
      <w:r w:rsidR="00604C03">
        <w:t>0.0</w:t>
      </w:r>
      <w:r w:rsidR="00F2188E" w:rsidRPr="00F2188E">
        <w:t>80</w:t>
      </w:r>
      <w:r w:rsidR="00604C03">
        <w:t>m</w:t>
      </w:r>
      <w:r w:rsidR="007C7571" w:rsidRPr="00F2188E">
        <w:t xml:space="preserve"> relates to </w:t>
      </w:r>
      <w:r w:rsidR="000952E6" w:rsidRPr="00F2188E">
        <w:t xml:space="preserve">staff </w:t>
      </w:r>
      <w:r w:rsidR="007C7571" w:rsidRPr="00F2188E">
        <w:t>pay inflation</w:t>
      </w:r>
      <w:r w:rsidR="00185C1B" w:rsidRPr="00F2188E">
        <w:t xml:space="preserve"> and </w:t>
      </w:r>
      <w:r w:rsidR="00F2188E">
        <w:t>n</w:t>
      </w:r>
      <w:r w:rsidR="00185C1B" w:rsidRPr="00F2188E">
        <w:t xml:space="preserve">ational </w:t>
      </w:r>
      <w:r w:rsidR="00F2188E">
        <w:t>i</w:t>
      </w:r>
      <w:r w:rsidR="00185C1B" w:rsidRPr="00F2188E">
        <w:t>nsurance increases, £</w:t>
      </w:r>
      <w:r w:rsidR="00604C03">
        <w:t>0.0</w:t>
      </w:r>
      <w:r w:rsidR="00F2188E" w:rsidRPr="00F2188E">
        <w:t>73</w:t>
      </w:r>
      <w:r w:rsidR="00604C03">
        <w:t>m</w:t>
      </w:r>
      <w:r w:rsidR="00185C1B" w:rsidRPr="00F2188E">
        <w:t xml:space="preserve"> for the Deputy PFCC post (£</w:t>
      </w:r>
      <w:r w:rsidR="00604C03">
        <w:t>0.0</w:t>
      </w:r>
      <w:r w:rsidR="00185C1B" w:rsidRPr="00F2188E">
        <w:t>55</w:t>
      </w:r>
      <w:r w:rsidR="00604C03">
        <w:t>m</w:t>
      </w:r>
      <w:r w:rsidR="00185C1B" w:rsidRPr="00F2188E">
        <w:t xml:space="preserve"> + on-costs),</w:t>
      </w:r>
      <w:r w:rsidR="007C7571" w:rsidRPr="00F2188E">
        <w:t xml:space="preserve"> </w:t>
      </w:r>
      <w:r w:rsidR="000952E6" w:rsidRPr="00F2188E">
        <w:t>offset by miscellaneous budget reductions of £</w:t>
      </w:r>
      <w:r w:rsidR="00604C03">
        <w:t>0.0</w:t>
      </w:r>
      <w:r w:rsidR="000952E6" w:rsidRPr="00F2188E">
        <w:t>4</w:t>
      </w:r>
      <w:r w:rsidR="00F2188E" w:rsidRPr="00F2188E">
        <w:t>6</w:t>
      </w:r>
      <w:r w:rsidR="00604C03">
        <w:t>m</w:t>
      </w:r>
      <w:r w:rsidR="007C7571" w:rsidRPr="00F2188E">
        <w:t xml:space="preserve">.  </w:t>
      </w:r>
    </w:p>
    <w:tbl>
      <w:tblPr>
        <w:tblW w:w="4960" w:type="dxa"/>
        <w:tblInd w:w="562" w:type="dxa"/>
        <w:tblLook w:val="04A0" w:firstRow="1" w:lastRow="0" w:firstColumn="1" w:lastColumn="0" w:noHBand="0" w:noVBand="1"/>
      </w:tblPr>
      <w:tblGrid>
        <w:gridCol w:w="1080"/>
        <w:gridCol w:w="2800"/>
        <w:gridCol w:w="1080"/>
      </w:tblGrid>
      <w:tr w:rsidR="00185C1B" w:rsidRPr="00185C1B" w14:paraId="69A213DC" w14:textId="77777777" w:rsidTr="00F2188E">
        <w:trPr>
          <w:trHeight w:val="630"/>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0AE7A5" w14:textId="77777777" w:rsidR="00185C1B" w:rsidRPr="00185C1B" w:rsidRDefault="00185C1B" w:rsidP="00185C1B">
            <w:pPr>
              <w:spacing w:line="240" w:lineRule="auto"/>
              <w:jc w:val="center"/>
              <w:rPr>
                <w:rFonts w:eastAsia="Times New Roman" w:cs="Calibri"/>
                <w:b/>
                <w:bCs/>
                <w:color w:val="000000"/>
                <w:sz w:val="24"/>
                <w:szCs w:val="24"/>
                <w:lang w:eastAsia="en-GB"/>
              </w:rPr>
            </w:pPr>
            <w:r w:rsidRPr="00185C1B">
              <w:rPr>
                <w:rFonts w:eastAsia="Times New Roman" w:cs="Calibri"/>
                <w:b/>
                <w:bCs/>
                <w:color w:val="000000"/>
                <w:sz w:val="24"/>
                <w:szCs w:val="24"/>
                <w:lang w:eastAsia="en-GB"/>
              </w:rPr>
              <w:t>2024/25</w:t>
            </w:r>
            <w:r w:rsidRPr="00185C1B">
              <w:rPr>
                <w:rFonts w:eastAsia="Times New Roman" w:cs="Calibri"/>
                <w:b/>
                <w:bCs/>
                <w:color w:val="000000"/>
                <w:sz w:val="24"/>
                <w:szCs w:val="24"/>
                <w:lang w:eastAsia="en-GB"/>
              </w:rPr>
              <w:br/>
              <w:t>£m</w:t>
            </w:r>
          </w:p>
        </w:tc>
        <w:tc>
          <w:tcPr>
            <w:tcW w:w="2800" w:type="dxa"/>
            <w:tcBorders>
              <w:top w:val="single" w:sz="4" w:space="0" w:color="auto"/>
              <w:left w:val="nil"/>
              <w:bottom w:val="single" w:sz="4" w:space="0" w:color="auto"/>
              <w:right w:val="single" w:sz="4" w:space="0" w:color="auto"/>
            </w:tcBorders>
            <w:shd w:val="clear" w:color="000000" w:fill="FFFFFF"/>
            <w:noWrap/>
            <w:vAlign w:val="center"/>
            <w:hideMark/>
          </w:tcPr>
          <w:p w14:paraId="7C6576AF" w14:textId="77777777" w:rsidR="00185C1B" w:rsidRPr="00185C1B" w:rsidRDefault="00185C1B" w:rsidP="00185C1B">
            <w:pPr>
              <w:spacing w:line="240" w:lineRule="auto"/>
              <w:jc w:val="center"/>
              <w:rPr>
                <w:rFonts w:eastAsia="Times New Roman" w:cs="Calibri"/>
                <w:b/>
                <w:bCs/>
                <w:color w:val="000000"/>
                <w:sz w:val="24"/>
                <w:szCs w:val="24"/>
                <w:lang w:eastAsia="en-GB"/>
              </w:rPr>
            </w:pPr>
            <w:r w:rsidRPr="00185C1B">
              <w:rPr>
                <w:rFonts w:eastAsia="Times New Roman" w:cs="Calibri"/>
                <w:b/>
                <w:bCs/>
                <w:color w:val="000000"/>
                <w:sz w:val="24"/>
                <w:szCs w:val="24"/>
                <w:lang w:eastAsia="en-GB"/>
              </w:rPr>
              <w:t>Budget Breakdown</w:t>
            </w:r>
          </w:p>
        </w:tc>
        <w:tc>
          <w:tcPr>
            <w:tcW w:w="1080" w:type="dxa"/>
            <w:tcBorders>
              <w:top w:val="single" w:sz="4" w:space="0" w:color="auto"/>
              <w:left w:val="nil"/>
              <w:bottom w:val="single" w:sz="4" w:space="0" w:color="auto"/>
              <w:right w:val="single" w:sz="4" w:space="0" w:color="auto"/>
            </w:tcBorders>
            <w:shd w:val="clear" w:color="000000" w:fill="D9D9D9"/>
            <w:vAlign w:val="center"/>
            <w:hideMark/>
          </w:tcPr>
          <w:p w14:paraId="5B871E4B" w14:textId="77777777" w:rsidR="00185C1B" w:rsidRPr="00185C1B" w:rsidRDefault="00185C1B" w:rsidP="00185C1B">
            <w:pPr>
              <w:spacing w:line="240" w:lineRule="auto"/>
              <w:jc w:val="center"/>
              <w:rPr>
                <w:rFonts w:eastAsia="Times New Roman" w:cs="Calibri"/>
                <w:b/>
                <w:bCs/>
                <w:color w:val="000000"/>
                <w:sz w:val="24"/>
                <w:szCs w:val="24"/>
                <w:lang w:eastAsia="en-GB"/>
              </w:rPr>
            </w:pPr>
            <w:r w:rsidRPr="00185C1B">
              <w:rPr>
                <w:rFonts w:eastAsia="Times New Roman" w:cs="Calibri"/>
                <w:b/>
                <w:bCs/>
                <w:color w:val="000000"/>
                <w:sz w:val="24"/>
                <w:szCs w:val="24"/>
                <w:lang w:eastAsia="en-GB"/>
              </w:rPr>
              <w:t>2025/26</w:t>
            </w:r>
            <w:r w:rsidRPr="00185C1B">
              <w:rPr>
                <w:rFonts w:eastAsia="Times New Roman" w:cs="Calibri"/>
                <w:b/>
                <w:bCs/>
                <w:color w:val="000000"/>
                <w:sz w:val="24"/>
                <w:szCs w:val="24"/>
                <w:lang w:eastAsia="en-GB"/>
              </w:rPr>
              <w:br/>
              <w:t>£m</w:t>
            </w:r>
          </w:p>
        </w:tc>
      </w:tr>
      <w:tr w:rsidR="00185C1B" w:rsidRPr="00185C1B" w14:paraId="272787D6" w14:textId="77777777" w:rsidTr="00F2188E">
        <w:trPr>
          <w:trHeight w:val="315"/>
        </w:trPr>
        <w:tc>
          <w:tcPr>
            <w:tcW w:w="1080" w:type="dxa"/>
            <w:tcBorders>
              <w:top w:val="nil"/>
              <w:left w:val="single" w:sz="4" w:space="0" w:color="auto"/>
              <w:bottom w:val="nil"/>
              <w:right w:val="single" w:sz="4" w:space="0" w:color="auto"/>
            </w:tcBorders>
            <w:shd w:val="clear" w:color="000000" w:fill="FFFFFF"/>
            <w:noWrap/>
            <w:vAlign w:val="bottom"/>
            <w:hideMark/>
          </w:tcPr>
          <w:p w14:paraId="09E0DF5A" w14:textId="77777777" w:rsidR="00185C1B" w:rsidRPr="00185C1B" w:rsidRDefault="00185C1B" w:rsidP="00185C1B">
            <w:pPr>
              <w:spacing w:line="240" w:lineRule="auto"/>
              <w:jc w:val="right"/>
              <w:rPr>
                <w:rFonts w:eastAsia="Times New Roman" w:cs="Calibri"/>
                <w:color w:val="000000"/>
                <w:sz w:val="24"/>
                <w:szCs w:val="24"/>
                <w:lang w:eastAsia="en-GB"/>
              </w:rPr>
            </w:pPr>
            <w:r w:rsidRPr="00185C1B">
              <w:rPr>
                <w:rFonts w:eastAsia="Times New Roman" w:cs="Calibri"/>
                <w:color w:val="000000"/>
                <w:sz w:val="24"/>
                <w:szCs w:val="24"/>
                <w:lang w:eastAsia="en-GB"/>
              </w:rPr>
              <w:t>1.024</w:t>
            </w:r>
          </w:p>
        </w:tc>
        <w:tc>
          <w:tcPr>
            <w:tcW w:w="2800" w:type="dxa"/>
            <w:tcBorders>
              <w:top w:val="nil"/>
              <w:left w:val="nil"/>
              <w:bottom w:val="nil"/>
              <w:right w:val="single" w:sz="4" w:space="0" w:color="auto"/>
            </w:tcBorders>
            <w:shd w:val="clear" w:color="000000" w:fill="FFFFFF"/>
            <w:noWrap/>
            <w:vAlign w:val="bottom"/>
            <w:hideMark/>
          </w:tcPr>
          <w:p w14:paraId="12E53FE9" w14:textId="77777777" w:rsidR="00185C1B" w:rsidRPr="00185C1B" w:rsidRDefault="00185C1B" w:rsidP="00185C1B">
            <w:pPr>
              <w:spacing w:line="240" w:lineRule="auto"/>
              <w:rPr>
                <w:rFonts w:eastAsia="Times New Roman" w:cs="Calibri"/>
                <w:color w:val="000000"/>
                <w:sz w:val="24"/>
                <w:szCs w:val="24"/>
                <w:lang w:eastAsia="en-GB"/>
              </w:rPr>
            </w:pPr>
            <w:r w:rsidRPr="00185C1B">
              <w:rPr>
                <w:rFonts w:eastAsia="Times New Roman" w:cs="Calibri"/>
                <w:color w:val="000000"/>
                <w:sz w:val="24"/>
                <w:szCs w:val="24"/>
                <w:lang w:eastAsia="en-GB"/>
              </w:rPr>
              <w:t>Staff Costs</w:t>
            </w:r>
          </w:p>
        </w:tc>
        <w:tc>
          <w:tcPr>
            <w:tcW w:w="1080" w:type="dxa"/>
            <w:tcBorders>
              <w:top w:val="nil"/>
              <w:left w:val="nil"/>
              <w:bottom w:val="nil"/>
              <w:right w:val="single" w:sz="4" w:space="0" w:color="auto"/>
            </w:tcBorders>
            <w:shd w:val="clear" w:color="000000" w:fill="D9D9D9"/>
            <w:noWrap/>
            <w:vAlign w:val="bottom"/>
            <w:hideMark/>
          </w:tcPr>
          <w:p w14:paraId="7FD19AAB" w14:textId="77777777" w:rsidR="00185C1B" w:rsidRPr="00185C1B" w:rsidRDefault="00185C1B" w:rsidP="00185C1B">
            <w:pPr>
              <w:spacing w:line="240" w:lineRule="auto"/>
              <w:jc w:val="right"/>
              <w:rPr>
                <w:rFonts w:eastAsia="Times New Roman" w:cs="Calibri"/>
                <w:color w:val="000000"/>
                <w:sz w:val="24"/>
                <w:szCs w:val="24"/>
                <w:lang w:eastAsia="en-GB"/>
              </w:rPr>
            </w:pPr>
            <w:r w:rsidRPr="00185C1B">
              <w:rPr>
                <w:rFonts w:eastAsia="Times New Roman" w:cs="Calibri"/>
                <w:color w:val="000000"/>
                <w:sz w:val="24"/>
                <w:szCs w:val="24"/>
                <w:lang w:eastAsia="en-GB"/>
              </w:rPr>
              <w:t>1.162</w:t>
            </w:r>
          </w:p>
        </w:tc>
      </w:tr>
      <w:tr w:rsidR="00185C1B" w:rsidRPr="00185C1B" w14:paraId="22B8B201" w14:textId="77777777" w:rsidTr="00F2188E">
        <w:trPr>
          <w:trHeight w:val="315"/>
        </w:trPr>
        <w:tc>
          <w:tcPr>
            <w:tcW w:w="1080" w:type="dxa"/>
            <w:tcBorders>
              <w:top w:val="nil"/>
              <w:left w:val="single" w:sz="4" w:space="0" w:color="auto"/>
              <w:bottom w:val="nil"/>
              <w:right w:val="single" w:sz="4" w:space="0" w:color="auto"/>
            </w:tcBorders>
            <w:shd w:val="clear" w:color="000000" w:fill="FFFFFF"/>
            <w:noWrap/>
            <w:vAlign w:val="bottom"/>
            <w:hideMark/>
          </w:tcPr>
          <w:p w14:paraId="3292DE02" w14:textId="77777777" w:rsidR="00185C1B" w:rsidRPr="00185C1B" w:rsidRDefault="00185C1B" w:rsidP="00185C1B">
            <w:pPr>
              <w:spacing w:line="240" w:lineRule="auto"/>
              <w:jc w:val="right"/>
              <w:rPr>
                <w:rFonts w:eastAsia="Times New Roman" w:cs="Calibri"/>
                <w:color w:val="000000"/>
                <w:sz w:val="24"/>
                <w:szCs w:val="24"/>
                <w:lang w:eastAsia="en-GB"/>
              </w:rPr>
            </w:pPr>
            <w:r w:rsidRPr="00185C1B">
              <w:rPr>
                <w:rFonts w:eastAsia="Times New Roman" w:cs="Calibri"/>
                <w:color w:val="000000"/>
                <w:sz w:val="24"/>
                <w:szCs w:val="24"/>
                <w:lang w:eastAsia="en-GB"/>
              </w:rPr>
              <w:t>0.293</w:t>
            </w:r>
          </w:p>
        </w:tc>
        <w:tc>
          <w:tcPr>
            <w:tcW w:w="2800" w:type="dxa"/>
            <w:tcBorders>
              <w:top w:val="nil"/>
              <w:left w:val="nil"/>
              <w:bottom w:val="nil"/>
              <w:right w:val="single" w:sz="4" w:space="0" w:color="auto"/>
            </w:tcBorders>
            <w:shd w:val="clear" w:color="000000" w:fill="FFFFFF"/>
            <w:noWrap/>
            <w:vAlign w:val="bottom"/>
            <w:hideMark/>
          </w:tcPr>
          <w:p w14:paraId="475BAE38" w14:textId="77777777" w:rsidR="00185C1B" w:rsidRPr="00185C1B" w:rsidRDefault="00185C1B" w:rsidP="00185C1B">
            <w:pPr>
              <w:spacing w:line="240" w:lineRule="auto"/>
              <w:rPr>
                <w:rFonts w:eastAsia="Times New Roman" w:cs="Calibri"/>
                <w:color w:val="000000"/>
                <w:sz w:val="24"/>
                <w:szCs w:val="24"/>
                <w:lang w:eastAsia="en-GB"/>
              </w:rPr>
            </w:pPr>
            <w:r w:rsidRPr="00185C1B">
              <w:rPr>
                <w:rFonts w:eastAsia="Times New Roman" w:cs="Calibri"/>
                <w:color w:val="000000"/>
                <w:sz w:val="24"/>
                <w:szCs w:val="24"/>
                <w:lang w:eastAsia="en-GB"/>
              </w:rPr>
              <w:t>Other Office Costs</w:t>
            </w:r>
          </w:p>
        </w:tc>
        <w:tc>
          <w:tcPr>
            <w:tcW w:w="1080" w:type="dxa"/>
            <w:tcBorders>
              <w:top w:val="nil"/>
              <w:left w:val="nil"/>
              <w:bottom w:val="nil"/>
              <w:right w:val="single" w:sz="4" w:space="0" w:color="auto"/>
            </w:tcBorders>
            <w:shd w:val="clear" w:color="000000" w:fill="D9D9D9"/>
            <w:noWrap/>
            <w:vAlign w:val="bottom"/>
            <w:hideMark/>
          </w:tcPr>
          <w:p w14:paraId="23377CBA" w14:textId="77777777" w:rsidR="00185C1B" w:rsidRPr="00185C1B" w:rsidRDefault="00185C1B" w:rsidP="00185C1B">
            <w:pPr>
              <w:spacing w:line="240" w:lineRule="auto"/>
              <w:jc w:val="right"/>
              <w:rPr>
                <w:rFonts w:eastAsia="Times New Roman" w:cs="Calibri"/>
                <w:color w:val="000000"/>
                <w:sz w:val="24"/>
                <w:szCs w:val="24"/>
                <w:lang w:eastAsia="en-GB"/>
              </w:rPr>
            </w:pPr>
            <w:r w:rsidRPr="00185C1B">
              <w:rPr>
                <w:rFonts w:eastAsia="Times New Roman" w:cs="Calibri"/>
                <w:color w:val="000000"/>
                <w:sz w:val="24"/>
                <w:szCs w:val="24"/>
                <w:lang w:eastAsia="en-GB"/>
              </w:rPr>
              <w:t>0.262</w:t>
            </w:r>
          </w:p>
        </w:tc>
      </w:tr>
      <w:tr w:rsidR="00185C1B" w:rsidRPr="00185C1B" w14:paraId="5580D3D9" w14:textId="77777777" w:rsidTr="00F2188E">
        <w:trPr>
          <w:trHeight w:val="315"/>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91A050" w14:textId="77777777" w:rsidR="00185C1B" w:rsidRPr="00185C1B" w:rsidRDefault="00185C1B" w:rsidP="00185C1B">
            <w:pPr>
              <w:spacing w:line="240" w:lineRule="auto"/>
              <w:jc w:val="right"/>
              <w:rPr>
                <w:rFonts w:eastAsia="Times New Roman" w:cs="Calibri"/>
                <w:b/>
                <w:bCs/>
                <w:color w:val="000000"/>
                <w:sz w:val="24"/>
                <w:szCs w:val="24"/>
                <w:lang w:eastAsia="en-GB"/>
              </w:rPr>
            </w:pPr>
            <w:r w:rsidRPr="00185C1B">
              <w:rPr>
                <w:rFonts w:eastAsia="Times New Roman" w:cs="Calibri"/>
                <w:b/>
                <w:bCs/>
                <w:color w:val="000000"/>
                <w:sz w:val="24"/>
                <w:szCs w:val="24"/>
                <w:lang w:eastAsia="en-GB"/>
              </w:rPr>
              <w:t>1.317</w:t>
            </w:r>
          </w:p>
        </w:tc>
        <w:tc>
          <w:tcPr>
            <w:tcW w:w="2800" w:type="dxa"/>
            <w:tcBorders>
              <w:top w:val="single" w:sz="4" w:space="0" w:color="auto"/>
              <w:left w:val="nil"/>
              <w:bottom w:val="single" w:sz="4" w:space="0" w:color="auto"/>
              <w:right w:val="single" w:sz="4" w:space="0" w:color="auto"/>
            </w:tcBorders>
            <w:shd w:val="clear" w:color="000000" w:fill="FFFFFF"/>
            <w:noWrap/>
            <w:vAlign w:val="bottom"/>
            <w:hideMark/>
          </w:tcPr>
          <w:p w14:paraId="47BFEFA2" w14:textId="77777777" w:rsidR="00185C1B" w:rsidRPr="00185C1B" w:rsidRDefault="00185C1B" w:rsidP="00185C1B">
            <w:pPr>
              <w:spacing w:line="240" w:lineRule="auto"/>
              <w:rPr>
                <w:rFonts w:eastAsia="Times New Roman" w:cs="Calibri"/>
                <w:b/>
                <w:bCs/>
                <w:color w:val="000000"/>
                <w:sz w:val="24"/>
                <w:szCs w:val="24"/>
                <w:lang w:eastAsia="en-GB"/>
              </w:rPr>
            </w:pPr>
            <w:r w:rsidRPr="00185C1B">
              <w:rPr>
                <w:rFonts w:eastAsia="Times New Roman" w:cs="Calibri"/>
                <w:b/>
                <w:bCs/>
                <w:color w:val="000000"/>
                <w:sz w:val="24"/>
                <w:szCs w:val="24"/>
                <w:lang w:eastAsia="en-GB"/>
              </w:rPr>
              <w:t>Total OPFCC</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14:paraId="2958FA23" w14:textId="77777777" w:rsidR="00185C1B" w:rsidRPr="00185C1B" w:rsidRDefault="00185C1B" w:rsidP="00185C1B">
            <w:pPr>
              <w:spacing w:line="240" w:lineRule="auto"/>
              <w:jc w:val="right"/>
              <w:rPr>
                <w:rFonts w:eastAsia="Times New Roman" w:cs="Calibri"/>
                <w:b/>
                <w:bCs/>
                <w:color w:val="000000"/>
                <w:sz w:val="24"/>
                <w:szCs w:val="24"/>
                <w:lang w:eastAsia="en-GB"/>
              </w:rPr>
            </w:pPr>
            <w:r w:rsidRPr="00185C1B">
              <w:rPr>
                <w:rFonts w:eastAsia="Times New Roman" w:cs="Calibri"/>
                <w:b/>
                <w:bCs/>
                <w:color w:val="000000"/>
                <w:sz w:val="24"/>
                <w:szCs w:val="24"/>
                <w:lang w:eastAsia="en-GB"/>
              </w:rPr>
              <w:t>1.424</w:t>
            </w:r>
          </w:p>
        </w:tc>
      </w:tr>
    </w:tbl>
    <w:p w14:paraId="1101E092" w14:textId="77777777" w:rsidR="0074315C" w:rsidRPr="00A81E04" w:rsidRDefault="0074315C" w:rsidP="0074315C">
      <w:pPr>
        <w:pStyle w:val="NoSpacing"/>
        <w:rPr>
          <w:highlight w:val="yellow"/>
        </w:rPr>
      </w:pPr>
    </w:p>
    <w:p w14:paraId="66F1BE26" w14:textId="4E67A745" w:rsidR="001E64A9" w:rsidRPr="00F2188E" w:rsidRDefault="00A1250A" w:rsidP="00FE5CC0">
      <w:pPr>
        <w:pStyle w:val="PanelPara"/>
      </w:pPr>
      <w:r w:rsidRPr="00F2188E">
        <w:t>The PFCC endeavour</w:t>
      </w:r>
      <w:r w:rsidR="00F2188E" w:rsidRPr="00F2188E">
        <w:t>s</w:t>
      </w:r>
      <w:r w:rsidRPr="00F2188E">
        <w:t xml:space="preserve"> to ensure that the cost of staffing </w:t>
      </w:r>
      <w:r w:rsidR="00F2188E" w:rsidRPr="00F2188E">
        <w:t>the</w:t>
      </w:r>
      <w:r w:rsidRPr="00F2188E">
        <w:t xml:space="preserve"> office is less than 1% of the </w:t>
      </w:r>
      <w:r w:rsidR="005A78E0" w:rsidRPr="00F2188E">
        <w:t xml:space="preserve">police </w:t>
      </w:r>
      <w:r w:rsidRPr="00F2188E">
        <w:t xml:space="preserve">budget. </w:t>
      </w:r>
      <w:r w:rsidR="00FE5CC0" w:rsidRPr="00F2188E">
        <w:t xml:space="preserve"> </w:t>
      </w:r>
      <w:r w:rsidR="00F2188E" w:rsidRPr="00F2188E">
        <w:t xml:space="preserve">In 2025/26, the office budget is </w:t>
      </w:r>
      <w:r w:rsidRPr="00F2188E">
        <w:t xml:space="preserve">approximately </w:t>
      </w:r>
      <w:r w:rsidRPr="00F2188E">
        <w:rPr>
          <w:b/>
          <w:bCs/>
        </w:rPr>
        <w:t>0.</w:t>
      </w:r>
      <w:r w:rsidR="00714120">
        <w:rPr>
          <w:b/>
          <w:bCs/>
        </w:rPr>
        <w:t>7</w:t>
      </w:r>
      <w:r w:rsidRPr="00F2188E">
        <w:rPr>
          <w:b/>
          <w:bCs/>
        </w:rPr>
        <w:t>%</w:t>
      </w:r>
      <w:r w:rsidRPr="00F2188E">
        <w:t xml:space="preserve"> of the total </w:t>
      </w:r>
      <w:r w:rsidR="009E47D7" w:rsidRPr="00F2188E">
        <w:t>police</w:t>
      </w:r>
      <w:r w:rsidRPr="00F2188E">
        <w:t xml:space="preserve"> budget.</w:t>
      </w:r>
    </w:p>
    <w:p w14:paraId="4907506E" w14:textId="5772854C" w:rsidR="001D0E11" w:rsidRDefault="001E64A9" w:rsidP="0035748F">
      <w:pPr>
        <w:pStyle w:val="PanelPara"/>
      </w:pPr>
      <w:r w:rsidRPr="00F2188E">
        <w:t>The OPFCC provides statutory governance services to NCFRA</w:t>
      </w:r>
      <w:r w:rsidR="00FE5CC0" w:rsidRPr="00F2188E">
        <w:t xml:space="preserve"> </w:t>
      </w:r>
      <w:r w:rsidR="00F2188E" w:rsidRPr="00F2188E">
        <w:t xml:space="preserve">(Fire) </w:t>
      </w:r>
      <w:r w:rsidR="00FE5CC0" w:rsidRPr="00F2188E">
        <w:t>and has a costing methodology in place to ensure NCFRA contributes an appropriate amount</w:t>
      </w:r>
      <w:r w:rsidRPr="00F2188E">
        <w:t xml:space="preserve">. </w:t>
      </w:r>
      <w:r w:rsidR="00FE5CC0" w:rsidRPr="00F2188E">
        <w:t xml:space="preserve"> </w:t>
      </w:r>
      <w:r w:rsidRPr="00F2188E">
        <w:t>In</w:t>
      </w:r>
      <w:r w:rsidR="00FE5CC0" w:rsidRPr="00F2188E">
        <w:t>-</w:t>
      </w:r>
      <w:r w:rsidRPr="00F2188E">
        <w:t>keeping with the Home Office Financial Management Code of Practice; where Fire costs can be reasonably estimated, they have been</w:t>
      </w:r>
      <w:r w:rsidR="00B02BB4" w:rsidRPr="00F2188E">
        <w:t xml:space="preserve">. </w:t>
      </w:r>
      <w:r w:rsidR="00FE5CC0" w:rsidRPr="00F2188E">
        <w:t xml:space="preserve"> </w:t>
      </w:r>
      <w:r w:rsidR="00B02BB4" w:rsidRPr="00F2188E">
        <w:t>O</w:t>
      </w:r>
      <w:r w:rsidRPr="00F2188E">
        <w:t xml:space="preserve">therwise, a pro-rata funding allocation has been used, to ensure integrity and transparency of both </w:t>
      </w:r>
      <w:r w:rsidR="002E221A" w:rsidRPr="00F2188E">
        <w:t>f</w:t>
      </w:r>
      <w:r w:rsidRPr="00F2188E">
        <w:t>ire and policing funds in line with the Treasury’s “Managing Public Money” requirements.</w:t>
      </w:r>
    </w:p>
    <w:p w14:paraId="68A8CBC1" w14:textId="77777777" w:rsidR="00E6098A" w:rsidRPr="00F2188E" w:rsidRDefault="00E6098A" w:rsidP="00AE75DF"/>
    <w:p w14:paraId="5EC38C46" w14:textId="6E87D9A8" w:rsidR="000E5161" w:rsidRPr="00444593" w:rsidRDefault="00FC4407" w:rsidP="00444593">
      <w:pPr>
        <w:pStyle w:val="PanelHeading"/>
        <w:jc w:val="center"/>
        <w:rPr>
          <w:b w:val="0"/>
          <w:bCs/>
          <w:u w:val="single"/>
        </w:rPr>
      </w:pPr>
      <w:r w:rsidRPr="00444593">
        <w:rPr>
          <w:b w:val="0"/>
          <w:bCs/>
          <w:u w:val="single"/>
        </w:rPr>
        <w:t>POLICE, FIRE AND CRIME COMMISSIONER – COMMISSIONING AND DELIVERY BUDGETS</w:t>
      </w:r>
    </w:p>
    <w:p w14:paraId="0B3CE711" w14:textId="58953660" w:rsidR="00E6098A" w:rsidRDefault="00E6098A" w:rsidP="00E6098A">
      <w:pPr>
        <w:pStyle w:val="PanelPara"/>
      </w:pPr>
      <w:r w:rsidRPr="00E6098A">
        <w:t xml:space="preserve">The OPFCC undertake a wide range of delivery activities, providing </w:t>
      </w:r>
      <w:r>
        <w:t xml:space="preserve">in-house </w:t>
      </w:r>
      <w:r w:rsidRPr="00E6098A">
        <w:t>services directly to residents of Northamptonshire</w:t>
      </w:r>
      <w:r>
        <w:t xml:space="preserve"> and </w:t>
      </w:r>
      <w:r w:rsidRPr="00E6098A">
        <w:t>commission</w:t>
      </w:r>
      <w:r>
        <w:t>ing</w:t>
      </w:r>
      <w:r w:rsidRPr="00E6098A">
        <w:t xml:space="preserve"> services from partners and other organisations.</w:t>
      </w:r>
      <w:r>
        <w:t xml:space="preserve">  The budget breakdown compared to last year is as follows:</w:t>
      </w:r>
    </w:p>
    <w:p w14:paraId="484C2E05" w14:textId="77777777" w:rsidR="00AE75DF" w:rsidRDefault="00AE75DF" w:rsidP="00AE75DF">
      <w:pPr>
        <w:pStyle w:val="PanelPara"/>
        <w:numPr>
          <w:ilvl w:val="0"/>
          <w:numId w:val="0"/>
        </w:numPr>
        <w:ind w:left="567" w:hanging="567"/>
      </w:pPr>
    </w:p>
    <w:p w14:paraId="4A55D1E3" w14:textId="77777777" w:rsidR="00AE75DF" w:rsidRDefault="00AE75DF" w:rsidP="00AE75DF">
      <w:pPr>
        <w:pStyle w:val="PanelPara"/>
        <w:numPr>
          <w:ilvl w:val="0"/>
          <w:numId w:val="0"/>
        </w:numPr>
        <w:ind w:left="567" w:hanging="567"/>
      </w:pPr>
    </w:p>
    <w:p w14:paraId="1AFD1BC4" w14:textId="77777777" w:rsidR="00AE75DF" w:rsidRDefault="00AE75DF" w:rsidP="00AE75DF">
      <w:pPr>
        <w:pStyle w:val="PanelPara"/>
        <w:numPr>
          <w:ilvl w:val="0"/>
          <w:numId w:val="0"/>
        </w:numPr>
        <w:ind w:left="567" w:hanging="567"/>
      </w:pPr>
    </w:p>
    <w:p w14:paraId="6B0F5E85" w14:textId="77777777" w:rsidR="00AE75DF" w:rsidRPr="00E6098A" w:rsidRDefault="00AE75DF" w:rsidP="00AE75DF">
      <w:pPr>
        <w:pStyle w:val="PanelPara"/>
        <w:numPr>
          <w:ilvl w:val="0"/>
          <w:numId w:val="0"/>
        </w:numPr>
        <w:ind w:left="567" w:hanging="567"/>
      </w:pPr>
    </w:p>
    <w:tbl>
      <w:tblPr>
        <w:tblW w:w="9214" w:type="dxa"/>
        <w:tblInd w:w="562" w:type="dxa"/>
        <w:tblLook w:val="04A0" w:firstRow="1" w:lastRow="0" w:firstColumn="1" w:lastColumn="0" w:noHBand="0" w:noVBand="1"/>
      </w:tblPr>
      <w:tblGrid>
        <w:gridCol w:w="866"/>
        <w:gridCol w:w="856"/>
        <w:gridCol w:w="830"/>
        <w:gridCol w:w="4080"/>
        <w:gridCol w:w="866"/>
        <w:gridCol w:w="878"/>
        <w:gridCol w:w="838"/>
      </w:tblGrid>
      <w:tr w:rsidR="00E6098A" w:rsidRPr="00E6098A" w14:paraId="601128F6" w14:textId="77777777" w:rsidTr="00E6098A">
        <w:trPr>
          <w:trHeight w:val="300"/>
        </w:trPr>
        <w:tc>
          <w:tcPr>
            <w:tcW w:w="2552" w:type="dxa"/>
            <w:gridSpan w:val="3"/>
            <w:tcBorders>
              <w:top w:val="single" w:sz="4" w:space="0" w:color="auto"/>
              <w:left w:val="single" w:sz="4" w:space="0" w:color="auto"/>
              <w:bottom w:val="nil"/>
              <w:right w:val="nil"/>
            </w:tcBorders>
            <w:shd w:val="clear" w:color="000000" w:fill="FFFFFF"/>
            <w:noWrap/>
            <w:vAlign w:val="bottom"/>
            <w:hideMark/>
          </w:tcPr>
          <w:p w14:paraId="67BDCBF3"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2024/25</w:t>
            </w:r>
          </w:p>
        </w:tc>
        <w:tc>
          <w:tcPr>
            <w:tcW w:w="4080" w:type="dxa"/>
            <w:tcBorders>
              <w:top w:val="single" w:sz="4" w:space="0" w:color="auto"/>
              <w:left w:val="single" w:sz="4" w:space="0" w:color="auto"/>
              <w:bottom w:val="nil"/>
              <w:right w:val="single" w:sz="4" w:space="0" w:color="auto"/>
            </w:tcBorders>
            <w:shd w:val="clear" w:color="000000" w:fill="FFFFFF"/>
            <w:noWrap/>
            <w:vAlign w:val="bottom"/>
            <w:hideMark/>
          </w:tcPr>
          <w:p w14:paraId="77460D14"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Delivery and Commissioning Budgets</w:t>
            </w:r>
          </w:p>
        </w:tc>
        <w:tc>
          <w:tcPr>
            <w:tcW w:w="2582" w:type="dxa"/>
            <w:gridSpan w:val="3"/>
            <w:tcBorders>
              <w:top w:val="single" w:sz="4" w:space="0" w:color="auto"/>
              <w:left w:val="nil"/>
              <w:bottom w:val="nil"/>
              <w:right w:val="single" w:sz="4" w:space="0" w:color="000000"/>
            </w:tcBorders>
            <w:shd w:val="clear" w:color="000000" w:fill="D9D9D9"/>
            <w:noWrap/>
            <w:vAlign w:val="bottom"/>
            <w:hideMark/>
          </w:tcPr>
          <w:p w14:paraId="5570B65E"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2025/26</w:t>
            </w:r>
          </w:p>
        </w:tc>
      </w:tr>
      <w:tr w:rsidR="00E6098A" w:rsidRPr="00E6098A" w14:paraId="7F2A2FC1" w14:textId="77777777" w:rsidTr="00E6098A">
        <w:trPr>
          <w:trHeight w:val="525"/>
        </w:trPr>
        <w:tc>
          <w:tcPr>
            <w:tcW w:w="866" w:type="dxa"/>
            <w:tcBorders>
              <w:top w:val="single" w:sz="4" w:space="0" w:color="auto"/>
              <w:left w:val="single" w:sz="4" w:space="0" w:color="auto"/>
              <w:bottom w:val="nil"/>
              <w:right w:val="nil"/>
            </w:tcBorders>
            <w:shd w:val="clear" w:color="000000" w:fill="FFFFFF"/>
            <w:noWrap/>
            <w:vAlign w:val="bottom"/>
            <w:hideMark/>
          </w:tcPr>
          <w:p w14:paraId="0D5D4607"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Budget</w:t>
            </w:r>
          </w:p>
        </w:tc>
        <w:tc>
          <w:tcPr>
            <w:tcW w:w="856" w:type="dxa"/>
            <w:tcBorders>
              <w:top w:val="single" w:sz="4" w:space="0" w:color="auto"/>
              <w:left w:val="single" w:sz="4" w:space="0" w:color="auto"/>
              <w:bottom w:val="nil"/>
              <w:right w:val="single" w:sz="4" w:space="0" w:color="auto"/>
            </w:tcBorders>
            <w:shd w:val="clear" w:color="000000" w:fill="FFFFFF"/>
            <w:vAlign w:val="bottom"/>
            <w:hideMark/>
          </w:tcPr>
          <w:p w14:paraId="4E543A28"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Grants/ Income</w:t>
            </w:r>
          </w:p>
        </w:tc>
        <w:tc>
          <w:tcPr>
            <w:tcW w:w="830" w:type="dxa"/>
            <w:tcBorders>
              <w:top w:val="single" w:sz="4" w:space="0" w:color="auto"/>
              <w:left w:val="nil"/>
              <w:bottom w:val="nil"/>
              <w:right w:val="nil"/>
            </w:tcBorders>
            <w:shd w:val="clear" w:color="000000" w:fill="FFFFFF"/>
            <w:noWrap/>
            <w:vAlign w:val="bottom"/>
            <w:hideMark/>
          </w:tcPr>
          <w:p w14:paraId="1047F28A"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Net</w:t>
            </w:r>
          </w:p>
        </w:tc>
        <w:tc>
          <w:tcPr>
            <w:tcW w:w="4080" w:type="dxa"/>
            <w:tcBorders>
              <w:top w:val="nil"/>
              <w:left w:val="single" w:sz="4" w:space="0" w:color="auto"/>
              <w:bottom w:val="nil"/>
              <w:right w:val="single" w:sz="4" w:space="0" w:color="auto"/>
            </w:tcBorders>
            <w:shd w:val="clear" w:color="000000" w:fill="FFFFFF"/>
            <w:noWrap/>
            <w:vAlign w:val="bottom"/>
            <w:hideMark/>
          </w:tcPr>
          <w:p w14:paraId="33306217"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 </w:t>
            </w:r>
          </w:p>
        </w:tc>
        <w:tc>
          <w:tcPr>
            <w:tcW w:w="866" w:type="dxa"/>
            <w:tcBorders>
              <w:top w:val="single" w:sz="4" w:space="0" w:color="auto"/>
              <w:left w:val="nil"/>
              <w:bottom w:val="nil"/>
              <w:right w:val="nil"/>
            </w:tcBorders>
            <w:shd w:val="clear" w:color="000000" w:fill="D9D9D9"/>
            <w:noWrap/>
            <w:vAlign w:val="bottom"/>
            <w:hideMark/>
          </w:tcPr>
          <w:p w14:paraId="622FCA8B"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Budget</w:t>
            </w:r>
          </w:p>
        </w:tc>
        <w:tc>
          <w:tcPr>
            <w:tcW w:w="878" w:type="dxa"/>
            <w:tcBorders>
              <w:top w:val="single" w:sz="4" w:space="0" w:color="auto"/>
              <w:left w:val="single" w:sz="4" w:space="0" w:color="auto"/>
              <w:bottom w:val="nil"/>
              <w:right w:val="single" w:sz="4" w:space="0" w:color="auto"/>
            </w:tcBorders>
            <w:shd w:val="clear" w:color="000000" w:fill="D9D9D9"/>
            <w:vAlign w:val="bottom"/>
            <w:hideMark/>
          </w:tcPr>
          <w:p w14:paraId="5E7A2D8E"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Grants/ Income</w:t>
            </w:r>
          </w:p>
        </w:tc>
        <w:tc>
          <w:tcPr>
            <w:tcW w:w="838" w:type="dxa"/>
            <w:tcBorders>
              <w:top w:val="single" w:sz="4" w:space="0" w:color="auto"/>
              <w:left w:val="nil"/>
              <w:bottom w:val="nil"/>
              <w:right w:val="single" w:sz="4" w:space="0" w:color="auto"/>
            </w:tcBorders>
            <w:shd w:val="clear" w:color="000000" w:fill="D9D9D9"/>
            <w:noWrap/>
            <w:vAlign w:val="bottom"/>
            <w:hideMark/>
          </w:tcPr>
          <w:p w14:paraId="1032927B"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Net</w:t>
            </w:r>
          </w:p>
        </w:tc>
      </w:tr>
      <w:tr w:rsidR="00E6098A" w:rsidRPr="00E6098A" w14:paraId="55A8B8D0" w14:textId="77777777" w:rsidTr="00E6098A">
        <w:trPr>
          <w:trHeight w:val="300"/>
        </w:trPr>
        <w:tc>
          <w:tcPr>
            <w:tcW w:w="866" w:type="dxa"/>
            <w:tcBorders>
              <w:top w:val="nil"/>
              <w:left w:val="single" w:sz="4" w:space="0" w:color="auto"/>
              <w:bottom w:val="single" w:sz="4" w:space="0" w:color="auto"/>
              <w:right w:val="nil"/>
            </w:tcBorders>
            <w:shd w:val="clear" w:color="000000" w:fill="FFFFFF"/>
            <w:noWrap/>
            <w:vAlign w:val="bottom"/>
            <w:hideMark/>
          </w:tcPr>
          <w:p w14:paraId="1076EC5D"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£m</w:t>
            </w:r>
          </w:p>
        </w:tc>
        <w:tc>
          <w:tcPr>
            <w:tcW w:w="856" w:type="dxa"/>
            <w:tcBorders>
              <w:top w:val="nil"/>
              <w:left w:val="single" w:sz="4" w:space="0" w:color="auto"/>
              <w:bottom w:val="single" w:sz="4" w:space="0" w:color="auto"/>
              <w:right w:val="single" w:sz="4" w:space="0" w:color="auto"/>
            </w:tcBorders>
            <w:shd w:val="clear" w:color="000000" w:fill="FFFFFF"/>
            <w:noWrap/>
            <w:vAlign w:val="bottom"/>
            <w:hideMark/>
          </w:tcPr>
          <w:p w14:paraId="3D5658F8"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£m</w:t>
            </w:r>
          </w:p>
        </w:tc>
        <w:tc>
          <w:tcPr>
            <w:tcW w:w="830" w:type="dxa"/>
            <w:tcBorders>
              <w:top w:val="nil"/>
              <w:left w:val="nil"/>
              <w:bottom w:val="single" w:sz="4" w:space="0" w:color="auto"/>
              <w:right w:val="nil"/>
            </w:tcBorders>
            <w:shd w:val="clear" w:color="000000" w:fill="FFFFFF"/>
            <w:noWrap/>
            <w:vAlign w:val="bottom"/>
            <w:hideMark/>
          </w:tcPr>
          <w:p w14:paraId="349FE9E0"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£m</w:t>
            </w:r>
          </w:p>
        </w:tc>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14:paraId="75DC10A9"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 </w:t>
            </w:r>
          </w:p>
        </w:tc>
        <w:tc>
          <w:tcPr>
            <w:tcW w:w="866" w:type="dxa"/>
            <w:tcBorders>
              <w:top w:val="nil"/>
              <w:left w:val="nil"/>
              <w:bottom w:val="single" w:sz="4" w:space="0" w:color="auto"/>
              <w:right w:val="nil"/>
            </w:tcBorders>
            <w:shd w:val="clear" w:color="000000" w:fill="D9D9D9"/>
            <w:noWrap/>
            <w:vAlign w:val="bottom"/>
            <w:hideMark/>
          </w:tcPr>
          <w:p w14:paraId="16781EE1"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£m</w:t>
            </w:r>
          </w:p>
        </w:tc>
        <w:tc>
          <w:tcPr>
            <w:tcW w:w="878" w:type="dxa"/>
            <w:tcBorders>
              <w:top w:val="nil"/>
              <w:left w:val="single" w:sz="4" w:space="0" w:color="auto"/>
              <w:bottom w:val="single" w:sz="4" w:space="0" w:color="auto"/>
              <w:right w:val="single" w:sz="4" w:space="0" w:color="auto"/>
            </w:tcBorders>
            <w:shd w:val="clear" w:color="000000" w:fill="D9D9D9"/>
            <w:noWrap/>
            <w:vAlign w:val="bottom"/>
            <w:hideMark/>
          </w:tcPr>
          <w:p w14:paraId="19455E67"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£m</w:t>
            </w:r>
          </w:p>
        </w:tc>
        <w:tc>
          <w:tcPr>
            <w:tcW w:w="838" w:type="dxa"/>
            <w:tcBorders>
              <w:top w:val="nil"/>
              <w:left w:val="nil"/>
              <w:bottom w:val="single" w:sz="4" w:space="0" w:color="auto"/>
              <w:right w:val="single" w:sz="4" w:space="0" w:color="auto"/>
            </w:tcBorders>
            <w:shd w:val="clear" w:color="000000" w:fill="D9D9D9"/>
            <w:noWrap/>
            <w:vAlign w:val="bottom"/>
            <w:hideMark/>
          </w:tcPr>
          <w:p w14:paraId="154365E5"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£m</w:t>
            </w:r>
          </w:p>
        </w:tc>
      </w:tr>
      <w:tr w:rsidR="00E6098A" w:rsidRPr="00E6098A" w14:paraId="031E00A1" w14:textId="77777777" w:rsidTr="00E6098A">
        <w:trPr>
          <w:trHeight w:val="300"/>
        </w:trPr>
        <w:tc>
          <w:tcPr>
            <w:tcW w:w="866" w:type="dxa"/>
            <w:tcBorders>
              <w:top w:val="nil"/>
              <w:left w:val="single" w:sz="4" w:space="0" w:color="auto"/>
              <w:bottom w:val="nil"/>
              <w:right w:val="nil"/>
            </w:tcBorders>
            <w:shd w:val="clear" w:color="000000" w:fill="FFFFFF"/>
            <w:noWrap/>
            <w:vAlign w:val="bottom"/>
            <w:hideMark/>
          </w:tcPr>
          <w:p w14:paraId="44C6ED5C"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0.100</w:t>
            </w:r>
          </w:p>
        </w:tc>
        <w:tc>
          <w:tcPr>
            <w:tcW w:w="856" w:type="dxa"/>
            <w:tcBorders>
              <w:top w:val="nil"/>
              <w:left w:val="single" w:sz="4" w:space="0" w:color="auto"/>
              <w:bottom w:val="nil"/>
              <w:right w:val="single" w:sz="4" w:space="0" w:color="auto"/>
            </w:tcBorders>
            <w:shd w:val="clear" w:color="000000" w:fill="FFFFFF"/>
            <w:noWrap/>
            <w:vAlign w:val="bottom"/>
            <w:hideMark/>
          </w:tcPr>
          <w:p w14:paraId="1E8CCE8C"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(0.100)</w:t>
            </w:r>
          </w:p>
        </w:tc>
        <w:tc>
          <w:tcPr>
            <w:tcW w:w="830" w:type="dxa"/>
            <w:tcBorders>
              <w:top w:val="nil"/>
              <w:left w:val="nil"/>
              <w:bottom w:val="nil"/>
              <w:right w:val="nil"/>
            </w:tcBorders>
            <w:shd w:val="clear" w:color="000000" w:fill="FFFFFF"/>
            <w:noWrap/>
            <w:vAlign w:val="bottom"/>
            <w:hideMark/>
          </w:tcPr>
          <w:p w14:paraId="1ADC8875"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0.000</w:t>
            </w:r>
          </w:p>
        </w:tc>
        <w:tc>
          <w:tcPr>
            <w:tcW w:w="4080" w:type="dxa"/>
            <w:tcBorders>
              <w:top w:val="nil"/>
              <w:left w:val="single" w:sz="4" w:space="0" w:color="auto"/>
              <w:bottom w:val="nil"/>
              <w:right w:val="single" w:sz="4" w:space="0" w:color="auto"/>
            </w:tcBorders>
            <w:shd w:val="clear" w:color="000000" w:fill="FFFFFF"/>
            <w:noWrap/>
            <w:vAlign w:val="bottom"/>
            <w:hideMark/>
          </w:tcPr>
          <w:p w14:paraId="196BC1CE"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Commissioning</w:t>
            </w:r>
          </w:p>
        </w:tc>
        <w:tc>
          <w:tcPr>
            <w:tcW w:w="866" w:type="dxa"/>
            <w:tcBorders>
              <w:top w:val="nil"/>
              <w:left w:val="nil"/>
              <w:bottom w:val="nil"/>
              <w:right w:val="nil"/>
            </w:tcBorders>
            <w:shd w:val="clear" w:color="000000" w:fill="D9D9D9"/>
            <w:noWrap/>
            <w:vAlign w:val="bottom"/>
            <w:hideMark/>
          </w:tcPr>
          <w:p w14:paraId="55F6B262"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0.100</w:t>
            </w:r>
          </w:p>
        </w:tc>
        <w:tc>
          <w:tcPr>
            <w:tcW w:w="878" w:type="dxa"/>
            <w:tcBorders>
              <w:top w:val="nil"/>
              <w:left w:val="single" w:sz="4" w:space="0" w:color="auto"/>
              <w:bottom w:val="nil"/>
              <w:right w:val="single" w:sz="4" w:space="0" w:color="auto"/>
            </w:tcBorders>
            <w:shd w:val="clear" w:color="000000" w:fill="D9D9D9"/>
            <w:noWrap/>
            <w:vAlign w:val="bottom"/>
            <w:hideMark/>
          </w:tcPr>
          <w:p w14:paraId="74263C6E"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(0.100)</w:t>
            </w:r>
          </w:p>
        </w:tc>
        <w:tc>
          <w:tcPr>
            <w:tcW w:w="838" w:type="dxa"/>
            <w:tcBorders>
              <w:top w:val="nil"/>
              <w:left w:val="nil"/>
              <w:bottom w:val="nil"/>
              <w:right w:val="single" w:sz="4" w:space="0" w:color="auto"/>
            </w:tcBorders>
            <w:shd w:val="clear" w:color="000000" w:fill="D9D9D9"/>
            <w:noWrap/>
            <w:vAlign w:val="bottom"/>
            <w:hideMark/>
          </w:tcPr>
          <w:p w14:paraId="79E93833"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0.000</w:t>
            </w:r>
          </w:p>
        </w:tc>
      </w:tr>
      <w:tr w:rsidR="00E6098A" w:rsidRPr="00E6098A" w14:paraId="47047062" w14:textId="77777777" w:rsidTr="00E6098A">
        <w:trPr>
          <w:trHeight w:val="300"/>
        </w:trPr>
        <w:tc>
          <w:tcPr>
            <w:tcW w:w="866" w:type="dxa"/>
            <w:tcBorders>
              <w:top w:val="nil"/>
              <w:left w:val="single" w:sz="4" w:space="0" w:color="auto"/>
              <w:bottom w:val="nil"/>
              <w:right w:val="nil"/>
            </w:tcBorders>
            <w:shd w:val="clear" w:color="000000" w:fill="FFFFFF"/>
            <w:noWrap/>
            <w:vAlign w:val="bottom"/>
            <w:hideMark/>
          </w:tcPr>
          <w:p w14:paraId="310ADCF5"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3.050</w:t>
            </w:r>
          </w:p>
        </w:tc>
        <w:tc>
          <w:tcPr>
            <w:tcW w:w="856" w:type="dxa"/>
            <w:tcBorders>
              <w:top w:val="nil"/>
              <w:left w:val="single" w:sz="4" w:space="0" w:color="auto"/>
              <w:bottom w:val="nil"/>
              <w:right w:val="single" w:sz="4" w:space="0" w:color="auto"/>
            </w:tcBorders>
            <w:shd w:val="clear" w:color="000000" w:fill="FFFFFF"/>
            <w:noWrap/>
            <w:vAlign w:val="bottom"/>
            <w:hideMark/>
          </w:tcPr>
          <w:p w14:paraId="08CB6CE4"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(1.440)</w:t>
            </w:r>
          </w:p>
        </w:tc>
        <w:tc>
          <w:tcPr>
            <w:tcW w:w="830" w:type="dxa"/>
            <w:tcBorders>
              <w:top w:val="nil"/>
              <w:left w:val="nil"/>
              <w:bottom w:val="nil"/>
              <w:right w:val="nil"/>
            </w:tcBorders>
            <w:shd w:val="clear" w:color="000000" w:fill="FFFFFF"/>
            <w:noWrap/>
            <w:vAlign w:val="bottom"/>
            <w:hideMark/>
          </w:tcPr>
          <w:p w14:paraId="7F1D0EB0"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1.610</w:t>
            </w:r>
          </w:p>
        </w:tc>
        <w:tc>
          <w:tcPr>
            <w:tcW w:w="4080" w:type="dxa"/>
            <w:tcBorders>
              <w:top w:val="nil"/>
              <w:left w:val="single" w:sz="4" w:space="0" w:color="auto"/>
              <w:bottom w:val="nil"/>
              <w:right w:val="single" w:sz="4" w:space="0" w:color="auto"/>
            </w:tcBorders>
            <w:shd w:val="clear" w:color="000000" w:fill="FFFFFF"/>
            <w:noWrap/>
            <w:vAlign w:val="bottom"/>
            <w:hideMark/>
          </w:tcPr>
          <w:p w14:paraId="18C9680E"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Victims, Witnesses, Domestic Violence Support</w:t>
            </w:r>
          </w:p>
        </w:tc>
        <w:tc>
          <w:tcPr>
            <w:tcW w:w="866" w:type="dxa"/>
            <w:tcBorders>
              <w:top w:val="nil"/>
              <w:left w:val="nil"/>
              <w:bottom w:val="nil"/>
              <w:right w:val="nil"/>
            </w:tcBorders>
            <w:shd w:val="clear" w:color="000000" w:fill="D9D9D9"/>
            <w:noWrap/>
            <w:vAlign w:val="bottom"/>
            <w:hideMark/>
          </w:tcPr>
          <w:p w14:paraId="01A9AD24"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2.680</w:t>
            </w:r>
          </w:p>
        </w:tc>
        <w:tc>
          <w:tcPr>
            <w:tcW w:w="878" w:type="dxa"/>
            <w:tcBorders>
              <w:top w:val="nil"/>
              <w:left w:val="single" w:sz="4" w:space="0" w:color="auto"/>
              <w:bottom w:val="nil"/>
              <w:right w:val="single" w:sz="4" w:space="0" w:color="auto"/>
            </w:tcBorders>
            <w:shd w:val="clear" w:color="000000" w:fill="D9D9D9"/>
            <w:noWrap/>
            <w:vAlign w:val="bottom"/>
            <w:hideMark/>
          </w:tcPr>
          <w:p w14:paraId="6563FF90"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(1.301)</w:t>
            </w:r>
          </w:p>
        </w:tc>
        <w:tc>
          <w:tcPr>
            <w:tcW w:w="838" w:type="dxa"/>
            <w:tcBorders>
              <w:top w:val="nil"/>
              <w:left w:val="nil"/>
              <w:bottom w:val="nil"/>
              <w:right w:val="single" w:sz="4" w:space="0" w:color="auto"/>
            </w:tcBorders>
            <w:shd w:val="clear" w:color="000000" w:fill="D9D9D9"/>
            <w:noWrap/>
            <w:vAlign w:val="bottom"/>
            <w:hideMark/>
          </w:tcPr>
          <w:p w14:paraId="48502E13"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1.379</w:t>
            </w:r>
          </w:p>
        </w:tc>
      </w:tr>
      <w:tr w:rsidR="00E6098A" w:rsidRPr="00E6098A" w14:paraId="7142834B" w14:textId="77777777" w:rsidTr="00E6098A">
        <w:trPr>
          <w:trHeight w:val="300"/>
        </w:trPr>
        <w:tc>
          <w:tcPr>
            <w:tcW w:w="866" w:type="dxa"/>
            <w:tcBorders>
              <w:top w:val="nil"/>
              <w:left w:val="single" w:sz="4" w:space="0" w:color="auto"/>
              <w:bottom w:val="nil"/>
              <w:right w:val="nil"/>
            </w:tcBorders>
            <w:shd w:val="clear" w:color="000000" w:fill="FFFFFF"/>
            <w:noWrap/>
            <w:vAlign w:val="bottom"/>
            <w:hideMark/>
          </w:tcPr>
          <w:p w14:paraId="10584582"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0.099</w:t>
            </w:r>
          </w:p>
        </w:tc>
        <w:tc>
          <w:tcPr>
            <w:tcW w:w="856" w:type="dxa"/>
            <w:tcBorders>
              <w:top w:val="nil"/>
              <w:left w:val="single" w:sz="4" w:space="0" w:color="auto"/>
              <w:bottom w:val="nil"/>
              <w:right w:val="single" w:sz="4" w:space="0" w:color="auto"/>
            </w:tcBorders>
            <w:shd w:val="clear" w:color="000000" w:fill="FFFFFF"/>
            <w:noWrap/>
            <w:vAlign w:val="bottom"/>
            <w:hideMark/>
          </w:tcPr>
          <w:p w14:paraId="256F40E7"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0" w:type="dxa"/>
            <w:tcBorders>
              <w:top w:val="nil"/>
              <w:left w:val="nil"/>
              <w:bottom w:val="nil"/>
              <w:right w:val="nil"/>
            </w:tcBorders>
            <w:shd w:val="clear" w:color="000000" w:fill="FFFFFF"/>
            <w:noWrap/>
            <w:vAlign w:val="bottom"/>
            <w:hideMark/>
          </w:tcPr>
          <w:p w14:paraId="3819ABFE"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0.099</w:t>
            </w:r>
          </w:p>
        </w:tc>
        <w:tc>
          <w:tcPr>
            <w:tcW w:w="4080" w:type="dxa"/>
            <w:tcBorders>
              <w:top w:val="nil"/>
              <w:left w:val="single" w:sz="4" w:space="0" w:color="auto"/>
              <w:bottom w:val="nil"/>
              <w:right w:val="single" w:sz="4" w:space="0" w:color="auto"/>
            </w:tcBorders>
            <w:shd w:val="clear" w:color="000000" w:fill="FFFFFF"/>
            <w:noWrap/>
            <w:vAlign w:val="bottom"/>
            <w:hideMark/>
          </w:tcPr>
          <w:p w14:paraId="4BE81374"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Communications Team</w:t>
            </w:r>
          </w:p>
        </w:tc>
        <w:tc>
          <w:tcPr>
            <w:tcW w:w="866" w:type="dxa"/>
            <w:tcBorders>
              <w:top w:val="nil"/>
              <w:left w:val="nil"/>
              <w:bottom w:val="nil"/>
              <w:right w:val="nil"/>
            </w:tcBorders>
            <w:shd w:val="clear" w:color="000000" w:fill="D9D9D9"/>
            <w:noWrap/>
            <w:vAlign w:val="bottom"/>
            <w:hideMark/>
          </w:tcPr>
          <w:p w14:paraId="213F1D5D"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0.231</w:t>
            </w:r>
          </w:p>
        </w:tc>
        <w:tc>
          <w:tcPr>
            <w:tcW w:w="878" w:type="dxa"/>
            <w:tcBorders>
              <w:top w:val="nil"/>
              <w:left w:val="single" w:sz="4" w:space="0" w:color="auto"/>
              <w:bottom w:val="nil"/>
              <w:right w:val="single" w:sz="4" w:space="0" w:color="auto"/>
            </w:tcBorders>
            <w:shd w:val="clear" w:color="000000" w:fill="D9D9D9"/>
            <w:noWrap/>
            <w:vAlign w:val="bottom"/>
            <w:hideMark/>
          </w:tcPr>
          <w:p w14:paraId="0D56328F"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8" w:type="dxa"/>
            <w:tcBorders>
              <w:top w:val="nil"/>
              <w:left w:val="nil"/>
              <w:bottom w:val="nil"/>
              <w:right w:val="single" w:sz="4" w:space="0" w:color="auto"/>
            </w:tcBorders>
            <w:shd w:val="clear" w:color="000000" w:fill="D9D9D9"/>
            <w:noWrap/>
            <w:vAlign w:val="bottom"/>
            <w:hideMark/>
          </w:tcPr>
          <w:p w14:paraId="3EDE4D26"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0.231</w:t>
            </w:r>
          </w:p>
        </w:tc>
      </w:tr>
      <w:tr w:rsidR="00E6098A" w:rsidRPr="00E6098A" w14:paraId="2AA03FD6" w14:textId="77777777" w:rsidTr="00E6098A">
        <w:trPr>
          <w:trHeight w:val="300"/>
        </w:trPr>
        <w:tc>
          <w:tcPr>
            <w:tcW w:w="866" w:type="dxa"/>
            <w:tcBorders>
              <w:top w:val="nil"/>
              <w:left w:val="single" w:sz="4" w:space="0" w:color="auto"/>
              <w:bottom w:val="nil"/>
              <w:right w:val="nil"/>
            </w:tcBorders>
            <w:shd w:val="clear" w:color="000000" w:fill="FFFFFF"/>
            <w:noWrap/>
            <w:vAlign w:val="bottom"/>
            <w:hideMark/>
          </w:tcPr>
          <w:p w14:paraId="1FB3C1F2"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2.426</w:t>
            </w:r>
          </w:p>
        </w:tc>
        <w:tc>
          <w:tcPr>
            <w:tcW w:w="856" w:type="dxa"/>
            <w:tcBorders>
              <w:top w:val="nil"/>
              <w:left w:val="single" w:sz="4" w:space="0" w:color="auto"/>
              <w:bottom w:val="nil"/>
              <w:right w:val="single" w:sz="4" w:space="0" w:color="auto"/>
            </w:tcBorders>
            <w:shd w:val="clear" w:color="000000" w:fill="FFFFFF"/>
            <w:noWrap/>
            <w:vAlign w:val="bottom"/>
            <w:hideMark/>
          </w:tcPr>
          <w:p w14:paraId="4E241164"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0" w:type="dxa"/>
            <w:tcBorders>
              <w:top w:val="nil"/>
              <w:left w:val="nil"/>
              <w:bottom w:val="nil"/>
              <w:right w:val="nil"/>
            </w:tcBorders>
            <w:shd w:val="clear" w:color="000000" w:fill="FFFFFF"/>
            <w:noWrap/>
            <w:vAlign w:val="bottom"/>
            <w:hideMark/>
          </w:tcPr>
          <w:p w14:paraId="58BC172C"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2.426</w:t>
            </w:r>
          </w:p>
        </w:tc>
        <w:tc>
          <w:tcPr>
            <w:tcW w:w="4080" w:type="dxa"/>
            <w:tcBorders>
              <w:top w:val="nil"/>
              <w:left w:val="single" w:sz="4" w:space="0" w:color="auto"/>
              <w:bottom w:val="nil"/>
              <w:right w:val="single" w:sz="4" w:space="0" w:color="auto"/>
            </w:tcBorders>
            <w:shd w:val="clear" w:color="000000" w:fill="FFFFFF"/>
            <w:noWrap/>
            <w:vAlign w:val="bottom"/>
            <w:hideMark/>
          </w:tcPr>
          <w:p w14:paraId="42D1D7C3"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Early Intervention and Youth</w:t>
            </w:r>
          </w:p>
        </w:tc>
        <w:tc>
          <w:tcPr>
            <w:tcW w:w="866" w:type="dxa"/>
            <w:tcBorders>
              <w:top w:val="nil"/>
              <w:left w:val="nil"/>
              <w:bottom w:val="nil"/>
              <w:right w:val="nil"/>
            </w:tcBorders>
            <w:shd w:val="clear" w:color="000000" w:fill="D9D9D9"/>
            <w:noWrap/>
            <w:vAlign w:val="bottom"/>
            <w:hideMark/>
          </w:tcPr>
          <w:p w14:paraId="074F3972"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2.372</w:t>
            </w:r>
          </w:p>
        </w:tc>
        <w:tc>
          <w:tcPr>
            <w:tcW w:w="878" w:type="dxa"/>
            <w:tcBorders>
              <w:top w:val="nil"/>
              <w:left w:val="single" w:sz="4" w:space="0" w:color="auto"/>
              <w:bottom w:val="nil"/>
              <w:right w:val="single" w:sz="4" w:space="0" w:color="auto"/>
            </w:tcBorders>
            <w:shd w:val="clear" w:color="000000" w:fill="D9D9D9"/>
            <w:noWrap/>
            <w:vAlign w:val="bottom"/>
            <w:hideMark/>
          </w:tcPr>
          <w:p w14:paraId="055B8995"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8" w:type="dxa"/>
            <w:tcBorders>
              <w:top w:val="nil"/>
              <w:left w:val="nil"/>
              <w:bottom w:val="nil"/>
              <w:right w:val="single" w:sz="4" w:space="0" w:color="auto"/>
            </w:tcBorders>
            <w:shd w:val="clear" w:color="000000" w:fill="D9D9D9"/>
            <w:noWrap/>
            <w:vAlign w:val="bottom"/>
            <w:hideMark/>
          </w:tcPr>
          <w:p w14:paraId="23B9D154"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2.372</w:t>
            </w:r>
          </w:p>
        </w:tc>
      </w:tr>
      <w:tr w:rsidR="00E6098A" w:rsidRPr="00E6098A" w14:paraId="06539650" w14:textId="77777777" w:rsidTr="00E6098A">
        <w:trPr>
          <w:trHeight w:val="300"/>
        </w:trPr>
        <w:tc>
          <w:tcPr>
            <w:tcW w:w="866" w:type="dxa"/>
            <w:tcBorders>
              <w:top w:val="nil"/>
              <w:left w:val="single" w:sz="4" w:space="0" w:color="auto"/>
              <w:bottom w:val="nil"/>
              <w:right w:val="nil"/>
            </w:tcBorders>
            <w:shd w:val="clear" w:color="000000" w:fill="FFFFFF"/>
            <w:noWrap/>
            <w:vAlign w:val="bottom"/>
            <w:hideMark/>
          </w:tcPr>
          <w:p w14:paraId="60BDB0AF"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0.432</w:t>
            </w:r>
          </w:p>
        </w:tc>
        <w:tc>
          <w:tcPr>
            <w:tcW w:w="856" w:type="dxa"/>
            <w:tcBorders>
              <w:top w:val="nil"/>
              <w:left w:val="single" w:sz="4" w:space="0" w:color="auto"/>
              <w:bottom w:val="nil"/>
              <w:right w:val="single" w:sz="4" w:space="0" w:color="auto"/>
            </w:tcBorders>
            <w:shd w:val="clear" w:color="000000" w:fill="FFFFFF"/>
            <w:noWrap/>
            <w:vAlign w:val="bottom"/>
            <w:hideMark/>
          </w:tcPr>
          <w:p w14:paraId="68300F66"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0" w:type="dxa"/>
            <w:tcBorders>
              <w:top w:val="nil"/>
              <w:left w:val="nil"/>
              <w:bottom w:val="nil"/>
              <w:right w:val="nil"/>
            </w:tcBorders>
            <w:shd w:val="clear" w:color="000000" w:fill="FFFFFF"/>
            <w:noWrap/>
            <w:vAlign w:val="bottom"/>
            <w:hideMark/>
          </w:tcPr>
          <w:p w14:paraId="16CBB67E"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0.432</w:t>
            </w:r>
          </w:p>
        </w:tc>
        <w:tc>
          <w:tcPr>
            <w:tcW w:w="4080" w:type="dxa"/>
            <w:tcBorders>
              <w:top w:val="nil"/>
              <w:left w:val="single" w:sz="4" w:space="0" w:color="auto"/>
              <w:bottom w:val="nil"/>
              <w:right w:val="single" w:sz="4" w:space="0" w:color="auto"/>
            </w:tcBorders>
            <w:shd w:val="clear" w:color="000000" w:fill="FFFFFF"/>
            <w:noWrap/>
            <w:vAlign w:val="bottom"/>
            <w:hideMark/>
          </w:tcPr>
          <w:p w14:paraId="2024AB9C"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Reducing Reoffending</w:t>
            </w:r>
          </w:p>
        </w:tc>
        <w:tc>
          <w:tcPr>
            <w:tcW w:w="866" w:type="dxa"/>
            <w:tcBorders>
              <w:top w:val="nil"/>
              <w:left w:val="nil"/>
              <w:bottom w:val="nil"/>
              <w:right w:val="nil"/>
            </w:tcBorders>
            <w:shd w:val="clear" w:color="000000" w:fill="D9D9D9"/>
            <w:noWrap/>
            <w:vAlign w:val="bottom"/>
            <w:hideMark/>
          </w:tcPr>
          <w:p w14:paraId="39D83D1D"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0.705</w:t>
            </w:r>
          </w:p>
        </w:tc>
        <w:tc>
          <w:tcPr>
            <w:tcW w:w="878" w:type="dxa"/>
            <w:tcBorders>
              <w:top w:val="nil"/>
              <w:left w:val="single" w:sz="4" w:space="0" w:color="auto"/>
              <w:bottom w:val="nil"/>
              <w:right w:val="single" w:sz="4" w:space="0" w:color="auto"/>
            </w:tcBorders>
            <w:shd w:val="clear" w:color="000000" w:fill="D9D9D9"/>
            <w:noWrap/>
            <w:vAlign w:val="bottom"/>
            <w:hideMark/>
          </w:tcPr>
          <w:p w14:paraId="37AD5947"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8" w:type="dxa"/>
            <w:tcBorders>
              <w:top w:val="nil"/>
              <w:left w:val="nil"/>
              <w:bottom w:val="nil"/>
              <w:right w:val="single" w:sz="4" w:space="0" w:color="auto"/>
            </w:tcBorders>
            <w:shd w:val="clear" w:color="000000" w:fill="D9D9D9"/>
            <w:noWrap/>
            <w:vAlign w:val="bottom"/>
            <w:hideMark/>
          </w:tcPr>
          <w:p w14:paraId="1046C72C"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0.705</w:t>
            </w:r>
          </w:p>
        </w:tc>
      </w:tr>
      <w:tr w:rsidR="00E6098A" w:rsidRPr="00E6098A" w14:paraId="57DC2930" w14:textId="77777777" w:rsidTr="00E6098A">
        <w:trPr>
          <w:trHeight w:val="300"/>
        </w:trPr>
        <w:tc>
          <w:tcPr>
            <w:tcW w:w="866" w:type="dxa"/>
            <w:tcBorders>
              <w:top w:val="nil"/>
              <w:left w:val="single" w:sz="4" w:space="0" w:color="auto"/>
              <w:bottom w:val="nil"/>
              <w:right w:val="nil"/>
            </w:tcBorders>
            <w:shd w:val="clear" w:color="000000" w:fill="FFFFFF"/>
            <w:noWrap/>
            <w:vAlign w:val="bottom"/>
            <w:hideMark/>
          </w:tcPr>
          <w:p w14:paraId="4FBA3ECC"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0.089</w:t>
            </w:r>
          </w:p>
        </w:tc>
        <w:tc>
          <w:tcPr>
            <w:tcW w:w="856" w:type="dxa"/>
            <w:tcBorders>
              <w:top w:val="nil"/>
              <w:left w:val="single" w:sz="4" w:space="0" w:color="auto"/>
              <w:bottom w:val="nil"/>
              <w:right w:val="single" w:sz="4" w:space="0" w:color="auto"/>
            </w:tcBorders>
            <w:shd w:val="clear" w:color="000000" w:fill="FFFFFF"/>
            <w:noWrap/>
            <w:vAlign w:val="bottom"/>
            <w:hideMark/>
          </w:tcPr>
          <w:p w14:paraId="3707F9BE"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0" w:type="dxa"/>
            <w:tcBorders>
              <w:top w:val="nil"/>
              <w:left w:val="nil"/>
              <w:bottom w:val="nil"/>
              <w:right w:val="nil"/>
            </w:tcBorders>
            <w:shd w:val="clear" w:color="000000" w:fill="FFFFFF"/>
            <w:noWrap/>
            <w:vAlign w:val="bottom"/>
            <w:hideMark/>
          </w:tcPr>
          <w:p w14:paraId="4804BB80"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0.089</w:t>
            </w:r>
          </w:p>
        </w:tc>
        <w:tc>
          <w:tcPr>
            <w:tcW w:w="4080" w:type="dxa"/>
            <w:tcBorders>
              <w:top w:val="nil"/>
              <w:left w:val="single" w:sz="4" w:space="0" w:color="auto"/>
              <w:bottom w:val="nil"/>
              <w:right w:val="single" w:sz="4" w:space="0" w:color="auto"/>
            </w:tcBorders>
            <w:shd w:val="clear" w:color="000000" w:fill="FFFFFF"/>
            <w:noWrap/>
            <w:vAlign w:val="bottom"/>
            <w:hideMark/>
          </w:tcPr>
          <w:p w14:paraId="7899F04B"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Delivery and Accountability</w:t>
            </w:r>
          </w:p>
        </w:tc>
        <w:tc>
          <w:tcPr>
            <w:tcW w:w="866" w:type="dxa"/>
            <w:tcBorders>
              <w:top w:val="nil"/>
              <w:left w:val="nil"/>
              <w:bottom w:val="nil"/>
              <w:right w:val="nil"/>
            </w:tcBorders>
            <w:shd w:val="clear" w:color="000000" w:fill="D9D9D9"/>
            <w:noWrap/>
            <w:vAlign w:val="bottom"/>
            <w:hideMark/>
          </w:tcPr>
          <w:p w14:paraId="44A4626F"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0.050</w:t>
            </w:r>
          </w:p>
        </w:tc>
        <w:tc>
          <w:tcPr>
            <w:tcW w:w="878" w:type="dxa"/>
            <w:tcBorders>
              <w:top w:val="nil"/>
              <w:left w:val="single" w:sz="4" w:space="0" w:color="auto"/>
              <w:bottom w:val="nil"/>
              <w:right w:val="single" w:sz="4" w:space="0" w:color="auto"/>
            </w:tcBorders>
            <w:shd w:val="clear" w:color="000000" w:fill="D9D9D9"/>
            <w:noWrap/>
            <w:vAlign w:val="bottom"/>
            <w:hideMark/>
          </w:tcPr>
          <w:p w14:paraId="71611975"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8" w:type="dxa"/>
            <w:tcBorders>
              <w:top w:val="nil"/>
              <w:left w:val="nil"/>
              <w:bottom w:val="nil"/>
              <w:right w:val="single" w:sz="4" w:space="0" w:color="auto"/>
            </w:tcBorders>
            <w:shd w:val="clear" w:color="000000" w:fill="D9D9D9"/>
            <w:noWrap/>
            <w:vAlign w:val="bottom"/>
            <w:hideMark/>
          </w:tcPr>
          <w:p w14:paraId="351A953E"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0.050</w:t>
            </w:r>
          </w:p>
        </w:tc>
      </w:tr>
      <w:tr w:rsidR="00E6098A" w:rsidRPr="00E6098A" w14:paraId="21FC57EE" w14:textId="77777777" w:rsidTr="00E6098A">
        <w:trPr>
          <w:trHeight w:val="300"/>
        </w:trPr>
        <w:tc>
          <w:tcPr>
            <w:tcW w:w="866" w:type="dxa"/>
            <w:tcBorders>
              <w:top w:val="nil"/>
              <w:left w:val="single" w:sz="4" w:space="0" w:color="auto"/>
              <w:bottom w:val="nil"/>
              <w:right w:val="nil"/>
            </w:tcBorders>
            <w:shd w:val="clear" w:color="000000" w:fill="FFFFFF"/>
            <w:noWrap/>
            <w:vAlign w:val="bottom"/>
            <w:hideMark/>
          </w:tcPr>
          <w:p w14:paraId="34250316"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0.255</w:t>
            </w:r>
          </w:p>
        </w:tc>
        <w:tc>
          <w:tcPr>
            <w:tcW w:w="856" w:type="dxa"/>
            <w:tcBorders>
              <w:top w:val="nil"/>
              <w:left w:val="single" w:sz="4" w:space="0" w:color="auto"/>
              <w:bottom w:val="nil"/>
              <w:right w:val="single" w:sz="4" w:space="0" w:color="auto"/>
            </w:tcBorders>
            <w:shd w:val="clear" w:color="000000" w:fill="FFFFFF"/>
            <w:noWrap/>
            <w:vAlign w:val="bottom"/>
            <w:hideMark/>
          </w:tcPr>
          <w:p w14:paraId="0AF42502"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0" w:type="dxa"/>
            <w:tcBorders>
              <w:top w:val="nil"/>
              <w:left w:val="nil"/>
              <w:bottom w:val="nil"/>
              <w:right w:val="nil"/>
            </w:tcBorders>
            <w:shd w:val="clear" w:color="000000" w:fill="FFFFFF"/>
            <w:noWrap/>
            <w:vAlign w:val="bottom"/>
            <w:hideMark/>
          </w:tcPr>
          <w:p w14:paraId="533C722D"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0.255</w:t>
            </w:r>
          </w:p>
        </w:tc>
        <w:tc>
          <w:tcPr>
            <w:tcW w:w="4080" w:type="dxa"/>
            <w:tcBorders>
              <w:top w:val="nil"/>
              <w:left w:val="single" w:sz="4" w:space="0" w:color="auto"/>
              <w:bottom w:val="nil"/>
              <w:right w:val="single" w:sz="4" w:space="0" w:color="auto"/>
            </w:tcBorders>
            <w:shd w:val="clear" w:color="000000" w:fill="FFFFFF"/>
            <w:noWrap/>
            <w:vAlign w:val="bottom"/>
            <w:hideMark/>
          </w:tcPr>
          <w:p w14:paraId="50F507E1"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xml:space="preserve">Crime Prevention </w:t>
            </w:r>
          </w:p>
        </w:tc>
        <w:tc>
          <w:tcPr>
            <w:tcW w:w="866" w:type="dxa"/>
            <w:tcBorders>
              <w:top w:val="nil"/>
              <w:left w:val="nil"/>
              <w:bottom w:val="nil"/>
              <w:right w:val="nil"/>
            </w:tcBorders>
            <w:shd w:val="clear" w:color="000000" w:fill="D9D9D9"/>
            <w:noWrap/>
            <w:vAlign w:val="bottom"/>
            <w:hideMark/>
          </w:tcPr>
          <w:p w14:paraId="633C3347"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0.245</w:t>
            </w:r>
          </w:p>
        </w:tc>
        <w:tc>
          <w:tcPr>
            <w:tcW w:w="878" w:type="dxa"/>
            <w:tcBorders>
              <w:top w:val="nil"/>
              <w:left w:val="single" w:sz="4" w:space="0" w:color="auto"/>
              <w:bottom w:val="nil"/>
              <w:right w:val="single" w:sz="4" w:space="0" w:color="auto"/>
            </w:tcBorders>
            <w:shd w:val="clear" w:color="000000" w:fill="D9D9D9"/>
            <w:noWrap/>
            <w:vAlign w:val="bottom"/>
            <w:hideMark/>
          </w:tcPr>
          <w:p w14:paraId="17882441"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8" w:type="dxa"/>
            <w:tcBorders>
              <w:top w:val="nil"/>
              <w:left w:val="nil"/>
              <w:bottom w:val="nil"/>
              <w:right w:val="single" w:sz="4" w:space="0" w:color="auto"/>
            </w:tcBorders>
            <w:shd w:val="clear" w:color="000000" w:fill="D9D9D9"/>
            <w:noWrap/>
            <w:vAlign w:val="bottom"/>
            <w:hideMark/>
          </w:tcPr>
          <w:p w14:paraId="5CE395F2"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0.245</w:t>
            </w:r>
          </w:p>
        </w:tc>
      </w:tr>
      <w:tr w:rsidR="00E6098A" w:rsidRPr="00E6098A" w14:paraId="4CA7AFE0" w14:textId="77777777" w:rsidTr="00E6098A">
        <w:trPr>
          <w:trHeight w:val="300"/>
        </w:trPr>
        <w:tc>
          <w:tcPr>
            <w:tcW w:w="866" w:type="dxa"/>
            <w:tcBorders>
              <w:top w:val="nil"/>
              <w:left w:val="single" w:sz="4" w:space="0" w:color="auto"/>
              <w:bottom w:val="nil"/>
              <w:right w:val="nil"/>
            </w:tcBorders>
            <w:shd w:val="clear" w:color="000000" w:fill="FFFFFF"/>
            <w:noWrap/>
            <w:vAlign w:val="bottom"/>
            <w:hideMark/>
          </w:tcPr>
          <w:p w14:paraId="68C61854"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0.192</w:t>
            </w:r>
          </w:p>
        </w:tc>
        <w:tc>
          <w:tcPr>
            <w:tcW w:w="856" w:type="dxa"/>
            <w:tcBorders>
              <w:top w:val="nil"/>
              <w:left w:val="single" w:sz="4" w:space="0" w:color="auto"/>
              <w:bottom w:val="nil"/>
              <w:right w:val="single" w:sz="4" w:space="0" w:color="auto"/>
            </w:tcBorders>
            <w:shd w:val="clear" w:color="000000" w:fill="FFFFFF"/>
            <w:noWrap/>
            <w:vAlign w:val="bottom"/>
            <w:hideMark/>
          </w:tcPr>
          <w:p w14:paraId="12A04AAD"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0" w:type="dxa"/>
            <w:tcBorders>
              <w:top w:val="nil"/>
              <w:left w:val="nil"/>
              <w:bottom w:val="nil"/>
              <w:right w:val="nil"/>
            </w:tcBorders>
            <w:shd w:val="clear" w:color="000000" w:fill="FFFFFF"/>
            <w:noWrap/>
            <w:vAlign w:val="bottom"/>
            <w:hideMark/>
          </w:tcPr>
          <w:p w14:paraId="2A5D8180"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0.192</w:t>
            </w:r>
          </w:p>
        </w:tc>
        <w:tc>
          <w:tcPr>
            <w:tcW w:w="4080" w:type="dxa"/>
            <w:tcBorders>
              <w:top w:val="nil"/>
              <w:left w:val="single" w:sz="4" w:space="0" w:color="auto"/>
              <w:bottom w:val="nil"/>
              <w:right w:val="single" w:sz="4" w:space="0" w:color="auto"/>
            </w:tcBorders>
            <w:shd w:val="clear" w:color="000000" w:fill="FFFFFF"/>
            <w:noWrap/>
            <w:vAlign w:val="bottom"/>
            <w:hideMark/>
          </w:tcPr>
          <w:p w14:paraId="603DDD3F"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Customer Services - Complaints</w:t>
            </w:r>
          </w:p>
        </w:tc>
        <w:tc>
          <w:tcPr>
            <w:tcW w:w="866" w:type="dxa"/>
            <w:tcBorders>
              <w:top w:val="nil"/>
              <w:left w:val="nil"/>
              <w:bottom w:val="nil"/>
              <w:right w:val="nil"/>
            </w:tcBorders>
            <w:shd w:val="clear" w:color="000000" w:fill="D9D9D9"/>
            <w:noWrap/>
            <w:vAlign w:val="bottom"/>
            <w:hideMark/>
          </w:tcPr>
          <w:p w14:paraId="405D9A3F"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0.319</w:t>
            </w:r>
          </w:p>
        </w:tc>
        <w:tc>
          <w:tcPr>
            <w:tcW w:w="878" w:type="dxa"/>
            <w:tcBorders>
              <w:top w:val="nil"/>
              <w:left w:val="single" w:sz="4" w:space="0" w:color="auto"/>
              <w:bottom w:val="nil"/>
              <w:right w:val="single" w:sz="4" w:space="0" w:color="auto"/>
            </w:tcBorders>
            <w:shd w:val="clear" w:color="000000" w:fill="D9D9D9"/>
            <w:noWrap/>
            <w:vAlign w:val="bottom"/>
            <w:hideMark/>
          </w:tcPr>
          <w:p w14:paraId="61F32CFD"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8" w:type="dxa"/>
            <w:tcBorders>
              <w:top w:val="nil"/>
              <w:left w:val="nil"/>
              <w:bottom w:val="nil"/>
              <w:right w:val="single" w:sz="4" w:space="0" w:color="auto"/>
            </w:tcBorders>
            <w:shd w:val="clear" w:color="000000" w:fill="D9D9D9"/>
            <w:noWrap/>
            <w:vAlign w:val="bottom"/>
            <w:hideMark/>
          </w:tcPr>
          <w:p w14:paraId="4911D866"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0.319</w:t>
            </w:r>
          </w:p>
        </w:tc>
      </w:tr>
      <w:tr w:rsidR="00E6098A" w:rsidRPr="00E6098A" w14:paraId="485CBDD6" w14:textId="77777777" w:rsidTr="00E6098A">
        <w:trPr>
          <w:trHeight w:val="300"/>
        </w:trPr>
        <w:tc>
          <w:tcPr>
            <w:tcW w:w="866" w:type="dxa"/>
            <w:tcBorders>
              <w:top w:val="nil"/>
              <w:left w:val="single" w:sz="4" w:space="0" w:color="auto"/>
              <w:bottom w:val="nil"/>
              <w:right w:val="nil"/>
            </w:tcBorders>
            <w:shd w:val="clear" w:color="000000" w:fill="FFFFFF"/>
            <w:noWrap/>
            <w:vAlign w:val="bottom"/>
            <w:hideMark/>
          </w:tcPr>
          <w:p w14:paraId="5812F0A7"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0.250</w:t>
            </w:r>
          </w:p>
        </w:tc>
        <w:tc>
          <w:tcPr>
            <w:tcW w:w="856" w:type="dxa"/>
            <w:tcBorders>
              <w:top w:val="nil"/>
              <w:left w:val="single" w:sz="4" w:space="0" w:color="auto"/>
              <w:bottom w:val="nil"/>
              <w:right w:val="single" w:sz="4" w:space="0" w:color="auto"/>
            </w:tcBorders>
            <w:shd w:val="clear" w:color="000000" w:fill="FFFFFF"/>
            <w:noWrap/>
            <w:vAlign w:val="bottom"/>
            <w:hideMark/>
          </w:tcPr>
          <w:p w14:paraId="69A70D0F"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0" w:type="dxa"/>
            <w:tcBorders>
              <w:top w:val="nil"/>
              <w:left w:val="nil"/>
              <w:bottom w:val="nil"/>
              <w:right w:val="nil"/>
            </w:tcBorders>
            <w:shd w:val="clear" w:color="000000" w:fill="FFFFFF"/>
            <w:noWrap/>
            <w:vAlign w:val="bottom"/>
            <w:hideMark/>
          </w:tcPr>
          <w:p w14:paraId="48ACE2D9"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0.250</w:t>
            </w:r>
          </w:p>
        </w:tc>
        <w:tc>
          <w:tcPr>
            <w:tcW w:w="4080" w:type="dxa"/>
            <w:tcBorders>
              <w:top w:val="nil"/>
              <w:left w:val="single" w:sz="4" w:space="0" w:color="auto"/>
              <w:bottom w:val="nil"/>
              <w:right w:val="single" w:sz="4" w:space="0" w:color="auto"/>
            </w:tcBorders>
            <w:shd w:val="clear" w:color="000000" w:fill="FFFFFF"/>
            <w:noWrap/>
            <w:vAlign w:val="bottom"/>
            <w:hideMark/>
          </w:tcPr>
          <w:p w14:paraId="2B8775FA"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Police, Fire and Crime Plan Delivery Fund</w:t>
            </w:r>
          </w:p>
        </w:tc>
        <w:tc>
          <w:tcPr>
            <w:tcW w:w="866" w:type="dxa"/>
            <w:tcBorders>
              <w:top w:val="nil"/>
              <w:left w:val="nil"/>
              <w:bottom w:val="nil"/>
              <w:right w:val="nil"/>
            </w:tcBorders>
            <w:shd w:val="clear" w:color="000000" w:fill="D9D9D9"/>
            <w:noWrap/>
            <w:vAlign w:val="bottom"/>
            <w:hideMark/>
          </w:tcPr>
          <w:p w14:paraId="06C5B4D1"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0.250</w:t>
            </w:r>
          </w:p>
        </w:tc>
        <w:tc>
          <w:tcPr>
            <w:tcW w:w="878" w:type="dxa"/>
            <w:tcBorders>
              <w:top w:val="nil"/>
              <w:left w:val="single" w:sz="4" w:space="0" w:color="auto"/>
              <w:bottom w:val="nil"/>
              <w:right w:val="single" w:sz="4" w:space="0" w:color="auto"/>
            </w:tcBorders>
            <w:shd w:val="clear" w:color="000000" w:fill="D9D9D9"/>
            <w:noWrap/>
            <w:vAlign w:val="bottom"/>
            <w:hideMark/>
          </w:tcPr>
          <w:p w14:paraId="69B663DB"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8" w:type="dxa"/>
            <w:tcBorders>
              <w:top w:val="nil"/>
              <w:left w:val="nil"/>
              <w:bottom w:val="nil"/>
              <w:right w:val="single" w:sz="4" w:space="0" w:color="auto"/>
            </w:tcBorders>
            <w:shd w:val="clear" w:color="000000" w:fill="D9D9D9"/>
            <w:noWrap/>
            <w:vAlign w:val="bottom"/>
            <w:hideMark/>
          </w:tcPr>
          <w:p w14:paraId="1521AFAA"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0.250</w:t>
            </w:r>
          </w:p>
        </w:tc>
      </w:tr>
      <w:tr w:rsidR="00E6098A" w:rsidRPr="00E6098A" w14:paraId="1C5E6469" w14:textId="77777777" w:rsidTr="00E6098A">
        <w:trPr>
          <w:trHeight w:val="300"/>
        </w:trPr>
        <w:tc>
          <w:tcPr>
            <w:tcW w:w="866" w:type="dxa"/>
            <w:tcBorders>
              <w:top w:val="single" w:sz="4" w:space="0" w:color="auto"/>
              <w:left w:val="single" w:sz="4" w:space="0" w:color="auto"/>
              <w:bottom w:val="single" w:sz="4" w:space="0" w:color="auto"/>
              <w:right w:val="nil"/>
            </w:tcBorders>
            <w:shd w:val="clear" w:color="000000" w:fill="FFFFFF"/>
            <w:noWrap/>
            <w:vAlign w:val="bottom"/>
            <w:hideMark/>
          </w:tcPr>
          <w:p w14:paraId="28EB939C" w14:textId="77777777" w:rsidR="00E6098A" w:rsidRPr="00E6098A" w:rsidRDefault="00E6098A" w:rsidP="00E6098A">
            <w:pPr>
              <w:spacing w:line="240" w:lineRule="auto"/>
              <w:jc w:val="right"/>
              <w:rPr>
                <w:rFonts w:eastAsia="Times New Roman" w:cs="Calibri"/>
                <w:b/>
                <w:bCs/>
                <w:color w:val="000000"/>
                <w:sz w:val="20"/>
                <w:szCs w:val="20"/>
                <w:lang w:eastAsia="en-GB"/>
              </w:rPr>
            </w:pPr>
            <w:r w:rsidRPr="00E6098A">
              <w:rPr>
                <w:rFonts w:eastAsia="Times New Roman" w:cs="Calibri"/>
                <w:b/>
                <w:bCs/>
                <w:color w:val="000000"/>
                <w:sz w:val="20"/>
                <w:szCs w:val="20"/>
                <w:lang w:eastAsia="en-GB"/>
              </w:rPr>
              <w:t>6.893</w:t>
            </w:r>
          </w:p>
        </w:tc>
        <w:tc>
          <w:tcPr>
            <w:tcW w:w="8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8A8B7B" w14:textId="77777777" w:rsidR="00E6098A" w:rsidRPr="00E6098A" w:rsidRDefault="00E6098A" w:rsidP="00E6098A">
            <w:pPr>
              <w:spacing w:line="240" w:lineRule="auto"/>
              <w:jc w:val="right"/>
              <w:rPr>
                <w:rFonts w:eastAsia="Times New Roman" w:cs="Calibri"/>
                <w:b/>
                <w:bCs/>
                <w:color w:val="000000"/>
                <w:sz w:val="20"/>
                <w:szCs w:val="20"/>
                <w:lang w:eastAsia="en-GB"/>
              </w:rPr>
            </w:pPr>
            <w:r w:rsidRPr="00E6098A">
              <w:rPr>
                <w:rFonts w:eastAsia="Times New Roman" w:cs="Calibri"/>
                <w:b/>
                <w:bCs/>
                <w:color w:val="000000"/>
                <w:sz w:val="20"/>
                <w:szCs w:val="20"/>
                <w:lang w:eastAsia="en-GB"/>
              </w:rPr>
              <w:t>(1.540)</w:t>
            </w:r>
          </w:p>
        </w:tc>
        <w:tc>
          <w:tcPr>
            <w:tcW w:w="830" w:type="dxa"/>
            <w:tcBorders>
              <w:top w:val="single" w:sz="4" w:space="0" w:color="auto"/>
              <w:left w:val="nil"/>
              <w:bottom w:val="single" w:sz="4" w:space="0" w:color="auto"/>
              <w:right w:val="nil"/>
            </w:tcBorders>
            <w:shd w:val="clear" w:color="000000" w:fill="FFFFFF"/>
            <w:noWrap/>
            <w:vAlign w:val="bottom"/>
            <w:hideMark/>
          </w:tcPr>
          <w:p w14:paraId="0E15D649" w14:textId="77777777" w:rsidR="00E6098A" w:rsidRPr="00E6098A" w:rsidRDefault="00E6098A" w:rsidP="00E6098A">
            <w:pPr>
              <w:spacing w:line="240" w:lineRule="auto"/>
              <w:jc w:val="right"/>
              <w:rPr>
                <w:rFonts w:eastAsia="Times New Roman" w:cs="Calibri"/>
                <w:b/>
                <w:bCs/>
                <w:color w:val="000000"/>
                <w:sz w:val="20"/>
                <w:szCs w:val="20"/>
                <w:lang w:eastAsia="en-GB"/>
              </w:rPr>
            </w:pPr>
            <w:r w:rsidRPr="00E6098A">
              <w:rPr>
                <w:rFonts w:eastAsia="Times New Roman" w:cs="Calibri"/>
                <w:b/>
                <w:bCs/>
                <w:color w:val="000000"/>
                <w:sz w:val="20"/>
                <w:szCs w:val="20"/>
                <w:lang w:eastAsia="en-GB"/>
              </w:rPr>
              <w:t>5.353</w:t>
            </w:r>
          </w:p>
        </w:tc>
        <w:tc>
          <w:tcPr>
            <w:tcW w:w="4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CA77DF" w14:textId="77777777" w:rsidR="00E6098A" w:rsidRPr="00E6098A" w:rsidRDefault="00E6098A" w:rsidP="00E6098A">
            <w:pPr>
              <w:spacing w:line="240" w:lineRule="auto"/>
              <w:rPr>
                <w:rFonts w:eastAsia="Times New Roman" w:cs="Calibri"/>
                <w:b/>
                <w:bCs/>
                <w:color w:val="000000"/>
                <w:sz w:val="20"/>
                <w:szCs w:val="20"/>
                <w:lang w:eastAsia="en-GB"/>
              </w:rPr>
            </w:pPr>
            <w:r w:rsidRPr="00E6098A">
              <w:rPr>
                <w:rFonts w:eastAsia="Times New Roman" w:cs="Calibri"/>
                <w:b/>
                <w:bCs/>
                <w:color w:val="000000"/>
                <w:sz w:val="20"/>
                <w:szCs w:val="20"/>
                <w:lang w:eastAsia="en-GB"/>
              </w:rPr>
              <w:t>Total Commissioning and Delivery</w:t>
            </w:r>
          </w:p>
        </w:tc>
        <w:tc>
          <w:tcPr>
            <w:tcW w:w="866" w:type="dxa"/>
            <w:tcBorders>
              <w:top w:val="single" w:sz="4" w:space="0" w:color="auto"/>
              <w:left w:val="nil"/>
              <w:bottom w:val="single" w:sz="4" w:space="0" w:color="auto"/>
              <w:right w:val="nil"/>
            </w:tcBorders>
            <w:shd w:val="clear" w:color="000000" w:fill="D9D9D9"/>
            <w:noWrap/>
            <w:vAlign w:val="bottom"/>
            <w:hideMark/>
          </w:tcPr>
          <w:p w14:paraId="50659F8B" w14:textId="77777777" w:rsidR="00E6098A" w:rsidRPr="00E6098A" w:rsidRDefault="00E6098A" w:rsidP="00E6098A">
            <w:pPr>
              <w:spacing w:line="240" w:lineRule="auto"/>
              <w:jc w:val="right"/>
              <w:rPr>
                <w:rFonts w:eastAsia="Times New Roman" w:cs="Calibri"/>
                <w:b/>
                <w:bCs/>
                <w:color w:val="000000"/>
                <w:sz w:val="20"/>
                <w:szCs w:val="20"/>
                <w:lang w:eastAsia="en-GB"/>
              </w:rPr>
            </w:pPr>
            <w:r w:rsidRPr="00E6098A">
              <w:rPr>
                <w:rFonts w:eastAsia="Times New Roman" w:cs="Calibri"/>
                <w:b/>
                <w:bCs/>
                <w:color w:val="000000"/>
                <w:sz w:val="20"/>
                <w:szCs w:val="20"/>
                <w:lang w:eastAsia="en-GB"/>
              </w:rPr>
              <w:t>6.952</w:t>
            </w:r>
          </w:p>
        </w:tc>
        <w:tc>
          <w:tcPr>
            <w:tcW w:w="87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5A6894F" w14:textId="77777777" w:rsidR="00E6098A" w:rsidRPr="00E6098A" w:rsidRDefault="00E6098A" w:rsidP="00E6098A">
            <w:pPr>
              <w:spacing w:line="240" w:lineRule="auto"/>
              <w:jc w:val="right"/>
              <w:rPr>
                <w:rFonts w:eastAsia="Times New Roman" w:cs="Calibri"/>
                <w:b/>
                <w:bCs/>
                <w:color w:val="000000"/>
                <w:sz w:val="20"/>
                <w:szCs w:val="20"/>
                <w:lang w:eastAsia="en-GB"/>
              </w:rPr>
            </w:pPr>
            <w:r w:rsidRPr="00E6098A">
              <w:rPr>
                <w:rFonts w:eastAsia="Times New Roman" w:cs="Calibri"/>
                <w:b/>
                <w:bCs/>
                <w:color w:val="000000"/>
                <w:sz w:val="20"/>
                <w:szCs w:val="20"/>
                <w:lang w:eastAsia="en-GB"/>
              </w:rPr>
              <w:t>(1.401)</w:t>
            </w:r>
          </w:p>
        </w:tc>
        <w:tc>
          <w:tcPr>
            <w:tcW w:w="838" w:type="dxa"/>
            <w:tcBorders>
              <w:top w:val="single" w:sz="4" w:space="0" w:color="auto"/>
              <w:left w:val="nil"/>
              <w:bottom w:val="single" w:sz="4" w:space="0" w:color="auto"/>
              <w:right w:val="single" w:sz="4" w:space="0" w:color="auto"/>
            </w:tcBorders>
            <w:shd w:val="clear" w:color="000000" w:fill="D9D9D9"/>
            <w:noWrap/>
            <w:vAlign w:val="bottom"/>
            <w:hideMark/>
          </w:tcPr>
          <w:p w14:paraId="40EE9888" w14:textId="77777777" w:rsidR="00E6098A" w:rsidRPr="00E6098A" w:rsidRDefault="00E6098A" w:rsidP="00E6098A">
            <w:pPr>
              <w:spacing w:line="240" w:lineRule="auto"/>
              <w:jc w:val="right"/>
              <w:rPr>
                <w:rFonts w:eastAsia="Times New Roman" w:cs="Calibri"/>
                <w:b/>
                <w:bCs/>
                <w:color w:val="000000"/>
                <w:sz w:val="20"/>
                <w:szCs w:val="20"/>
                <w:lang w:eastAsia="en-GB"/>
              </w:rPr>
            </w:pPr>
            <w:r w:rsidRPr="00E6098A">
              <w:rPr>
                <w:rFonts w:eastAsia="Times New Roman" w:cs="Calibri"/>
                <w:b/>
                <w:bCs/>
                <w:color w:val="000000"/>
                <w:sz w:val="20"/>
                <w:szCs w:val="20"/>
                <w:lang w:eastAsia="en-GB"/>
              </w:rPr>
              <w:t>5.551</w:t>
            </w:r>
          </w:p>
        </w:tc>
      </w:tr>
    </w:tbl>
    <w:p w14:paraId="223BCDA4" w14:textId="77777777" w:rsidR="00E6098A" w:rsidRDefault="00E6098A" w:rsidP="00FF3F04"/>
    <w:p w14:paraId="53C8417F" w14:textId="14808A06" w:rsidR="00237D13" w:rsidRPr="006F0E6B" w:rsidRDefault="00E6098A" w:rsidP="00237D13">
      <w:pPr>
        <w:pStyle w:val="PanelPara"/>
      </w:pPr>
      <w:r>
        <w:t>This</w:t>
      </w:r>
      <w:r w:rsidR="00237D13" w:rsidRPr="006F0E6B">
        <w:t xml:space="preserve"> includes a number of crime prevention initiatives, safer streets investment, work on serious violence duty, the sexual abuse referral centre and the following key areas of work:</w:t>
      </w:r>
    </w:p>
    <w:p w14:paraId="78663C72" w14:textId="5EAC5FE9" w:rsidR="0013658D" w:rsidRPr="0013658D" w:rsidRDefault="006F0E6B" w:rsidP="00FC4407">
      <w:pPr>
        <w:pStyle w:val="PanelPara"/>
      </w:pPr>
      <w:r w:rsidRPr="00A67748">
        <w:t xml:space="preserve">Voice for </w:t>
      </w:r>
      <w:r w:rsidR="00237D13" w:rsidRPr="00A67748">
        <w:t>Victims and Witnesses</w:t>
      </w:r>
      <w:r w:rsidR="00A67748" w:rsidRPr="00A67748">
        <w:t xml:space="preserve"> is an</w:t>
      </w:r>
      <w:r w:rsidR="00237D13" w:rsidRPr="00A67748">
        <w:t xml:space="preserve"> in-house service </w:t>
      </w:r>
      <w:r w:rsidR="00A67748" w:rsidRPr="00A67748">
        <w:t>that</w:t>
      </w:r>
      <w:r w:rsidR="00237D13" w:rsidRPr="00A67748">
        <w:t xml:space="preserve"> ensur</w:t>
      </w:r>
      <w:r w:rsidR="00A67748" w:rsidRPr="00A67748">
        <w:t>es</w:t>
      </w:r>
      <w:r w:rsidR="00237D13" w:rsidRPr="00A67748">
        <w:t xml:space="preserve"> victims and witnesses of crime in Northamptonshire are </w:t>
      </w:r>
      <w:r w:rsidRPr="00A67748">
        <w:t>properly</w:t>
      </w:r>
      <w:r w:rsidRPr="0013658D">
        <w:t xml:space="preserve"> </w:t>
      </w:r>
      <w:r w:rsidR="00237D13" w:rsidRPr="0013658D">
        <w:t xml:space="preserve">supported.  Over </w:t>
      </w:r>
      <w:r w:rsidR="00A67748">
        <w:t>3</w:t>
      </w:r>
      <w:r w:rsidR="00237D13" w:rsidRPr="0013658D">
        <w:t xml:space="preserve">0 </w:t>
      </w:r>
      <w:r w:rsidR="00174124" w:rsidRPr="0013658D">
        <w:t>staff members are in place, including witness care officers, support workers</w:t>
      </w:r>
      <w:r w:rsidR="00A67748">
        <w:t xml:space="preserve"> and other </w:t>
      </w:r>
      <w:r w:rsidR="00174124" w:rsidRPr="0013658D">
        <w:t>specialists</w:t>
      </w:r>
      <w:r w:rsidR="0013658D" w:rsidRPr="0013658D">
        <w:t>.  These work to s</w:t>
      </w:r>
      <w:r w:rsidR="00237D13" w:rsidRPr="0013658D">
        <w:t>afeguard</w:t>
      </w:r>
      <w:r w:rsidR="0013658D" w:rsidRPr="0013658D">
        <w:t xml:space="preserve"> the vulnerable</w:t>
      </w:r>
      <w:r w:rsidR="00237D13" w:rsidRPr="0013658D">
        <w:t xml:space="preserve">, resulting in safer victims and communities, and working with partners to ensure offenders are brought to justice.  </w:t>
      </w:r>
      <w:r w:rsidR="0013658D" w:rsidRPr="0013658D">
        <w:t>This includes</w:t>
      </w:r>
      <w:r w:rsidR="00237D13" w:rsidRPr="0013658D">
        <w:t xml:space="preserve"> </w:t>
      </w:r>
      <w:r w:rsidR="0013658D" w:rsidRPr="0013658D">
        <w:t>services for local victims and witnesses of crime, anti-social behaviour, hate incidents and fire incidents, and vital services for compliance with the Victims Code of Practice and Witness Charter.</w:t>
      </w:r>
    </w:p>
    <w:p w14:paraId="071C94AA" w14:textId="77D73349" w:rsidR="00237D13" w:rsidRPr="0013658D" w:rsidRDefault="00237D13" w:rsidP="00FC4407">
      <w:pPr>
        <w:pStyle w:val="PanelPara"/>
      </w:pPr>
      <w:r w:rsidRPr="0013658D">
        <w:t>Grants from the Ministry of Justice (MoJ) provide around</w:t>
      </w:r>
      <w:r w:rsidR="0013658D" w:rsidRPr="0013658D">
        <w:t xml:space="preserve"> half of what is needed for the service Voice provides</w:t>
      </w:r>
      <w:r w:rsidR="0013658D">
        <w:t xml:space="preserve">. </w:t>
      </w:r>
      <w:r w:rsidR="0013658D" w:rsidRPr="0013658D">
        <w:t xml:space="preserve"> </w:t>
      </w:r>
      <w:r w:rsidR="00A67748" w:rsidRPr="00604C03">
        <w:rPr>
          <w:b/>
          <w:bCs/>
        </w:rPr>
        <w:t>T</w:t>
      </w:r>
      <w:r w:rsidR="0013658D" w:rsidRPr="00604C03">
        <w:rPr>
          <w:b/>
          <w:bCs/>
        </w:rPr>
        <w:t>he core grant for 2025/26</w:t>
      </w:r>
      <w:r w:rsidR="00A67748" w:rsidRPr="00604C03">
        <w:rPr>
          <w:b/>
          <w:bCs/>
        </w:rPr>
        <w:t xml:space="preserve"> has been cut by 4.2% compared to the previous year, and no increases have been provided for pay award or national insurance pressures.</w:t>
      </w:r>
      <w:r w:rsidR="00A67748">
        <w:t xml:space="preserve">  However, the PFCC is committed to maintaining this service and has ensure base budget and a level of reserves are in place to avoid any cuts to service this year.</w:t>
      </w:r>
    </w:p>
    <w:p w14:paraId="6E7FFFFE" w14:textId="2783049D" w:rsidR="00237D13" w:rsidRPr="00A67748" w:rsidRDefault="00237D13" w:rsidP="00FC4407">
      <w:pPr>
        <w:pStyle w:val="PanelPara"/>
      </w:pPr>
      <w:r w:rsidRPr="00A67748">
        <w:t xml:space="preserve">The Sunflower Centre is a partnership-funded service managed by the OPFCC to provide non-judgemental specialist support to victims of domestic abuse.  </w:t>
      </w:r>
      <w:r w:rsidR="00A67748" w:rsidRPr="00A67748">
        <w:t>F</w:t>
      </w:r>
      <w:r w:rsidRPr="00A67748">
        <w:t xml:space="preserve">unding from the MoJ </w:t>
      </w:r>
      <w:r w:rsidR="00A67748" w:rsidRPr="00A67748">
        <w:t>will be provided to continue funding</w:t>
      </w:r>
      <w:r w:rsidRPr="00A67748">
        <w:t xml:space="preserve"> complex needs specialists and staff to support victims/survivors to access support services, including an out-of-hours provision over weekends.</w:t>
      </w:r>
    </w:p>
    <w:p w14:paraId="1155BD86" w14:textId="5B65E35B" w:rsidR="00237D13" w:rsidRPr="00BD2797" w:rsidRDefault="00E6098A" w:rsidP="00FC4407">
      <w:pPr>
        <w:pStyle w:val="PanelPara"/>
      </w:pPr>
      <w:r w:rsidRPr="00BD2797">
        <w:t>The</w:t>
      </w:r>
      <w:r w:rsidR="00237D13" w:rsidRPr="00BD2797">
        <w:t xml:space="preserve"> Early Intervention Family Support Service offer</w:t>
      </w:r>
      <w:r w:rsidRPr="00BD2797">
        <w:t>s</w:t>
      </w:r>
      <w:r w:rsidR="00237D13" w:rsidRPr="00BD2797">
        <w:t xml:space="preserve"> early support for children, young people and their families a</w:t>
      </w:r>
      <w:r w:rsidRPr="00BD2797">
        <w:t xml:space="preserve">iming </w:t>
      </w:r>
      <w:r w:rsidR="00237D13" w:rsidRPr="00BD2797">
        <w:t>to prevent the need for longer term and more costly and complex intervention.  There are over 40 members of frontline staff including specialists in prevention and education around knife crime and exploitation, delivering 4 strands of work:</w:t>
      </w:r>
    </w:p>
    <w:p w14:paraId="21546997" w14:textId="2FFCE067" w:rsidR="00237D13" w:rsidRPr="00BD2797" w:rsidRDefault="00237D13" w:rsidP="00FC4407">
      <w:pPr>
        <w:pStyle w:val="PanelBullet"/>
        <w:numPr>
          <w:ilvl w:val="1"/>
          <w:numId w:val="6"/>
        </w:numPr>
      </w:pPr>
      <w:r w:rsidRPr="00BD2797">
        <w:t>Targeted Youth Team</w:t>
      </w:r>
      <w:r w:rsidR="00627ED0">
        <w:t>.</w:t>
      </w:r>
    </w:p>
    <w:p w14:paraId="3E638A44" w14:textId="4DCA74D3" w:rsidR="00237D13" w:rsidRPr="00BD2797" w:rsidRDefault="00237D13" w:rsidP="00FC4407">
      <w:pPr>
        <w:pStyle w:val="PanelBullet"/>
        <w:numPr>
          <w:ilvl w:val="1"/>
          <w:numId w:val="6"/>
        </w:numPr>
      </w:pPr>
      <w:r w:rsidRPr="00BD2797">
        <w:t>Domestic Abuse Support Team</w:t>
      </w:r>
      <w:r w:rsidR="00627ED0">
        <w:t>.</w:t>
      </w:r>
    </w:p>
    <w:p w14:paraId="0BBC2654" w14:textId="2DE5390D" w:rsidR="00237D13" w:rsidRPr="00BD2797" w:rsidRDefault="00237D13" w:rsidP="00FC4407">
      <w:pPr>
        <w:pStyle w:val="PanelBullet"/>
        <w:numPr>
          <w:ilvl w:val="1"/>
          <w:numId w:val="6"/>
        </w:numPr>
      </w:pPr>
      <w:r w:rsidRPr="00BD2797">
        <w:t>Adverse Childhood Experiences (ACE) Family Support Team</w:t>
      </w:r>
      <w:r w:rsidR="00627ED0">
        <w:t>.</w:t>
      </w:r>
    </w:p>
    <w:p w14:paraId="4C170CE7" w14:textId="22BC53BD" w:rsidR="00237D13" w:rsidRPr="00BD2797" w:rsidRDefault="00237D13" w:rsidP="00FC4407">
      <w:pPr>
        <w:pStyle w:val="PanelBullet"/>
        <w:numPr>
          <w:ilvl w:val="1"/>
          <w:numId w:val="6"/>
        </w:numPr>
      </w:pPr>
      <w:r w:rsidRPr="00BD2797">
        <w:lastRenderedPageBreak/>
        <w:t>Youth Violence Intervention Unit / Missing Persons Unit Support Team</w:t>
      </w:r>
      <w:r w:rsidR="00627ED0">
        <w:t>.</w:t>
      </w:r>
    </w:p>
    <w:p w14:paraId="2B56D016" w14:textId="77777777" w:rsidR="00237D13" w:rsidRPr="00BD2797" w:rsidRDefault="00237D13" w:rsidP="00E6098A">
      <w:pPr>
        <w:pStyle w:val="PanelPara"/>
        <w:numPr>
          <w:ilvl w:val="1"/>
          <w:numId w:val="6"/>
        </w:numPr>
      </w:pPr>
      <w:r w:rsidRPr="00BD2797">
        <w:t>Funds are also provided to the Youth Offending Service for Prevention and Diversion activity.</w:t>
      </w:r>
    </w:p>
    <w:p w14:paraId="239AC58E" w14:textId="51F731BC" w:rsidR="00237D13" w:rsidRPr="00BD2797" w:rsidRDefault="00237D13" w:rsidP="00FC4407">
      <w:pPr>
        <w:pStyle w:val="PanelPara"/>
      </w:pPr>
      <w:r w:rsidRPr="00BD2797">
        <w:t xml:space="preserve">Rehabilitation and Reducing Reoffending </w:t>
      </w:r>
      <w:r w:rsidR="00E6098A" w:rsidRPr="00BD2797">
        <w:t xml:space="preserve">staff </w:t>
      </w:r>
      <w:r w:rsidRPr="00BD2797">
        <w:t>work closely with policing and probation partners to identify and fund opportunities to reduce reoffending and to alleviate judiciary pressures through Out of Court Resolutions.  This includes:</w:t>
      </w:r>
    </w:p>
    <w:p w14:paraId="03999475" w14:textId="444A0A46" w:rsidR="00237D13" w:rsidRPr="00BD2797" w:rsidRDefault="00237D13" w:rsidP="00FC4407">
      <w:pPr>
        <w:pStyle w:val="PanelBullet"/>
        <w:numPr>
          <w:ilvl w:val="1"/>
          <w:numId w:val="6"/>
        </w:numPr>
      </w:pPr>
      <w:r w:rsidRPr="00BD2797">
        <w:t>Drugs Treatment and Recovery</w:t>
      </w:r>
      <w:r w:rsidR="00627ED0">
        <w:t>.</w:t>
      </w:r>
    </w:p>
    <w:p w14:paraId="35E10500" w14:textId="6778EE1A" w:rsidR="00237D13" w:rsidRPr="00BD2797" w:rsidRDefault="00237D13" w:rsidP="00FC4407">
      <w:pPr>
        <w:pStyle w:val="PanelBullet"/>
        <w:numPr>
          <w:ilvl w:val="1"/>
          <w:numId w:val="6"/>
        </w:numPr>
      </w:pPr>
      <w:r w:rsidRPr="00BD2797">
        <w:t>Preventing Intimate Partner Abuse (Project PIPA) Programme</w:t>
      </w:r>
      <w:r w:rsidR="00627ED0">
        <w:t>.</w:t>
      </w:r>
    </w:p>
    <w:p w14:paraId="1489A932" w14:textId="77777777" w:rsidR="00237D13" w:rsidRPr="00BD2797" w:rsidRDefault="00237D13" w:rsidP="00FC4407">
      <w:pPr>
        <w:pStyle w:val="PanelBullet"/>
        <w:numPr>
          <w:ilvl w:val="1"/>
          <w:numId w:val="6"/>
        </w:numPr>
      </w:pPr>
      <w:r w:rsidRPr="00BD2797">
        <w:t>Funding of programmes to provide support, training and employment opportunities for offenders, aiming to break the cycle of poverty, unemployment and offending.</w:t>
      </w:r>
    </w:p>
    <w:p w14:paraId="002C8EA0" w14:textId="25535102" w:rsidR="00237D13" w:rsidRPr="00BD2797" w:rsidRDefault="00237D13" w:rsidP="00FC4407">
      <w:pPr>
        <w:pStyle w:val="PanelBullet"/>
        <w:numPr>
          <w:ilvl w:val="1"/>
          <w:numId w:val="6"/>
        </w:numPr>
      </w:pPr>
      <w:r w:rsidRPr="00BD2797">
        <w:t>A support and counselling service for offenders with complex needs, poor mental health and substance misuse problems</w:t>
      </w:r>
      <w:r w:rsidR="00627ED0">
        <w:t>.</w:t>
      </w:r>
    </w:p>
    <w:p w14:paraId="48685116" w14:textId="08579358" w:rsidR="00237D13" w:rsidRDefault="00237D13" w:rsidP="00604C03">
      <w:pPr>
        <w:pStyle w:val="PanelPara"/>
        <w:numPr>
          <w:ilvl w:val="1"/>
          <w:numId w:val="6"/>
        </w:numPr>
      </w:pPr>
      <w:r w:rsidRPr="00BD2797">
        <w:t>Integrated Offender Management</w:t>
      </w:r>
      <w:r w:rsidR="00627ED0">
        <w:t>.</w:t>
      </w:r>
    </w:p>
    <w:p w14:paraId="4C787CF6" w14:textId="7FECDBB4" w:rsidR="00FC4407" w:rsidRPr="00AA7BE8" w:rsidRDefault="00FC4407" w:rsidP="00604C03">
      <w:pPr>
        <w:pStyle w:val="PanelPara"/>
      </w:pPr>
      <w:bookmarkStart w:id="0" w:name="_Hlk93920243"/>
      <w:r w:rsidRPr="00AA7BE8">
        <w:t xml:space="preserve">Grant </w:t>
      </w:r>
      <w:r w:rsidRPr="00604C03">
        <w:t>funding</w:t>
      </w:r>
      <w:r w:rsidRPr="00AA7BE8">
        <w:t xml:space="preserve"> for the Immediate Justice pilot has been ceased from April 2025.  However, the PFCC has recognised its success so far and will be continuing to fund the project in 2025/26.  The project seeks to increase the speed and visibility of reparative action in response to ASB, primarily through funding additional staff to supervise and facilitate reparative activity.  Reparative activity may include:</w:t>
      </w:r>
    </w:p>
    <w:p w14:paraId="455ECDD9" w14:textId="1AADA7E6" w:rsidR="00FC4407" w:rsidRPr="00AA7BE8" w:rsidRDefault="00FC4407" w:rsidP="00FC4407">
      <w:pPr>
        <w:pStyle w:val="PanelBullet"/>
        <w:numPr>
          <w:ilvl w:val="1"/>
          <w:numId w:val="6"/>
        </w:numPr>
      </w:pPr>
      <w:r w:rsidRPr="00AA7BE8">
        <w:t>Litter-picking in public parks and high streets</w:t>
      </w:r>
      <w:r w:rsidR="00627ED0">
        <w:t>.</w:t>
      </w:r>
    </w:p>
    <w:p w14:paraId="610BC78F" w14:textId="3B77DF9B" w:rsidR="00FC4407" w:rsidRPr="00AA7BE8" w:rsidRDefault="00FC4407" w:rsidP="00FC4407">
      <w:pPr>
        <w:pStyle w:val="PanelBullet"/>
        <w:numPr>
          <w:ilvl w:val="1"/>
          <w:numId w:val="6"/>
        </w:numPr>
      </w:pPr>
      <w:r w:rsidRPr="00AA7BE8">
        <w:t>Site clean-up after council funded events</w:t>
      </w:r>
      <w:r w:rsidR="00627ED0">
        <w:t>.</w:t>
      </w:r>
    </w:p>
    <w:p w14:paraId="1BF3AEF7" w14:textId="6120DE6B" w:rsidR="00FC4407" w:rsidRPr="00AA7BE8" w:rsidRDefault="00FC4407" w:rsidP="00FC4407">
      <w:pPr>
        <w:pStyle w:val="PanelBullet"/>
        <w:numPr>
          <w:ilvl w:val="1"/>
          <w:numId w:val="6"/>
        </w:numPr>
      </w:pPr>
      <w:r w:rsidRPr="00AA7BE8">
        <w:t>Proactive or reactive cleaning of civic memorials</w:t>
      </w:r>
      <w:r w:rsidR="00627ED0">
        <w:t>.</w:t>
      </w:r>
    </w:p>
    <w:p w14:paraId="6E8BF06D" w14:textId="69E608B9" w:rsidR="00FC4407" w:rsidRPr="00AA7BE8" w:rsidRDefault="00FC4407" w:rsidP="00FC4407">
      <w:pPr>
        <w:pStyle w:val="PanelBullet"/>
        <w:numPr>
          <w:ilvl w:val="1"/>
          <w:numId w:val="6"/>
        </w:numPr>
      </w:pPr>
      <w:r w:rsidRPr="00AA7BE8">
        <w:t>Installation of hanging baskets or temporary civic notices</w:t>
      </w:r>
      <w:r w:rsidR="00627ED0">
        <w:t>.</w:t>
      </w:r>
    </w:p>
    <w:p w14:paraId="0993765E" w14:textId="70B20690" w:rsidR="00FC4407" w:rsidRPr="00AA7BE8" w:rsidRDefault="00FC4407" w:rsidP="00FC4407">
      <w:pPr>
        <w:pStyle w:val="PanelBullet"/>
        <w:numPr>
          <w:ilvl w:val="1"/>
          <w:numId w:val="6"/>
        </w:numPr>
      </w:pPr>
      <w:r w:rsidRPr="00AA7BE8">
        <w:t>Gardening of communal flower beds in town centres</w:t>
      </w:r>
      <w:r w:rsidR="00627ED0">
        <w:t>.</w:t>
      </w:r>
    </w:p>
    <w:p w14:paraId="7930B5DB" w14:textId="7AA9AD0B" w:rsidR="00FC4407" w:rsidRPr="00AA7BE8" w:rsidRDefault="00FC4407" w:rsidP="00FC4407">
      <w:pPr>
        <w:pStyle w:val="PanelBullet"/>
        <w:numPr>
          <w:ilvl w:val="1"/>
          <w:numId w:val="6"/>
        </w:numPr>
      </w:pPr>
      <w:r w:rsidRPr="00AA7BE8">
        <w:t>Cleaning of graffiti on bus shelters, tram stops or train stations or public signage</w:t>
      </w:r>
      <w:r w:rsidR="00627ED0">
        <w:t>.</w:t>
      </w:r>
    </w:p>
    <w:p w14:paraId="1F2BABA0" w14:textId="4C95C5FB" w:rsidR="00045427" w:rsidRPr="00604C03" w:rsidRDefault="00FC4407" w:rsidP="00604C03">
      <w:pPr>
        <w:pStyle w:val="PanelPara"/>
        <w:numPr>
          <w:ilvl w:val="1"/>
          <w:numId w:val="6"/>
        </w:numPr>
      </w:pPr>
      <w:r w:rsidRPr="00AA7BE8">
        <w:t>Basic repairs of damaged public property, or private property with victim/owner consent</w:t>
      </w:r>
      <w:r w:rsidR="00627ED0">
        <w:t>.</w:t>
      </w:r>
    </w:p>
    <w:p w14:paraId="40200A4C" w14:textId="55AC956D" w:rsidR="00F82357" w:rsidRDefault="00BD2797" w:rsidP="009A6A8E">
      <w:pPr>
        <w:pStyle w:val="PanelPara"/>
      </w:pPr>
      <w:r w:rsidRPr="00BD2797">
        <w:t>T</w:t>
      </w:r>
      <w:r w:rsidR="00F56758" w:rsidRPr="00BD2797">
        <w:t xml:space="preserve">he Police, Fire and Crime </w:t>
      </w:r>
      <w:r w:rsidR="00656A64" w:rsidRPr="00BD2797">
        <w:t xml:space="preserve">Plan </w:t>
      </w:r>
      <w:r w:rsidR="00F56758" w:rsidRPr="00BD2797">
        <w:t>Delivery Fund</w:t>
      </w:r>
      <w:r w:rsidRPr="00BD2797">
        <w:t xml:space="preserve"> is earmarked to </w:t>
      </w:r>
      <w:r w:rsidR="00ED6358" w:rsidRPr="00BD2797">
        <w:t xml:space="preserve">support initiatives which are </w:t>
      </w:r>
      <w:r w:rsidRPr="00BD2797">
        <w:t>identified to drive forward work on achieving outcomes in the Public Safety Plan</w:t>
      </w:r>
      <w:r w:rsidR="00ED6358" w:rsidRPr="00BD2797">
        <w:t xml:space="preserve">. </w:t>
      </w:r>
      <w:r w:rsidR="002A32A6" w:rsidRPr="00BD2797">
        <w:t xml:space="preserve"> T</w:t>
      </w:r>
      <w:r w:rsidR="00ED6358" w:rsidRPr="00BD2797">
        <w:t xml:space="preserve">he sum of £0.250m </w:t>
      </w:r>
      <w:r w:rsidR="002A32A6" w:rsidRPr="00BD2797">
        <w:t xml:space="preserve">has been ring-fenced </w:t>
      </w:r>
      <w:r w:rsidR="00656A64" w:rsidRPr="00BD2797">
        <w:t xml:space="preserve">along </w:t>
      </w:r>
      <w:r w:rsidR="005073E5" w:rsidRPr="00BD2797">
        <w:t>with</w:t>
      </w:r>
      <w:r w:rsidR="002A32A6" w:rsidRPr="00BD2797">
        <w:t xml:space="preserve"> funding for</w:t>
      </w:r>
      <w:r w:rsidR="005073E5" w:rsidRPr="00BD2797">
        <w:t xml:space="preserve"> the grant schemes </w:t>
      </w:r>
      <w:r w:rsidR="002A32A6" w:rsidRPr="00BD2797">
        <w:t>already</w:t>
      </w:r>
      <w:r w:rsidR="00CF6BC0" w:rsidRPr="00BD2797">
        <w:t xml:space="preserve"> in place.</w:t>
      </w:r>
    </w:p>
    <w:p w14:paraId="0B020159" w14:textId="34351C81" w:rsidR="00592CA9" w:rsidRDefault="00AD7B4F" w:rsidP="00AE75DF">
      <w:pPr>
        <w:pStyle w:val="PanelPara"/>
      </w:pPr>
      <w:r>
        <w:t>The Customer Services and Communications Teams have been bolstered to ensure they are adequately staffed to meet demand, provide the best possible service and to take forward work that delivers against the Public Safety Plan.</w:t>
      </w:r>
      <w:bookmarkEnd w:id="0"/>
    </w:p>
    <w:p w14:paraId="42BA7C3B" w14:textId="77777777" w:rsidR="00FF3F04" w:rsidRPr="00AE75DF" w:rsidRDefault="00FF3F04" w:rsidP="00FF3F04"/>
    <w:p w14:paraId="57C785B7" w14:textId="77777777" w:rsidR="00604C03" w:rsidRDefault="00604C03" w:rsidP="00C6649D">
      <w:pPr>
        <w:pStyle w:val="PanelHeading"/>
      </w:pPr>
    </w:p>
    <w:sectPr w:rsidR="00604C03" w:rsidSect="00444593">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3F02F" w14:textId="77777777" w:rsidR="00B234C6" w:rsidRDefault="00B234C6" w:rsidP="008B7473">
      <w:pPr>
        <w:spacing w:line="240" w:lineRule="auto"/>
      </w:pPr>
      <w:r>
        <w:separator/>
      </w:r>
    </w:p>
  </w:endnote>
  <w:endnote w:type="continuationSeparator" w:id="0">
    <w:p w14:paraId="5E59BE03" w14:textId="77777777" w:rsidR="00B234C6" w:rsidRDefault="00B234C6" w:rsidP="008B74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9C6B2" w14:textId="77777777" w:rsidR="00B234C6" w:rsidRDefault="00B234C6" w:rsidP="008B7473">
      <w:pPr>
        <w:spacing w:line="240" w:lineRule="auto"/>
      </w:pPr>
      <w:r>
        <w:separator/>
      </w:r>
    </w:p>
  </w:footnote>
  <w:footnote w:type="continuationSeparator" w:id="0">
    <w:p w14:paraId="455D70DF" w14:textId="77777777" w:rsidR="00B234C6" w:rsidRDefault="00B234C6" w:rsidP="008B747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D39FE"/>
    <w:multiLevelType w:val="hybridMultilevel"/>
    <w:tmpl w:val="260C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EF5332"/>
    <w:multiLevelType w:val="hybridMultilevel"/>
    <w:tmpl w:val="3614FDB4"/>
    <w:lvl w:ilvl="0" w:tplc="08090001">
      <w:start w:val="1"/>
      <w:numFmt w:val="bullet"/>
      <w:lvlText w:val=""/>
      <w:lvlJc w:val="left"/>
      <w:pPr>
        <w:ind w:left="1065" w:hanging="360"/>
      </w:pPr>
      <w:rPr>
        <w:rFonts w:ascii="Symbol" w:hAnsi="Symbol" w:hint="default"/>
      </w:rPr>
    </w:lvl>
    <w:lvl w:ilvl="1" w:tplc="08090003">
      <w:start w:val="1"/>
      <w:numFmt w:val="bullet"/>
      <w:lvlText w:val="o"/>
      <w:lvlJc w:val="left"/>
      <w:pPr>
        <w:ind w:left="1785" w:hanging="360"/>
      </w:pPr>
      <w:rPr>
        <w:rFonts w:ascii="Courier New" w:hAnsi="Courier New" w:cs="Courier New" w:hint="default"/>
      </w:rPr>
    </w:lvl>
    <w:lvl w:ilvl="2" w:tplc="08090005">
      <w:start w:val="1"/>
      <w:numFmt w:val="bullet"/>
      <w:lvlText w:val=""/>
      <w:lvlJc w:val="left"/>
      <w:pPr>
        <w:ind w:left="2505" w:hanging="360"/>
      </w:pPr>
      <w:rPr>
        <w:rFonts w:ascii="Wingdings" w:hAnsi="Wingdings" w:hint="default"/>
      </w:rPr>
    </w:lvl>
    <w:lvl w:ilvl="3" w:tplc="08090001">
      <w:start w:val="1"/>
      <w:numFmt w:val="bullet"/>
      <w:lvlText w:val=""/>
      <w:lvlJc w:val="left"/>
      <w:pPr>
        <w:ind w:left="3225" w:hanging="360"/>
      </w:pPr>
      <w:rPr>
        <w:rFonts w:ascii="Symbol" w:hAnsi="Symbol" w:hint="default"/>
      </w:rPr>
    </w:lvl>
    <w:lvl w:ilvl="4" w:tplc="08090003">
      <w:start w:val="1"/>
      <w:numFmt w:val="bullet"/>
      <w:lvlText w:val="o"/>
      <w:lvlJc w:val="left"/>
      <w:pPr>
        <w:ind w:left="3945" w:hanging="360"/>
      </w:pPr>
      <w:rPr>
        <w:rFonts w:ascii="Courier New" w:hAnsi="Courier New" w:cs="Courier New" w:hint="default"/>
      </w:rPr>
    </w:lvl>
    <w:lvl w:ilvl="5" w:tplc="08090005">
      <w:start w:val="1"/>
      <w:numFmt w:val="bullet"/>
      <w:lvlText w:val=""/>
      <w:lvlJc w:val="left"/>
      <w:pPr>
        <w:ind w:left="4665" w:hanging="360"/>
      </w:pPr>
      <w:rPr>
        <w:rFonts w:ascii="Wingdings" w:hAnsi="Wingdings" w:hint="default"/>
      </w:rPr>
    </w:lvl>
    <w:lvl w:ilvl="6" w:tplc="08090001">
      <w:start w:val="1"/>
      <w:numFmt w:val="bullet"/>
      <w:lvlText w:val=""/>
      <w:lvlJc w:val="left"/>
      <w:pPr>
        <w:ind w:left="5385" w:hanging="360"/>
      </w:pPr>
      <w:rPr>
        <w:rFonts w:ascii="Symbol" w:hAnsi="Symbol" w:hint="default"/>
      </w:rPr>
    </w:lvl>
    <w:lvl w:ilvl="7" w:tplc="08090003">
      <w:start w:val="1"/>
      <w:numFmt w:val="bullet"/>
      <w:lvlText w:val="o"/>
      <w:lvlJc w:val="left"/>
      <w:pPr>
        <w:ind w:left="6105" w:hanging="360"/>
      </w:pPr>
      <w:rPr>
        <w:rFonts w:ascii="Courier New" w:hAnsi="Courier New" w:cs="Courier New" w:hint="default"/>
      </w:rPr>
    </w:lvl>
    <w:lvl w:ilvl="8" w:tplc="08090005">
      <w:start w:val="1"/>
      <w:numFmt w:val="bullet"/>
      <w:lvlText w:val=""/>
      <w:lvlJc w:val="left"/>
      <w:pPr>
        <w:ind w:left="6825" w:hanging="360"/>
      </w:pPr>
      <w:rPr>
        <w:rFonts w:ascii="Wingdings" w:hAnsi="Wingdings" w:hint="default"/>
      </w:rPr>
    </w:lvl>
  </w:abstractNum>
  <w:abstractNum w:abstractNumId="2" w15:restartNumberingAfterBreak="0">
    <w:nsid w:val="37625B79"/>
    <w:multiLevelType w:val="hybridMultilevel"/>
    <w:tmpl w:val="9196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006AD8"/>
    <w:multiLevelType w:val="hybridMultilevel"/>
    <w:tmpl w:val="4D288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A31BFF"/>
    <w:multiLevelType w:val="hybridMultilevel"/>
    <w:tmpl w:val="7972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191332"/>
    <w:multiLevelType w:val="multilevel"/>
    <w:tmpl w:val="1BC26A64"/>
    <w:lvl w:ilvl="0">
      <w:start w:val="1"/>
      <w:numFmt w:val="decimal"/>
      <w:pStyle w:val="PanelPara"/>
      <w:lvlText w:val="%1."/>
      <w:lvlJc w:val="left"/>
      <w:pPr>
        <w:ind w:left="567" w:hanging="567"/>
      </w:pPr>
      <w:rPr>
        <w:rFonts w:hint="default"/>
        <w:b w:val="0"/>
        <w:bCs/>
        <w:i w:val="0"/>
        <w:iCs w:val="0"/>
      </w:rPr>
    </w:lvl>
    <w:lvl w:ilvl="1">
      <w:start w:val="1"/>
      <w:numFmt w:val="lowerLetter"/>
      <w:lvlText w:val="%2."/>
      <w:lvlJc w:val="left"/>
      <w:pPr>
        <w:ind w:left="1134" w:hanging="567"/>
      </w:pPr>
      <w:rPr>
        <w:rFonts w:hint="default"/>
      </w:rPr>
    </w:lvl>
    <w:lvl w:ilvl="2">
      <w:start w:val="1"/>
      <w:numFmt w:val="bullet"/>
      <w:pStyle w:val="PanelBullet"/>
      <w:lvlText w:val=""/>
      <w:lvlJc w:val="left"/>
      <w:pPr>
        <w:ind w:left="1701" w:hanging="567"/>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5D1B210C"/>
    <w:multiLevelType w:val="hybridMultilevel"/>
    <w:tmpl w:val="C9BE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0141E2"/>
    <w:multiLevelType w:val="multilevel"/>
    <w:tmpl w:val="8432EB84"/>
    <w:lvl w:ilvl="0">
      <w:start w:val="1"/>
      <w:numFmt w:val="decimal"/>
      <w:pStyle w:val="ReservesHeading"/>
      <w:lvlText w:val="%1."/>
      <w:lvlJc w:val="left"/>
      <w:pPr>
        <w:ind w:left="360" w:hanging="360"/>
      </w:pPr>
    </w:lvl>
    <w:lvl w:ilvl="1">
      <w:start w:val="1"/>
      <w:numFmt w:val="decimal"/>
      <w:pStyle w:val="ReservesBody"/>
      <w:lvlText w:val="%1.%2."/>
      <w:lvlJc w:val="left"/>
      <w:pPr>
        <w:ind w:left="792" w:hanging="432"/>
      </w:pPr>
      <w:rPr>
        <w:i w:val="0"/>
        <w:iCs/>
      </w:rPr>
    </w:lvl>
    <w:lvl w:ilvl="2">
      <w:start w:val="1"/>
      <w:numFmt w:val="bullet"/>
      <w:pStyle w:val="Reserves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2D07622"/>
    <w:multiLevelType w:val="hybridMultilevel"/>
    <w:tmpl w:val="72FA5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3271906">
    <w:abstractNumId w:val="3"/>
  </w:num>
  <w:num w:numId="2" w16cid:durableId="442460560">
    <w:abstractNumId w:val="4"/>
  </w:num>
  <w:num w:numId="3" w16cid:durableId="761996753">
    <w:abstractNumId w:val="8"/>
  </w:num>
  <w:num w:numId="4" w16cid:durableId="970211236">
    <w:abstractNumId w:val="6"/>
  </w:num>
  <w:num w:numId="5" w16cid:durableId="1212226803">
    <w:abstractNumId w:val="2"/>
  </w:num>
  <w:num w:numId="6" w16cid:durableId="590091818">
    <w:abstractNumId w:val="5"/>
  </w:num>
  <w:num w:numId="7" w16cid:durableId="31926870">
    <w:abstractNumId w:val="7"/>
  </w:num>
  <w:num w:numId="8" w16cid:durableId="516189182">
    <w:abstractNumId w:val="5"/>
  </w:num>
  <w:num w:numId="9" w16cid:durableId="1742213253">
    <w:abstractNumId w:val="5"/>
  </w:num>
  <w:num w:numId="10" w16cid:durableId="870529313">
    <w:abstractNumId w:val="5"/>
  </w:num>
  <w:num w:numId="11" w16cid:durableId="1624116790">
    <w:abstractNumId w:val="5"/>
  </w:num>
  <w:num w:numId="12" w16cid:durableId="2075203394">
    <w:abstractNumId w:val="5"/>
  </w:num>
  <w:num w:numId="13" w16cid:durableId="2101174892">
    <w:abstractNumId w:val="5"/>
  </w:num>
  <w:num w:numId="14" w16cid:durableId="1136684657">
    <w:abstractNumId w:val="5"/>
  </w:num>
  <w:num w:numId="15" w16cid:durableId="1625581162">
    <w:abstractNumId w:val="5"/>
  </w:num>
  <w:num w:numId="16" w16cid:durableId="398476371">
    <w:abstractNumId w:val="5"/>
  </w:num>
  <w:num w:numId="17" w16cid:durableId="1843935771">
    <w:abstractNumId w:val="5"/>
  </w:num>
  <w:num w:numId="18" w16cid:durableId="122575901">
    <w:abstractNumId w:val="5"/>
  </w:num>
  <w:num w:numId="19" w16cid:durableId="1478575145">
    <w:abstractNumId w:val="5"/>
  </w:num>
  <w:num w:numId="20" w16cid:durableId="1063718023">
    <w:abstractNumId w:val="1"/>
  </w:num>
  <w:num w:numId="21" w16cid:durableId="271985667">
    <w:abstractNumId w:val="0"/>
  </w:num>
  <w:num w:numId="22" w16cid:durableId="2076776213">
    <w:abstractNumId w:val="5"/>
  </w:num>
  <w:num w:numId="23" w16cid:durableId="25867909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9D6"/>
    <w:rsid w:val="00000509"/>
    <w:rsid w:val="00001BB6"/>
    <w:rsid w:val="00001C7E"/>
    <w:rsid w:val="0000490D"/>
    <w:rsid w:val="00004F36"/>
    <w:rsid w:val="000139F2"/>
    <w:rsid w:val="000143C4"/>
    <w:rsid w:val="000201F9"/>
    <w:rsid w:val="00020C70"/>
    <w:rsid w:val="00021940"/>
    <w:rsid w:val="00023752"/>
    <w:rsid w:val="000244FF"/>
    <w:rsid w:val="000249E2"/>
    <w:rsid w:val="000255B4"/>
    <w:rsid w:val="0003142E"/>
    <w:rsid w:val="00035F03"/>
    <w:rsid w:val="00035FDC"/>
    <w:rsid w:val="00040449"/>
    <w:rsid w:val="00040DD9"/>
    <w:rsid w:val="0004158E"/>
    <w:rsid w:val="00044BFF"/>
    <w:rsid w:val="00045427"/>
    <w:rsid w:val="0004646B"/>
    <w:rsid w:val="00047250"/>
    <w:rsid w:val="00047432"/>
    <w:rsid w:val="00047952"/>
    <w:rsid w:val="00047BC3"/>
    <w:rsid w:val="00052820"/>
    <w:rsid w:val="000574AD"/>
    <w:rsid w:val="00060568"/>
    <w:rsid w:val="00060ECC"/>
    <w:rsid w:val="00062F65"/>
    <w:rsid w:val="00063637"/>
    <w:rsid w:val="000641E8"/>
    <w:rsid w:val="000659CF"/>
    <w:rsid w:val="000713E6"/>
    <w:rsid w:val="000727DB"/>
    <w:rsid w:val="00073E24"/>
    <w:rsid w:val="00076099"/>
    <w:rsid w:val="00076927"/>
    <w:rsid w:val="00080E5A"/>
    <w:rsid w:val="000827F0"/>
    <w:rsid w:val="000836B9"/>
    <w:rsid w:val="00083DE2"/>
    <w:rsid w:val="00085B04"/>
    <w:rsid w:val="00086EC5"/>
    <w:rsid w:val="000937CF"/>
    <w:rsid w:val="000949B7"/>
    <w:rsid w:val="000952E6"/>
    <w:rsid w:val="00096589"/>
    <w:rsid w:val="000967F1"/>
    <w:rsid w:val="00096FBD"/>
    <w:rsid w:val="00097D5E"/>
    <w:rsid w:val="000A0765"/>
    <w:rsid w:val="000A0A55"/>
    <w:rsid w:val="000A0AFB"/>
    <w:rsid w:val="000A0F45"/>
    <w:rsid w:val="000A1215"/>
    <w:rsid w:val="000A18A7"/>
    <w:rsid w:val="000A1DFA"/>
    <w:rsid w:val="000A4660"/>
    <w:rsid w:val="000A4FAF"/>
    <w:rsid w:val="000A52BE"/>
    <w:rsid w:val="000A77F0"/>
    <w:rsid w:val="000A7C1D"/>
    <w:rsid w:val="000B0D00"/>
    <w:rsid w:val="000B0DB2"/>
    <w:rsid w:val="000B124D"/>
    <w:rsid w:val="000B25F3"/>
    <w:rsid w:val="000B2EB8"/>
    <w:rsid w:val="000B2F67"/>
    <w:rsid w:val="000B6B36"/>
    <w:rsid w:val="000C269E"/>
    <w:rsid w:val="000C4CE1"/>
    <w:rsid w:val="000C5361"/>
    <w:rsid w:val="000D0F95"/>
    <w:rsid w:val="000D1925"/>
    <w:rsid w:val="000D3D9A"/>
    <w:rsid w:val="000D3FDC"/>
    <w:rsid w:val="000D54E6"/>
    <w:rsid w:val="000D63B7"/>
    <w:rsid w:val="000E0F8E"/>
    <w:rsid w:val="000E0FA1"/>
    <w:rsid w:val="000E2E7C"/>
    <w:rsid w:val="000E3187"/>
    <w:rsid w:val="000E35D2"/>
    <w:rsid w:val="000E5161"/>
    <w:rsid w:val="000E676B"/>
    <w:rsid w:val="000E6C0B"/>
    <w:rsid w:val="000E78A0"/>
    <w:rsid w:val="000E7A5D"/>
    <w:rsid w:val="000F44B6"/>
    <w:rsid w:val="00101310"/>
    <w:rsid w:val="00101736"/>
    <w:rsid w:val="00106757"/>
    <w:rsid w:val="00106A69"/>
    <w:rsid w:val="00106B37"/>
    <w:rsid w:val="00107C61"/>
    <w:rsid w:val="00110E27"/>
    <w:rsid w:val="001165F5"/>
    <w:rsid w:val="00116F6A"/>
    <w:rsid w:val="00117B24"/>
    <w:rsid w:val="0012341A"/>
    <w:rsid w:val="00124159"/>
    <w:rsid w:val="001256C4"/>
    <w:rsid w:val="001306B5"/>
    <w:rsid w:val="0013118D"/>
    <w:rsid w:val="00131D80"/>
    <w:rsid w:val="00131E14"/>
    <w:rsid w:val="00133FCA"/>
    <w:rsid w:val="00134538"/>
    <w:rsid w:val="0013658D"/>
    <w:rsid w:val="00136C60"/>
    <w:rsid w:val="00141D16"/>
    <w:rsid w:val="00142AEE"/>
    <w:rsid w:val="00142CB4"/>
    <w:rsid w:val="00143AD7"/>
    <w:rsid w:val="0014427A"/>
    <w:rsid w:val="00144B22"/>
    <w:rsid w:val="0014672E"/>
    <w:rsid w:val="00146AEC"/>
    <w:rsid w:val="00147995"/>
    <w:rsid w:val="00151106"/>
    <w:rsid w:val="00152B93"/>
    <w:rsid w:val="00152E7B"/>
    <w:rsid w:val="001540F5"/>
    <w:rsid w:val="001720D0"/>
    <w:rsid w:val="001722C3"/>
    <w:rsid w:val="00173107"/>
    <w:rsid w:val="00174124"/>
    <w:rsid w:val="00174CE0"/>
    <w:rsid w:val="0017545F"/>
    <w:rsid w:val="0017694F"/>
    <w:rsid w:val="00176A2A"/>
    <w:rsid w:val="00177FA7"/>
    <w:rsid w:val="00184BF7"/>
    <w:rsid w:val="00185C1B"/>
    <w:rsid w:val="00191853"/>
    <w:rsid w:val="00191B83"/>
    <w:rsid w:val="001946E0"/>
    <w:rsid w:val="00194DF5"/>
    <w:rsid w:val="00196312"/>
    <w:rsid w:val="00197388"/>
    <w:rsid w:val="001A1872"/>
    <w:rsid w:val="001A1D6E"/>
    <w:rsid w:val="001A2092"/>
    <w:rsid w:val="001A6BFA"/>
    <w:rsid w:val="001A7B70"/>
    <w:rsid w:val="001B1E92"/>
    <w:rsid w:val="001B3EA3"/>
    <w:rsid w:val="001B4F2E"/>
    <w:rsid w:val="001B53AC"/>
    <w:rsid w:val="001B5AD6"/>
    <w:rsid w:val="001C1326"/>
    <w:rsid w:val="001C32E6"/>
    <w:rsid w:val="001C4612"/>
    <w:rsid w:val="001C762E"/>
    <w:rsid w:val="001D0E11"/>
    <w:rsid w:val="001D111E"/>
    <w:rsid w:val="001D144A"/>
    <w:rsid w:val="001D15C6"/>
    <w:rsid w:val="001D2374"/>
    <w:rsid w:val="001D2F95"/>
    <w:rsid w:val="001D38B2"/>
    <w:rsid w:val="001D38F9"/>
    <w:rsid w:val="001D3CF5"/>
    <w:rsid w:val="001D55FA"/>
    <w:rsid w:val="001E1A00"/>
    <w:rsid w:val="001E1ECE"/>
    <w:rsid w:val="001E26FE"/>
    <w:rsid w:val="001E27E5"/>
    <w:rsid w:val="001E3237"/>
    <w:rsid w:val="001E4A29"/>
    <w:rsid w:val="001E61BE"/>
    <w:rsid w:val="001E6428"/>
    <w:rsid w:val="001E64A9"/>
    <w:rsid w:val="001F1FB5"/>
    <w:rsid w:val="001F309C"/>
    <w:rsid w:val="001F4086"/>
    <w:rsid w:val="001F587A"/>
    <w:rsid w:val="00200286"/>
    <w:rsid w:val="00203453"/>
    <w:rsid w:val="00203989"/>
    <w:rsid w:val="00203EBF"/>
    <w:rsid w:val="00206F72"/>
    <w:rsid w:val="00207273"/>
    <w:rsid w:val="002075A2"/>
    <w:rsid w:val="00207D0D"/>
    <w:rsid w:val="00211AF5"/>
    <w:rsid w:val="00211F1A"/>
    <w:rsid w:val="002124FB"/>
    <w:rsid w:val="0021623B"/>
    <w:rsid w:val="00217928"/>
    <w:rsid w:val="00217B2A"/>
    <w:rsid w:val="00217B88"/>
    <w:rsid w:val="00220144"/>
    <w:rsid w:val="00223E10"/>
    <w:rsid w:val="00224E1E"/>
    <w:rsid w:val="00227D1A"/>
    <w:rsid w:val="002307C3"/>
    <w:rsid w:val="00237D13"/>
    <w:rsid w:val="00240256"/>
    <w:rsid w:val="0024161B"/>
    <w:rsid w:val="002424FB"/>
    <w:rsid w:val="002433ED"/>
    <w:rsid w:val="00244366"/>
    <w:rsid w:val="002455CC"/>
    <w:rsid w:val="002464CA"/>
    <w:rsid w:val="002469AB"/>
    <w:rsid w:val="002478B9"/>
    <w:rsid w:val="00250B39"/>
    <w:rsid w:val="00252C65"/>
    <w:rsid w:val="00253C0B"/>
    <w:rsid w:val="0025538C"/>
    <w:rsid w:val="00256682"/>
    <w:rsid w:val="0026046C"/>
    <w:rsid w:val="00261126"/>
    <w:rsid w:val="00261263"/>
    <w:rsid w:val="002617A5"/>
    <w:rsid w:val="00264D9D"/>
    <w:rsid w:val="0027069C"/>
    <w:rsid w:val="00273010"/>
    <w:rsid w:val="00275ADE"/>
    <w:rsid w:val="00276BF4"/>
    <w:rsid w:val="0027745A"/>
    <w:rsid w:val="00280882"/>
    <w:rsid w:val="00280E6A"/>
    <w:rsid w:val="00281527"/>
    <w:rsid w:val="002827D8"/>
    <w:rsid w:val="00282AC6"/>
    <w:rsid w:val="00283648"/>
    <w:rsid w:val="002942FC"/>
    <w:rsid w:val="00297A65"/>
    <w:rsid w:val="00297F08"/>
    <w:rsid w:val="002A0550"/>
    <w:rsid w:val="002A32A6"/>
    <w:rsid w:val="002A4535"/>
    <w:rsid w:val="002A5432"/>
    <w:rsid w:val="002A7320"/>
    <w:rsid w:val="002A782E"/>
    <w:rsid w:val="002B1E98"/>
    <w:rsid w:val="002B4BFE"/>
    <w:rsid w:val="002B58F7"/>
    <w:rsid w:val="002C00AB"/>
    <w:rsid w:val="002C1A75"/>
    <w:rsid w:val="002C1B66"/>
    <w:rsid w:val="002C21A3"/>
    <w:rsid w:val="002C7223"/>
    <w:rsid w:val="002C7710"/>
    <w:rsid w:val="002D393C"/>
    <w:rsid w:val="002D49E8"/>
    <w:rsid w:val="002D4D15"/>
    <w:rsid w:val="002D6993"/>
    <w:rsid w:val="002D6AA6"/>
    <w:rsid w:val="002D7500"/>
    <w:rsid w:val="002E0D24"/>
    <w:rsid w:val="002E15EF"/>
    <w:rsid w:val="002E221A"/>
    <w:rsid w:val="002E5EBA"/>
    <w:rsid w:val="002E7988"/>
    <w:rsid w:val="002E7C67"/>
    <w:rsid w:val="002F0B6B"/>
    <w:rsid w:val="002F12F7"/>
    <w:rsid w:val="002F2EF9"/>
    <w:rsid w:val="002F313D"/>
    <w:rsid w:val="002F436F"/>
    <w:rsid w:val="002F71D1"/>
    <w:rsid w:val="002F7569"/>
    <w:rsid w:val="00306286"/>
    <w:rsid w:val="00306D43"/>
    <w:rsid w:val="00307680"/>
    <w:rsid w:val="00307B74"/>
    <w:rsid w:val="0031016E"/>
    <w:rsid w:val="003138C8"/>
    <w:rsid w:val="00313907"/>
    <w:rsid w:val="00316966"/>
    <w:rsid w:val="00325554"/>
    <w:rsid w:val="00325769"/>
    <w:rsid w:val="00325CC7"/>
    <w:rsid w:val="00326E1C"/>
    <w:rsid w:val="00327ADF"/>
    <w:rsid w:val="00327FAC"/>
    <w:rsid w:val="00331DA8"/>
    <w:rsid w:val="003324F4"/>
    <w:rsid w:val="0033266D"/>
    <w:rsid w:val="00334760"/>
    <w:rsid w:val="003375BC"/>
    <w:rsid w:val="0034131C"/>
    <w:rsid w:val="003443E7"/>
    <w:rsid w:val="00345F79"/>
    <w:rsid w:val="0034617D"/>
    <w:rsid w:val="00355D7E"/>
    <w:rsid w:val="0035605A"/>
    <w:rsid w:val="00356802"/>
    <w:rsid w:val="00356B50"/>
    <w:rsid w:val="00357350"/>
    <w:rsid w:val="0035748F"/>
    <w:rsid w:val="00357925"/>
    <w:rsid w:val="00360A96"/>
    <w:rsid w:val="00361AE9"/>
    <w:rsid w:val="00362289"/>
    <w:rsid w:val="003626B0"/>
    <w:rsid w:val="00367C1E"/>
    <w:rsid w:val="003701F3"/>
    <w:rsid w:val="00373F28"/>
    <w:rsid w:val="00374DD2"/>
    <w:rsid w:val="00376315"/>
    <w:rsid w:val="0037796D"/>
    <w:rsid w:val="003803AD"/>
    <w:rsid w:val="00390DAC"/>
    <w:rsid w:val="00390F04"/>
    <w:rsid w:val="00393FE3"/>
    <w:rsid w:val="00394958"/>
    <w:rsid w:val="00395E90"/>
    <w:rsid w:val="00396F75"/>
    <w:rsid w:val="003A12A4"/>
    <w:rsid w:val="003A185E"/>
    <w:rsid w:val="003A1A04"/>
    <w:rsid w:val="003A2B26"/>
    <w:rsid w:val="003A314D"/>
    <w:rsid w:val="003A432E"/>
    <w:rsid w:val="003A5172"/>
    <w:rsid w:val="003A588C"/>
    <w:rsid w:val="003A623B"/>
    <w:rsid w:val="003B06F6"/>
    <w:rsid w:val="003B29C6"/>
    <w:rsid w:val="003B2C75"/>
    <w:rsid w:val="003B3D3F"/>
    <w:rsid w:val="003B499E"/>
    <w:rsid w:val="003B66A9"/>
    <w:rsid w:val="003B7D5D"/>
    <w:rsid w:val="003B7F41"/>
    <w:rsid w:val="003C093B"/>
    <w:rsid w:val="003C0D8C"/>
    <w:rsid w:val="003C4580"/>
    <w:rsid w:val="003C5986"/>
    <w:rsid w:val="003C625E"/>
    <w:rsid w:val="003C6A2F"/>
    <w:rsid w:val="003C7194"/>
    <w:rsid w:val="003D1B22"/>
    <w:rsid w:val="003D5746"/>
    <w:rsid w:val="003D5E66"/>
    <w:rsid w:val="003D7208"/>
    <w:rsid w:val="003D7EB9"/>
    <w:rsid w:val="003E0FE8"/>
    <w:rsid w:val="003E291E"/>
    <w:rsid w:val="003E2C5F"/>
    <w:rsid w:val="003E535A"/>
    <w:rsid w:val="003E5914"/>
    <w:rsid w:val="003E7A06"/>
    <w:rsid w:val="003F03E3"/>
    <w:rsid w:val="003F04BB"/>
    <w:rsid w:val="003F0D6A"/>
    <w:rsid w:val="003F410A"/>
    <w:rsid w:val="00400E85"/>
    <w:rsid w:val="0040239A"/>
    <w:rsid w:val="00402579"/>
    <w:rsid w:val="00402714"/>
    <w:rsid w:val="004032F1"/>
    <w:rsid w:val="004036C9"/>
    <w:rsid w:val="00403A5D"/>
    <w:rsid w:val="00405C42"/>
    <w:rsid w:val="004075E3"/>
    <w:rsid w:val="00410606"/>
    <w:rsid w:val="004106DF"/>
    <w:rsid w:val="00412294"/>
    <w:rsid w:val="0041232D"/>
    <w:rsid w:val="00412755"/>
    <w:rsid w:val="00412D0F"/>
    <w:rsid w:val="004160E0"/>
    <w:rsid w:val="00417CF8"/>
    <w:rsid w:val="004202DC"/>
    <w:rsid w:val="0042074C"/>
    <w:rsid w:val="004242FB"/>
    <w:rsid w:val="00425585"/>
    <w:rsid w:val="004309F8"/>
    <w:rsid w:val="004339B8"/>
    <w:rsid w:val="004364E9"/>
    <w:rsid w:val="004418E2"/>
    <w:rsid w:val="00442D89"/>
    <w:rsid w:val="00443389"/>
    <w:rsid w:val="00444593"/>
    <w:rsid w:val="0044465B"/>
    <w:rsid w:val="00444B26"/>
    <w:rsid w:val="00444BEC"/>
    <w:rsid w:val="00453A53"/>
    <w:rsid w:val="00461F30"/>
    <w:rsid w:val="0046298F"/>
    <w:rsid w:val="0046656D"/>
    <w:rsid w:val="00467B85"/>
    <w:rsid w:val="00470378"/>
    <w:rsid w:val="00471038"/>
    <w:rsid w:val="004717D1"/>
    <w:rsid w:val="0047296C"/>
    <w:rsid w:val="00472A18"/>
    <w:rsid w:val="00474625"/>
    <w:rsid w:val="00475D06"/>
    <w:rsid w:val="00476743"/>
    <w:rsid w:val="00480296"/>
    <w:rsid w:val="00480708"/>
    <w:rsid w:val="004807BB"/>
    <w:rsid w:val="004826A0"/>
    <w:rsid w:val="004837A4"/>
    <w:rsid w:val="00484495"/>
    <w:rsid w:val="004909F4"/>
    <w:rsid w:val="00492E61"/>
    <w:rsid w:val="00493095"/>
    <w:rsid w:val="004936C0"/>
    <w:rsid w:val="0049467C"/>
    <w:rsid w:val="00494D92"/>
    <w:rsid w:val="004951D5"/>
    <w:rsid w:val="0049621D"/>
    <w:rsid w:val="004A058F"/>
    <w:rsid w:val="004A0A59"/>
    <w:rsid w:val="004A41CF"/>
    <w:rsid w:val="004A5C45"/>
    <w:rsid w:val="004A733A"/>
    <w:rsid w:val="004B03BB"/>
    <w:rsid w:val="004B1AD4"/>
    <w:rsid w:val="004B30CA"/>
    <w:rsid w:val="004B5297"/>
    <w:rsid w:val="004B566F"/>
    <w:rsid w:val="004B5C7B"/>
    <w:rsid w:val="004B5FAB"/>
    <w:rsid w:val="004B6F0B"/>
    <w:rsid w:val="004C083D"/>
    <w:rsid w:val="004C1E3B"/>
    <w:rsid w:val="004C5EDF"/>
    <w:rsid w:val="004C787E"/>
    <w:rsid w:val="004D1F07"/>
    <w:rsid w:val="004D2895"/>
    <w:rsid w:val="004D2F09"/>
    <w:rsid w:val="004D352C"/>
    <w:rsid w:val="004D5103"/>
    <w:rsid w:val="004D799E"/>
    <w:rsid w:val="004E09C1"/>
    <w:rsid w:val="004E111D"/>
    <w:rsid w:val="004E1242"/>
    <w:rsid w:val="004E1FE1"/>
    <w:rsid w:val="004E24DC"/>
    <w:rsid w:val="004E2A5F"/>
    <w:rsid w:val="004E3764"/>
    <w:rsid w:val="004E492C"/>
    <w:rsid w:val="004F0728"/>
    <w:rsid w:val="004F1B8E"/>
    <w:rsid w:val="004F31D7"/>
    <w:rsid w:val="004F632E"/>
    <w:rsid w:val="004F63CC"/>
    <w:rsid w:val="004F754D"/>
    <w:rsid w:val="00501DCB"/>
    <w:rsid w:val="00503283"/>
    <w:rsid w:val="00504080"/>
    <w:rsid w:val="005073E5"/>
    <w:rsid w:val="00511C57"/>
    <w:rsid w:val="0051282F"/>
    <w:rsid w:val="005135B5"/>
    <w:rsid w:val="00515C5D"/>
    <w:rsid w:val="0051750C"/>
    <w:rsid w:val="0052043B"/>
    <w:rsid w:val="005233E7"/>
    <w:rsid w:val="00523DF7"/>
    <w:rsid w:val="005266F8"/>
    <w:rsid w:val="00526D9C"/>
    <w:rsid w:val="0052769F"/>
    <w:rsid w:val="00530253"/>
    <w:rsid w:val="00531AAF"/>
    <w:rsid w:val="00531E3A"/>
    <w:rsid w:val="00532192"/>
    <w:rsid w:val="00532950"/>
    <w:rsid w:val="0053593E"/>
    <w:rsid w:val="0053616E"/>
    <w:rsid w:val="00536C53"/>
    <w:rsid w:val="00540BAC"/>
    <w:rsid w:val="00541BB6"/>
    <w:rsid w:val="00541FBF"/>
    <w:rsid w:val="005432DD"/>
    <w:rsid w:val="0054433E"/>
    <w:rsid w:val="005445FA"/>
    <w:rsid w:val="0054520F"/>
    <w:rsid w:val="00545397"/>
    <w:rsid w:val="00545CA8"/>
    <w:rsid w:val="005465AE"/>
    <w:rsid w:val="00547E86"/>
    <w:rsid w:val="00551AC3"/>
    <w:rsid w:val="00553631"/>
    <w:rsid w:val="00553FA0"/>
    <w:rsid w:val="00554F7A"/>
    <w:rsid w:val="00556444"/>
    <w:rsid w:val="00556D06"/>
    <w:rsid w:val="0056081F"/>
    <w:rsid w:val="005623EB"/>
    <w:rsid w:val="00564183"/>
    <w:rsid w:val="0056502A"/>
    <w:rsid w:val="00571172"/>
    <w:rsid w:val="0057151C"/>
    <w:rsid w:val="00571831"/>
    <w:rsid w:val="00571D45"/>
    <w:rsid w:val="005737F1"/>
    <w:rsid w:val="005751D3"/>
    <w:rsid w:val="00576105"/>
    <w:rsid w:val="00576C57"/>
    <w:rsid w:val="00577522"/>
    <w:rsid w:val="00582D56"/>
    <w:rsid w:val="00583685"/>
    <w:rsid w:val="005857F1"/>
    <w:rsid w:val="005859FE"/>
    <w:rsid w:val="005866E2"/>
    <w:rsid w:val="00592481"/>
    <w:rsid w:val="00592B61"/>
    <w:rsid w:val="00592CA9"/>
    <w:rsid w:val="00596D6D"/>
    <w:rsid w:val="005A192C"/>
    <w:rsid w:val="005A2421"/>
    <w:rsid w:val="005A2A59"/>
    <w:rsid w:val="005A3E68"/>
    <w:rsid w:val="005A50DB"/>
    <w:rsid w:val="005A6827"/>
    <w:rsid w:val="005A6DCF"/>
    <w:rsid w:val="005A78E0"/>
    <w:rsid w:val="005B2230"/>
    <w:rsid w:val="005B2D82"/>
    <w:rsid w:val="005B362B"/>
    <w:rsid w:val="005B36E3"/>
    <w:rsid w:val="005B4FDE"/>
    <w:rsid w:val="005B52D6"/>
    <w:rsid w:val="005B590E"/>
    <w:rsid w:val="005B62D7"/>
    <w:rsid w:val="005B7A16"/>
    <w:rsid w:val="005B7AB8"/>
    <w:rsid w:val="005B7E37"/>
    <w:rsid w:val="005B7F15"/>
    <w:rsid w:val="005B7F24"/>
    <w:rsid w:val="005C032A"/>
    <w:rsid w:val="005C4961"/>
    <w:rsid w:val="005C62BC"/>
    <w:rsid w:val="005D2DA4"/>
    <w:rsid w:val="005E07E0"/>
    <w:rsid w:val="005E1F1C"/>
    <w:rsid w:val="005E30A1"/>
    <w:rsid w:val="005E33B0"/>
    <w:rsid w:val="005E4732"/>
    <w:rsid w:val="005E55D6"/>
    <w:rsid w:val="005E744A"/>
    <w:rsid w:val="005F1627"/>
    <w:rsid w:val="005F1F9D"/>
    <w:rsid w:val="005F27C6"/>
    <w:rsid w:val="005F5983"/>
    <w:rsid w:val="00603C70"/>
    <w:rsid w:val="00604389"/>
    <w:rsid w:val="00604C03"/>
    <w:rsid w:val="00613055"/>
    <w:rsid w:val="00613FA4"/>
    <w:rsid w:val="00626335"/>
    <w:rsid w:val="00627ED0"/>
    <w:rsid w:val="00630456"/>
    <w:rsid w:val="00631AB8"/>
    <w:rsid w:val="00631F44"/>
    <w:rsid w:val="00632F11"/>
    <w:rsid w:val="006362C7"/>
    <w:rsid w:val="006400EB"/>
    <w:rsid w:val="00640ACC"/>
    <w:rsid w:val="0064102D"/>
    <w:rsid w:val="00641136"/>
    <w:rsid w:val="00641182"/>
    <w:rsid w:val="006437C2"/>
    <w:rsid w:val="00644CE4"/>
    <w:rsid w:val="00644E14"/>
    <w:rsid w:val="00644F8B"/>
    <w:rsid w:val="00646300"/>
    <w:rsid w:val="0064685E"/>
    <w:rsid w:val="00646AE0"/>
    <w:rsid w:val="00646E9A"/>
    <w:rsid w:val="00646F63"/>
    <w:rsid w:val="006473E4"/>
    <w:rsid w:val="00651436"/>
    <w:rsid w:val="006543AD"/>
    <w:rsid w:val="00655DA1"/>
    <w:rsid w:val="00656A64"/>
    <w:rsid w:val="0065728E"/>
    <w:rsid w:val="00657BE8"/>
    <w:rsid w:val="00661683"/>
    <w:rsid w:val="0066419D"/>
    <w:rsid w:val="006649CD"/>
    <w:rsid w:val="006719CF"/>
    <w:rsid w:val="00671A58"/>
    <w:rsid w:val="00672089"/>
    <w:rsid w:val="006730C2"/>
    <w:rsid w:val="006754D2"/>
    <w:rsid w:val="006770A5"/>
    <w:rsid w:val="006820B5"/>
    <w:rsid w:val="006832EB"/>
    <w:rsid w:val="00684EFE"/>
    <w:rsid w:val="006855E9"/>
    <w:rsid w:val="00685B66"/>
    <w:rsid w:val="00686822"/>
    <w:rsid w:val="00690574"/>
    <w:rsid w:val="00690779"/>
    <w:rsid w:val="00691DF4"/>
    <w:rsid w:val="0069624E"/>
    <w:rsid w:val="00696821"/>
    <w:rsid w:val="00696B85"/>
    <w:rsid w:val="006A2025"/>
    <w:rsid w:val="006A4B06"/>
    <w:rsid w:val="006A7F66"/>
    <w:rsid w:val="006B0AD8"/>
    <w:rsid w:val="006C2CFF"/>
    <w:rsid w:val="006C3038"/>
    <w:rsid w:val="006C5A24"/>
    <w:rsid w:val="006D0AD7"/>
    <w:rsid w:val="006D2047"/>
    <w:rsid w:val="006D73BB"/>
    <w:rsid w:val="006E1DBD"/>
    <w:rsid w:val="006E295B"/>
    <w:rsid w:val="006E2B37"/>
    <w:rsid w:val="006E3F7F"/>
    <w:rsid w:val="006E6D1C"/>
    <w:rsid w:val="006F0E6B"/>
    <w:rsid w:val="006F130B"/>
    <w:rsid w:val="006F5862"/>
    <w:rsid w:val="006F61D1"/>
    <w:rsid w:val="006F62F7"/>
    <w:rsid w:val="006F70B5"/>
    <w:rsid w:val="006F7769"/>
    <w:rsid w:val="006F7974"/>
    <w:rsid w:val="007012F9"/>
    <w:rsid w:val="00703492"/>
    <w:rsid w:val="00704F6D"/>
    <w:rsid w:val="00711CCA"/>
    <w:rsid w:val="007120DF"/>
    <w:rsid w:val="007121D6"/>
    <w:rsid w:val="007126EB"/>
    <w:rsid w:val="00714120"/>
    <w:rsid w:val="00714D2B"/>
    <w:rsid w:val="0071506C"/>
    <w:rsid w:val="00721518"/>
    <w:rsid w:val="007217CA"/>
    <w:rsid w:val="0072311F"/>
    <w:rsid w:val="00725432"/>
    <w:rsid w:val="0072700A"/>
    <w:rsid w:val="00727CDD"/>
    <w:rsid w:val="0073258F"/>
    <w:rsid w:val="00733E07"/>
    <w:rsid w:val="0073493A"/>
    <w:rsid w:val="0073566D"/>
    <w:rsid w:val="00735C6E"/>
    <w:rsid w:val="007375CA"/>
    <w:rsid w:val="007402A1"/>
    <w:rsid w:val="00741CF9"/>
    <w:rsid w:val="0074315C"/>
    <w:rsid w:val="007433CF"/>
    <w:rsid w:val="00743EE5"/>
    <w:rsid w:val="007449D4"/>
    <w:rsid w:val="00744F4E"/>
    <w:rsid w:val="0074575D"/>
    <w:rsid w:val="00746FA2"/>
    <w:rsid w:val="00750003"/>
    <w:rsid w:val="0075019E"/>
    <w:rsid w:val="0075131D"/>
    <w:rsid w:val="0075574D"/>
    <w:rsid w:val="0075615D"/>
    <w:rsid w:val="00756DB7"/>
    <w:rsid w:val="00757703"/>
    <w:rsid w:val="00760A8C"/>
    <w:rsid w:val="007618C4"/>
    <w:rsid w:val="00762DC0"/>
    <w:rsid w:val="00770645"/>
    <w:rsid w:val="00775AA4"/>
    <w:rsid w:val="00777477"/>
    <w:rsid w:val="00782E3D"/>
    <w:rsid w:val="00785C65"/>
    <w:rsid w:val="00791043"/>
    <w:rsid w:val="00791A32"/>
    <w:rsid w:val="00792285"/>
    <w:rsid w:val="00793ECA"/>
    <w:rsid w:val="00795B28"/>
    <w:rsid w:val="007A17F8"/>
    <w:rsid w:val="007A2E61"/>
    <w:rsid w:val="007A6383"/>
    <w:rsid w:val="007A67E5"/>
    <w:rsid w:val="007B0947"/>
    <w:rsid w:val="007B1055"/>
    <w:rsid w:val="007B25D3"/>
    <w:rsid w:val="007B2B09"/>
    <w:rsid w:val="007B2C90"/>
    <w:rsid w:val="007B36CE"/>
    <w:rsid w:val="007B5228"/>
    <w:rsid w:val="007B55BE"/>
    <w:rsid w:val="007B684F"/>
    <w:rsid w:val="007B7859"/>
    <w:rsid w:val="007C11AF"/>
    <w:rsid w:val="007C1895"/>
    <w:rsid w:val="007C5C82"/>
    <w:rsid w:val="007C6141"/>
    <w:rsid w:val="007C6391"/>
    <w:rsid w:val="007C7571"/>
    <w:rsid w:val="007C77E8"/>
    <w:rsid w:val="007D18FC"/>
    <w:rsid w:val="007D2B47"/>
    <w:rsid w:val="007D45EC"/>
    <w:rsid w:val="007D5313"/>
    <w:rsid w:val="007D769B"/>
    <w:rsid w:val="007E2146"/>
    <w:rsid w:val="007E231E"/>
    <w:rsid w:val="007E29EE"/>
    <w:rsid w:val="007E3F46"/>
    <w:rsid w:val="007E4515"/>
    <w:rsid w:val="007F0E17"/>
    <w:rsid w:val="007F0EA3"/>
    <w:rsid w:val="007F195D"/>
    <w:rsid w:val="007F1A0D"/>
    <w:rsid w:val="007F363C"/>
    <w:rsid w:val="007F59B8"/>
    <w:rsid w:val="007F7724"/>
    <w:rsid w:val="007F7EE9"/>
    <w:rsid w:val="00802599"/>
    <w:rsid w:val="00802C51"/>
    <w:rsid w:val="00807BFD"/>
    <w:rsid w:val="0081132F"/>
    <w:rsid w:val="0081175B"/>
    <w:rsid w:val="00813DB4"/>
    <w:rsid w:val="00814B38"/>
    <w:rsid w:val="0081614D"/>
    <w:rsid w:val="008166E2"/>
    <w:rsid w:val="0081696D"/>
    <w:rsid w:val="00816BE6"/>
    <w:rsid w:val="0081721C"/>
    <w:rsid w:val="0082107C"/>
    <w:rsid w:val="00822958"/>
    <w:rsid w:val="008248FE"/>
    <w:rsid w:val="0082525E"/>
    <w:rsid w:val="00826374"/>
    <w:rsid w:val="00830D37"/>
    <w:rsid w:val="0083163E"/>
    <w:rsid w:val="00833580"/>
    <w:rsid w:val="00834BFB"/>
    <w:rsid w:val="00835AD3"/>
    <w:rsid w:val="0084249C"/>
    <w:rsid w:val="0084375B"/>
    <w:rsid w:val="00843F6A"/>
    <w:rsid w:val="0084427A"/>
    <w:rsid w:val="0084554A"/>
    <w:rsid w:val="008462AC"/>
    <w:rsid w:val="00846705"/>
    <w:rsid w:val="00850F04"/>
    <w:rsid w:val="0085150F"/>
    <w:rsid w:val="008521C2"/>
    <w:rsid w:val="0085332A"/>
    <w:rsid w:val="00856914"/>
    <w:rsid w:val="00857409"/>
    <w:rsid w:val="00865F33"/>
    <w:rsid w:val="00866EDA"/>
    <w:rsid w:val="00866FEA"/>
    <w:rsid w:val="00867F0A"/>
    <w:rsid w:val="008722B8"/>
    <w:rsid w:val="00872517"/>
    <w:rsid w:val="00872601"/>
    <w:rsid w:val="00873836"/>
    <w:rsid w:val="008747A8"/>
    <w:rsid w:val="00874BF3"/>
    <w:rsid w:val="00874D19"/>
    <w:rsid w:val="00875D71"/>
    <w:rsid w:val="00876802"/>
    <w:rsid w:val="008778C8"/>
    <w:rsid w:val="00880B2E"/>
    <w:rsid w:val="00881C6F"/>
    <w:rsid w:val="00883AB6"/>
    <w:rsid w:val="00885446"/>
    <w:rsid w:val="00886CB0"/>
    <w:rsid w:val="00893058"/>
    <w:rsid w:val="00894851"/>
    <w:rsid w:val="008A0CC5"/>
    <w:rsid w:val="008A3937"/>
    <w:rsid w:val="008A64C8"/>
    <w:rsid w:val="008A669B"/>
    <w:rsid w:val="008A6A85"/>
    <w:rsid w:val="008A7480"/>
    <w:rsid w:val="008A79C0"/>
    <w:rsid w:val="008B265B"/>
    <w:rsid w:val="008B6FC6"/>
    <w:rsid w:val="008B7473"/>
    <w:rsid w:val="008C0D2B"/>
    <w:rsid w:val="008C2267"/>
    <w:rsid w:val="008C3B36"/>
    <w:rsid w:val="008C4139"/>
    <w:rsid w:val="008C6DF5"/>
    <w:rsid w:val="008D0CD4"/>
    <w:rsid w:val="008D3E32"/>
    <w:rsid w:val="008D42FA"/>
    <w:rsid w:val="008D52A0"/>
    <w:rsid w:val="008D5CE7"/>
    <w:rsid w:val="008D770E"/>
    <w:rsid w:val="008D77FC"/>
    <w:rsid w:val="008D795C"/>
    <w:rsid w:val="008D7F04"/>
    <w:rsid w:val="008E133A"/>
    <w:rsid w:val="008E2AAE"/>
    <w:rsid w:val="008E47BF"/>
    <w:rsid w:val="008E570F"/>
    <w:rsid w:val="008E5EB9"/>
    <w:rsid w:val="008F01E6"/>
    <w:rsid w:val="008F0349"/>
    <w:rsid w:val="008F5708"/>
    <w:rsid w:val="008F68DD"/>
    <w:rsid w:val="008F7527"/>
    <w:rsid w:val="008F7D81"/>
    <w:rsid w:val="00900286"/>
    <w:rsid w:val="00901127"/>
    <w:rsid w:val="009023A4"/>
    <w:rsid w:val="009032E5"/>
    <w:rsid w:val="009070CE"/>
    <w:rsid w:val="009078B0"/>
    <w:rsid w:val="00910645"/>
    <w:rsid w:val="00920481"/>
    <w:rsid w:val="009206A3"/>
    <w:rsid w:val="00920BE8"/>
    <w:rsid w:val="00922DE8"/>
    <w:rsid w:val="0092329E"/>
    <w:rsid w:val="00924A74"/>
    <w:rsid w:val="00925615"/>
    <w:rsid w:val="00926601"/>
    <w:rsid w:val="00926E6D"/>
    <w:rsid w:val="00933FD5"/>
    <w:rsid w:val="00934843"/>
    <w:rsid w:val="00934AB4"/>
    <w:rsid w:val="00934B13"/>
    <w:rsid w:val="00934CA7"/>
    <w:rsid w:val="009356AB"/>
    <w:rsid w:val="009361B3"/>
    <w:rsid w:val="009433F4"/>
    <w:rsid w:val="00943DCE"/>
    <w:rsid w:val="009455E6"/>
    <w:rsid w:val="00947856"/>
    <w:rsid w:val="00947D75"/>
    <w:rsid w:val="009507E4"/>
    <w:rsid w:val="00950F9D"/>
    <w:rsid w:val="00952A50"/>
    <w:rsid w:val="009537E3"/>
    <w:rsid w:val="009546F3"/>
    <w:rsid w:val="00956F1D"/>
    <w:rsid w:val="00960E79"/>
    <w:rsid w:val="009615A2"/>
    <w:rsid w:val="009639B1"/>
    <w:rsid w:val="00964490"/>
    <w:rsid w:val="00964F88"/>
    <w:rsid w:val="00966F7F"/>
    <w:rsid w:val="00967548"/>
    <w:rsid w:val="00967E05"/>
    <w:rsid w:val="00971F09"/>
    <w:rsid w:val="009731AD"/>
    <w:rsid w:val="009736C3"/>
    <w:rsid w:val="009740CB"/>
    <w:rsid w:val="00975740"/>
    <w:rsid w:val="00980218"/>
    <w:rsid w:val="009811CA"/>
    <w:rsid w:val="00981785"/>
    <w:rsid w:val="00981FE1"/>
    <w:rsid w:val="00984C55"/>
    <w:rsid w:val="0099146D"/>
    <w:rsid w:val="0099232D"/>
    <w:rsid w:val="009925D4"/>
    <w:rsid w:val="0099433E"/>
    <w:rsid w:val="009947F6"/>
    <w:rsid w:val="00994DF3"/>
    <w:rsid w:val="009954BF"/>
    <w:rsid w:val="00997B4B"/>
    <w:rsid w:val="00997E49"/>
    <w:rsid w:val="009A005E"/>
    <w:rsid w:val="009A0C55"/>
    <w:rsid w:val="009A1145"/>
    <w:rsid w:val="009A40BA"/>
    <w:rsid w:val="009A6A8E"/>
    <w:rsid w:val="009A76A2"/>
    <w:rsid w:val="009B0583"/>
    <w:rsid w:val="009B0902"/>
    <w:rsid w:val="009B17BC"/>
    <w:rsid w:val="009B1C90"/>
    <w:rsid w:val="009B315F"/>
    <w:rsid w:val="009C1984"/>
    <w:rsid w:val="009C4FAD"/>
    <w:rsid w:val="009C6B1A"/>
    <w:rsid w:val="009D0130"/>
    <w:rsid w:val="009D134E"/>
    <w:rsid w:val="009D7914"/>
    <w:rsid w:val="009E051D"/>
    <w:rsid w:val="009E070C"/>
    <w:rsid w:val="009E3F3D"/>
    <w:rsid w:val="009E47D7"/>
    <w:rsid w:val="009E5FBE"/>
    <w:rsid w:val="009E6BBB"/>
    <w:rsid w:val="009F08C6"/>
    <w:rsid w:val="009F0F92"/>
    <w:rsid w:val="009F1236"/>
    <w:rsid w:val="009F3824"/>
    <w:rsid w:val="009F491B"/>
    <w:rsid w:val="009F5E3F"/>
    <w:rsid w:val="009F7330"/>
    <w:rsid w:val="009F7EAF"/>
    <w:rsid w:val="00A054DA"/>
    <w:rsid w:val="00A05AEA"/>
    <w:rsid w:val="00A07E71"/>
    <w:rsid w:val="00A11E19"/>
    <w:rsid w:val="00A1226A"/>
    <w:rsid w:val="00A1250A"/>
    <w:rsid w:val="00A12D4F"/>
    <w:rsid w:val="00A12DDB"/>
    <w:rsid w:val="00A13958"/>
    <w:rsid w:val="00A16B65"/>
    <w:rsid w:val="00A17B62"/>
    <w:rsid w:val="00A201A7"/>
    <w:rsid w:val="00A209BC"/>
    <w:rsid w:val="00A20BAD"/>
    <w:rsid w:val="00A24B51"/>
    <w:rsid w:val="00A303B4"/>
    <w:rsid w:val="00A3127E"/>
    <w:rsid w:val="00A31545"/>
    <w:rsid w:val="00A31AAB"/>
    <w:rsid w:val="00A3220A"/>
    <w:rsid w:val="00A3280C"/>
    <w:rsid w:val="00A3383F"/>
    <w:rsid w:val="00A342E3"/>
    <w:rsid w:val="00A40E50"/>
    <w:rsid w:val="00A410D4"/>
    <w:rsid w:val="00A427E5"/>
    <w:rsid w:val="00A4509E"/>
    <w:rsid w:val="00A458F0"/>
    <w:rsid w:val="00A47C0C"/>
    <w:rsid w:val="00A5056A"/>
    <w:rsid w:val="00A51E08"/>
    <w:rsid w:val="00A520B3"/>
    <w:rsid w:val="00A52E83"/>
    <w:rsid w:val="00A53C80"/>
    <w:rsid w:val="00A53E8E"/>
    <w:rsid w:val="00A5533F"/>
    <w:rsid w:val="00A579F7"/>
    <w:rsid w:val="00A60AD1"/>
    <w:rsid w:val="00A62A01"/>
    <w:rsid w:val="00A63F16"/>
    <w:rsid w:val="00A64B7D"/>
    <w:rsid w:val="00A67748"/>
    <w:rsid w:val="00A71DF5"/>
    <w:rsid w:val="00A744C6"/>
    <w:rsid w:val="00A80E58"/>
    <w:rsid w:val="00A81E04"/>
    <w:rsid w:val="00A81E58"/>
    <w:rsid w:val="00A821F9"/>
    <w:rsid w:val="00A82B46"/>
    <w:rsid w:val="00A8426B"/>
    <w:rsid w:val="00A86088"/>
    <w:rsid w:val="00A94357"/>
    <w:rsid w:val="00A94A3C"/>
    <w:rsid w:val="00A9701F"/>
    <w:rsid w:val="00AA0664"/>
    <w:rsid w:val="00AA06A9"/>
    <w:rsid w:val="00AA14C4"/>
    <w:rsid w:val="00AA1B14"/>
    <w:rsid w:val="00AA2277"/>
    <w:rsid w:val="00AA2AC1"/>
    <w:rsid w:val="00AA5E18"/>
    <w:rsid w:val="00AA7BE8"/>
    <w:rsid w:val="00AA7D42"/>
    <w:rsid w:val="00AB0685"/>
    <w:rsid w:val="00AB2495"/>
    <w:rsid w:val="00AB33AE"/>
    <w:rsid w:val="00AB49A9"/>
    <w:rsid w:val="00AB5510"/>
    <w:rsid w:val="00AB72FD"/>
    <w:rsid w:val="00AC1EED"/>
    <w:rsid w:val="00AC20B1"/>
    <w:rsid w:val="00AC3803"/>
    <w:rsid w:val="00AC5BDA"/>
    <w:rsid w:val="00AD13FA"/>
    <w:rsid w:val="00AD2BF1"/>
    <w:rsid w:val="00AD3087"/>
    <w:rsid w:val="00AD400F"/>
    <w:rsid w:val="00AD40C9"/>
    <w:rsid w:val="00AD69D6"/>
    <w:rsid w:val="00AD7B4F"/>
    <w:rsid w:val="00AE0643"/>
    <w:rsid w:val="00AE170F"/>
    <w:rsid w:val="00AE1A39"/>
    <w:rsid w:val="00AE34F2"/>
    <w:rsid w:val="00AE4160"/>
    <w:rsid w:val="00AE423E"/>
    <w:rsid w:val="00AE543F"/>
    <w:rsid w:val="00AE5591"/>
    <w:rsid w:val="00AE5B5E"/>
    <w:rsid w:val="00AE6244"/>
    <w:rsid w:val="00AE75DF"/>
    <w:rsid w:val="00B02BB4"/>
    <w:rsid w:val="00B02F64"/>
    <w:rsid w:val="00B03511"/>
    <w:rsid w:val="00B04F4F"/>
    <w:rsid w:val="00B07DD0"/>
    <w:rsid w:val="00B12135"/>
    <w:rsid w:val="00B13D39"/>
    <w:rsid w:val="00B14362"/>
    <w:rsid w:val="00B1524E"/>
    <w:rsid w:val="00B15A8E"/>
    <w:rsid w:val="00B16B9C"/>
    <w:rsid w:val="00B17E86"/>
    <w:rsid w:val="00B200EE"/>
    <w:rsid w:val="00B223DE"/>
    <w:rsid w:val="00B22494"/>
    <w:rsid w:val="00B232A1"/>
    <w:rsid w:val="00B234C6"/>
    <w:rsid w:val="00B2620C"/>
    <w:rsid w:val="00B2624F"/>
    <w:rsid w:val="00B26307"/>
    <w:rsid w:val="00B31A3D"/>
    <w:rsid w:val="00B31CEB"/>
    <w:rsid w:val="00B34874"/>
    <w:rsid w:val="00B35232"/>
    <w:rsid w:val="00B35D54"/>
    <w:rsid w:val="00B366DB"/>
    <w:rsid w:val="00B3738C"/>
    <w:rsid w:val="00B40836"/>
    <w:rsid w:val="00B4513E"/>
    <w:rsid w:val="00B45F7E"/>
    <w:rsid w:val="00B46761"/>
    <w:rsid w:val="00B47251"/>
    <w:rsid w:val="00B4779C"/>
    <w:rsid w:val="00B51F49"/>
    <w:rsid w:val="00B52A36"/>
    <w:rsid w:val="00B537F3"/>
    <w:rsid w:val="00B5503F"/>
    <w:rsid w:val="00B57606"/>
    <w:rsid w:val="00B60304"/>
    <w:rsid w:val="00B607EA"/>
    <w:rsid w:val="00B62E0F"/>
    <w:rsid w:val="00B70261"/>
    <w:rsid w:val="00B70D02"/>
    <w:rsid w:val="00B72E98"/>
    <w:rsid w:val="00B73179"/>
    <w:rsid w:val="00B74B9C"/>
    <w:rsid w:val="00B75DDE"/>
    <w:rsid w:val="00B766BE"/>
    <w:rsid w:val="00B774F5"/>
    <w:rsid w:val="00B8117D"/>
    <w:rsid w:val="00B81767"/>
    <w:rsid w:val="00B84288"/>
    <w:rsid w:val="00B8520C"/>
    <w:rsid w:val="00B86341"/>
    <w:rsid w:val="00B866FE"/>
    <w:rsid w:val="00B95944"/>
    <w:rsid w:val="00B95B38"/>
    <w:rsid w:val="00B96947"/>
    <w:rsid w:val="00B96D4F"/>
    <w:rsid w:val="00B971E7"/>
    <w:rsid w:val="00BA0C36"/>
    <w:rsid w:val="00BA39C4"/>
    <w:rsid w:val="00BA59CB"/>
    <w:rsid w:val="00BB1B4A"/>
    <w:rsid w:val="00BB23D8"/>
    <w:rsid w:val="00BB27D6"/>
    <w:rsid w:val="00BB3693"/>
    <w:rsid w:val="00BB48B1"/>
    <w:rsid w:val="00BB53B6"/>
    <w:rsid w:val="00BB5414"/>
    <w:rsid w:val="00BB54DB"/>
    <w:rsid w:val="00BB57D9"/>
    <w:rsid w:val="00BB6888"/>
    <w:rsid w:val="00BB71D8"/>
    <w:rsid w:val="00BB7C6E"/>
    <w:rsid w:val="00BC01A5"/>
    <w:rsid w:val="00BC0522"/>
    <w:rsid w:val="00BC0D5A"/>
    <w:rsid w:val="00BC181F"/>
    <w:rsid w:val="00BC19F5"/>
    <w:rsid w:val="00BC4E8B"/>
    <w:rsid w:val="00BC5485"/>
    <w:rsid w:val="00BC7016"/>
    <w:rsid w:val="00BC794E"/>
    <w:rsid w:val="00BD007C"/>
    <w:rsid w:val="00BD0924"/>
    <w:rsid w:val="00BD23A3"/>
    <w:rsid w:val="00BD2797"/>
    <w:rsid w:val="00BD4901"/>
    <w:rsid w:val="00BD62CF"/>
    <w:rsid w:val="00BD7FFE"/>
    <w:rsid w:val="00BE0A83"/>
    <w:rsid w:val="00BE2C7D"/>
    <w:rsid w:val="00BE40BA"/>
    <w:rsid w:val="00BE60D8"/>
    <w:rsid w:val="00BE6E4F"/>
    <w:rsid w:val="00BE708F"/>
    <w:rsid w:val="00BE7CBF"/>
    <w:rsid w:val="00BF095D"/>
    <w:rsid w:val="00BF3190"/>
    <w:rsid w:val="00BF4D7C"/>
    <w:rsid w:val="00BF5F3A"/>
    <w:rsid w:val="00C06D1B"/>
    <w:rsid w:val="00C0712F"/>
    <w:rsid w:val="00C111D9"/>
    <w:rsid w:val="00C12DA6"/>
    <w:rsid w:val="00C1301C"/>
    <w:rsid w:val="00C149FE"/>
    <w:rsid w:val="00C154A3"/>
    <w:rsid w:val="00C16298"/>
    <w:rsid w:val="00C164C8"/>
    <w:rsid w:val="00C166B7"/>
    <w:rsid w:val="00C204D3"/>
    <w:rsid w:val="00C209C1"/>
    <w:rsid w:val="00C23A89"/>
    <w:rsid w:val="00C26A06"/>
    <w:rsid w:val="00C270EC"/>
    <w:rsid w:val="00C3224F"/>
    <w:rsid w:val="00C32EC3"/>
    <w:rsid w:val="00C36A05"/>
    <w:rsid w:val="00C36B7A"/>
    <w:rsid w:val="00C37D2D"/>
    <w:rsid w:val="00C40200"/>
    <w:rsid w:val="00C41186"/>
    <w:rsid w:val="00C42C32"/>
    <w:rsid w:val="00C432D6"/>
    <w:rsid w:val="00C4559D"/>
    <w:rsid w:val="00C45B29"/>
    <w:rsid w:val="00C46B47"/>
    <w:rsid w:val="00C47408"/>
    <w:rsid w:val="00C50B44"/>
    <w:rsid w:val="00C51408"/>
    <w:rsid w:val="00C516B1"/>
    <w:rsid w:val="00C536DE"/>
    <w:rsid w:val="00C53C8E"/>
    <w:rsid w:val="00C5409F"/>
    <w:rsid w:val="00C62692"/>
    <w:rsid w:val="00C662E1"/>
    <w:rsid w:val="00C6649D"/>
    <w:rsid w:val="00C66AF0"/>
    <w:rsid w:val="00C6702D"/>
    <w:rsid w:val="00C701FB"/>
    <w:rsid w:val="00C70823"/>
    <w:rsid w:val="00C70F56"/>
    <w:rsid w:val="00C720EC"/>
    <w:rsid w:val="00C7260F"/>
    <w:rsid w:val="00C75B26"/>
    <w:rsid w:val="00C76FBD"/>
    <w:rsid w:val="00C770AE"/>
    <w:rsid w:val="00C77744"/>
    <w:rsid w:val="00C777E5"/>
    <w:rsid w:val="00C77CDF"/>
    <w:rsid w:val="00C82987"/>
    <w:rsid w:val="00C8388E"/>
    <w:rsid w:val="00C848A0"/>
    <w:rsid w:val="00C87C19"/>
    <w:rsid w:val="00C87CB8"/>
    <w:rsid w:val="00C91C66"/>
    <w:rsid w:val="00C93291"/>
    <w:rsid w:val="00C97DE7"/>
    <w:rsid w:val="00C97F07"/>
    <w:rsid w:val="00CA0960"/>
    <w:rsid w:val="00CA1329"/>
    <w:rsid w:val="00CA4112"/>
    <w:rsid w:val="00CA56D7"/>
    <w:rsid w:val="00CA6FF7"/>
    <w:rsid w:val="00CA7451"/>
    <w:rsid w:val="00CB0070"/>
    <w:rsid w:val="00CB1D0E"/>
    <w:rsid w:val="00CB212F"/>
    <w:rsid w:val="00CB25E6"/>
    <w:rsid w:val="00CB35D9"/>
    <w:rsid w:val="00CB3FFC"/>
    <w:rsid w:val="00CB51B0"/>
    <w:rsid w:val="00CB63D5"/>
    <w:rsid w:val="00CB7DDA"/>
    <w:rsid w:val="00CC09C1"/>
    <w:rsid w:val="00CC0A00"/>
    <w:rsid w:val="00CC1C60"/>
    <w:rsid w:val="00CC297E"/>
    <w:rsid w:val="00CC2BF4"/>
    <w:rsid w:val="00CC3A2D"/>
    <w:rsid w:val="00CC3D39"/>
    <w:rsid w:val="00CC52F4"/>
    <w:rsid w:val="00CC53D1"/>
    <w:rsid w:val="00CC576E"/>
    <w:rsid w:val="00CC5B0E"/>
    <w:rsid w:val="00CD079C"/>
    <w:rsid w:val="00CD36C5"/>
    <w:rsid w:val="00CD49C0"/>
    <w:rsid w:val="00CE0559"/>
    <w:rsid w:val="00CE0FEE"/>
    <w:rsid w:val="00CE50ED"/>
    <w:rsid w:val="00CF10DB"/>
    <w:rsid w:val="00CF1CC3"/>
    <w:rsid w:val="00CF27E5"/>
    <w:rsid w:val="00CF2932"/>
    <w:rsid w:val="00CF3C12"/>
    <w:rsid w:val="00CF3E12"/>
    <w:rsid w:val="00CF50EE"/>
    <w:rsid w:val="00CF5D71"/>
    <w:rsid w:val="00CF6BC0"/>
    <w:rsid w:val="00CF7749"/>
    <w:rsid w:val="00D0097E"/>
    <w:rsid w:val="00D0180F"/>
    <w:rsid w:val="00D02514"/>
    <w:rsid w:val="00D04A86"/>
    <w:rsid w:val="00D065B7"/>
    <w:rsid w:val="00D1098C"/>
    <w:rsid w:val="00D117C6"/>
    <w:rsid w:val="00D15A0A"/>
    <w:rsid w:val="00D1683A"/>
    <w:rsid w:val="00D20309"/>
    <w:rsid w:val="00D23B4B"/>
    <w:rsid w:val="00D243E8"/>
    <w:rsid w:val="00D26B05"/>
    <w:rsid w:val="00D30506"/>
    <w:rsid w:val="00D30D1C"/>
    <w:rsid w:val="00D323A1"/>
    <w:rsid w:val="00D3314C"/>
    <w:rsid w:val="00D33319"/>
    <w:rsid w:val="00D35E4C"/>
    <w:rsid w:val="00D36806"/>
    <w:rsid w:val="00D37BDA"/>
    <w:rsid w:val="00D40076"/>
    <w:rsid w:val="00D404BE"/>
    <w:rsid w:val="00D460F1"/>
    <w:rsid w:val="00D4639F"/>
    <w:rsid w:val="00D46F5F"/>
    <w:rsid w:val="00D47A69"/>
    <w:rsid w:val="00D47E49"/>
    <w:rsid w:val="00D51A4F"/>
    <w:rsid w:val="00D51AA4"/>
    <w:rsid w:val="00D51DFF"/>
    <w:rsid w:val="00D52E21"/>
    <w:rsid w:val="00D5643C"/>
    <w:rsid w:val="00D57531"/>
    <w:rsid w:val="00D622BF"/>
    <w:rsid w:val="00D647AD"/>
    <w:rsid w:val="00D652BB"/>
    <w:rsid w:val="00D662BA"/>
    <w:rsid w:val="00D66C31"/>
    <w:rsid w:val="00D66D30"/>
    <w:rsid w:val="00D6728D"/>
    <w:rsid w:val="00D67ACB"/>
    <w:rsid w:val="00D7603A"/>
    <w:rsid w:val="00D8183B"/>
    <w:rsid w:val="00D82500"/>
    <w:rsid w:val="00D84BC4"/>
    <w:rsid w:val="00D87062"/>
    <w:rsid w:val="00D9094E"/>
    <w:rsid w:val="00D90E84"/>
    <w:rsid w:val="00D9181A"/>
    <w:rsid w:val="00D9502C"/>
    <w:rsid w:val="00D958D3"/>
    <w:rsid w:val="00D96894"/>
    <w:rsid w:val="00D96E64"/>
    <w:rsid w:val="00D970F0"/>
    <w:rsid w:val="00DA572C"/>
    <w:rsid w:val="00DA5F99"/>
    <w:rsid w:val="00DA6D88"/>
    <w:rsid w:val="00DA742D"/>
    <w:rsid w:val="00DC09E2"/>
    <w:rsid w:val="00DC1274"/>
    <w:rsid w:val="00DC1AAF"/>
    <w:rsid w:val="00DC1ECF"/>
    <w:rsid w:val="00DC32DD"/>
    <w:rsid w:val="00DC3411"/>
    <w:rsid w:val="00DC3D4F"/>
    <w:rsid w:val="00DC66F5"/>
    <w:rsid w:val="00DC7955"/>
    <w:rsid w:val="00DD0003"/>
    <w:rsid w:val="00DD01D1"/>
    <w:rsid w:val="00DD0250"/>
    <w:rsid w:val="00DD0E23"/>
    <w:rsid w:val="00DD3B22"/>
    <w:rsid w:val="00DD6197"/>
    <w:rsid w:val="00DD68B7"/>
    <w:rsid w:val="00DD75A9"/>
    <w:rsid w:val="00DD7EA1"/>
    <w:rsid w:val="00DE1CCE"/>
    <w:rsid w:val="00DE6368"/>
    <w:rsid w:val="00DF12DC"/>
    <w:rsid w:val="00DF1391"/>
    <w:rsid w:val="00DF18AF"/>
    <w:rsid w:val="00DF2770"/>
    <w:rsid w:val="00DF5346"/>
    <w:rsid w:val="00DF635B"/>
    <w:rsid w:val="00E0063A"/>
    <w:rsid w:val="00E00C27"/>
    <w:rsid w:val="00E02D63"/>
    <w:rsid w:val="00E047F5"/>
    <w:rsid w:val="00E0579C"/>
    <w:rsid w:val="00E06514"/>
    <w:rsid w:val="00E06583"/>
    <w:rsid w:val="00E07C2B"/>
    <w:rsid w:val="00E11627"/>
    <w:rsid w:val="00E12ACE"/>
    <w:rsid w:val="00E13336"/>
    <w:rsid w:val="00E15033"/>
    <w:rsid w:val="00E21842"/>
    <w:rsid w:val="00E21C22"/>
    <w:rsid w:val="00E240D3"/>
    <w:rsid w:val="00E25941"/>
    <w:rsid w:val="00E26588"/>
    <w:rsid w:val="00E2716F"/>
    <w:rsid w:val="00E32160"/>
    <w:rsid w:val="00E40B40"/>
    <w:rsid w:val="00E41A0E"/>
    <w:rsid w:val="00E41D15"/>
    <w:rsid w:val="00E42F50"/>
    <w:rsid w:val="00E44E2B"/>
    <w:rsid w:val="00E45790"/>
    <w:rsid w:val="00E46427"/>
    <w:rsid w:val="00E4696E"/>
    <w:rsid w:val="00E50CF0"/>
    <w:rsid w:val="00E519D0"/>
    <w:rsid w:val="00E52808"/>
    <w:rsid w:val="00E53588"/>
    <w:rsid w:val="00E54031"/>
    <w:rsid w:val="00E543B8"/>
    <w:rsid w:val="00E54441"/>
    <w:rsid w:val="00E54E5F"/>
    <w:rsid w:val="00E6098A"/>
    <w:rsid w:val="00E6187D"/>
    <w:rsid w:val="00E61CF4"/>
    <w:rsid w:val="00E628F8"/>
    <w:rsid w:val="00E65221"/>
    <w:rsid w:val="00E65FA4"/>
    <w:rsid w:val="00E6686D"/>
    <w:rsid w:val="00E67E42"/>
    <w:rsid w:val="00E70CEB"/>
    <w:rsid w:val="00E7205D"/>
    <w:rsid w:val="00E7492D"/>
    <w:rsid w:val="00E76064"/>
    <w:rsid w:val="00E77C89"/>
    <w:rsid w:val="00E80055"/>
    <w:rsid w:val="00E8007E"/>
    <w:rsid w:val="00E82792"/>
    <w:rsid w:val="00E82EE5"/>
    <w:rsid w:val="00E85266"/>
    <w:rsid w:val="00E8698D"/>
    <w:rsid w:val="00E96230"/>
    <w:rsid w:val="00E966EE"/>
    <w:rsid w:val="00E9677E"/>
    <w:rsid w:val="00E96CEA"/>
    <w:rsid w:val="00E9734C"/>
    <w:rsid w:val="00EA1F71"/>
    <w:rsid w:val="00EA2316"/>
    <w:rsid w:val="00EA5622"/>
    <w:rsid w:val="00EB0125"/>
    <w:rsid w:val="00EB1D9B"/>
    <w:rsid w:val="00EB2105"/>
    <w:rsid w:val="00EB423C"/>
    <w:rsid w:val="00EB7DA6"/>
    <w:rsid w:val="00EC1B2F"/>
    <w:rsid w:val="00EC2F0A"/>
    <w:rsid w:val="00EC3166"/>
    <w:rsid w:val="00EC6BC5"/>
    <w:rsid w:val="00ED1138"/>
    <w:rsid w:val="00ED1C35"/>
    <w:rsid w:val="00ED2E3F"/>
    <w:rsid w:val="00ED33C0"/>
    <w:rsid w:val="00ED3F3D"/>
    <w:rsid w:val="00ED47A2"/>
    <w:rsid w:val="00ED6358"/>
    <w:rsid w:val="00ED710B"/>
    <w:rsid w:val="00EE032F"/>
    <w:rsid w:val="00EE05D8"/>
    <w:rsid w:val="00EE08B9"/>
    <w:rsid w:val="00EE0BF8"/>
    <w:rsid w:val="00EE150B"/>
    <w:rsid w:val="00EE2333"/>
    <w:rsid w:val="00EE4050"/>
    <w:rsid w:val="00EE684E"/>
    <w:rsid w:val="00EE76A9"/>
    <w:rsid w:val="00EF07CF"/>
    <w:rsid w:val="00EF2F80"/>
    <w:rsid w:val="00EF40A7"/>
    <w:rsid w:val="00EF5331"/>
    <w:rsid w:val="00EF67F6"/>
    <w:rsid w:val="00EF7039"/>
    <w:rsid w:val="00F02E18"/>
    <w:rsid w:val="00F0481B"/>
    <w:rsid w:val="00F05E4B"/>
    <w:rsid w:val="00F10927"/>
    <w:rsid w:val="00F139DF"/>
    <w:rsid w:val="00F14CA5"/>
    <w:rsid w:val="00F15021"/>
    <w:rsid w:val="00F157CA"/>
    <w:rsid w:val="00F168D3"/>
    <w:rsid w:val="00F2188E"/>
    <w:rsid w:val="00F21CDC"/>
    <w:rsid w:val="00F22504"/>
    <w:rsid w:val="00F2411F"/>
    <w:rsid w:val="00F306A9"/>
    <w:rsid w:val="00F30B07"/>
    <w:rsid w:val="00F33F9E"/>
    <w:rsid w:val="00F34934"/>
    <w:rsid w:val="00F35FA0"/>
    <w:rsid w:val="00F368AA"/>
    <w:rsid w:val="00F42C2B"/>
    <w:rsid w:val="00F43745"/>
    <w:rsid w:val="00F44482"/>
    <w:rsid w:val="00F476EA"/>
    <w:rsid w:val="00F50C82"/>
    <w:rsid w:val="00F528F6"/>
    <w:rsid w:val="00F54149"/>
    <w:rsid w:val="00F56758"/>
    <w:rsid w:val="00F570CC"/>
    <w:rsid w:val="00F57399"/>
    <w:rsid w:val="00F60CEB"/>
    <w:rsid w:val="00F625EB"/>
    <w:rsid w:val="00F6339A"/>
    <w:rsid w:val="00F646E9"/>
    <w:rsid w:val="00F65175"/>
    <w:rsid w:val="00F65E59"/>
    <w:rsid w:val="00F65F9A"/>
    <w:rsid w:val="00F66AA3"/>
    <w:rsid w:val="00F67A25"/>
    <w:rsid w:val="00F7017D"/>
    <w:rsid w:val="00F7094D"/>
    <w:rsid w:val="00F709C6"/>
    <w:rsid w:val="00F70FF7"/>
    <w:rsid w:val="00F712E5"/>
    <w:rsid w:val="00F720E1"/>
    <w:rsid w:val="00F73ACA"/>
    <w:rsid w:val="00F75D07"/>
    <w:rsid w:val="00F76237"/>
    <w:rsid w:val="00F80F47"/>
    <w:rsid w:val="00F81011"/>
    <w:rsid w:val="00F82357"/>
    <w:rsid w:val="00F8390C"/>
    <w:rsid w:val="00F8557F"/>
    <w:rsid w:val="00F86CED"/>
    <w:rsid w:val="00F86E8E"/>
    <w:rsid w:val="00F86E9B"/>
    <w:rsid w:val="00F8769F"/>
    <w:rsid w:val="00F87FBA"/>
    <w:rsid w:val="00F90E0A"/>
    <w:rsid w:val="00F93560"/>
    <w:rsid w:val="00F93700"/>
    <w:rsid w:val="00F93A0D"/>
    <w:rsid w:val="00F94116"/>
    <w:rsid w:val="00F95008"/>
    <w:rsid w:val="00F96766"/>
    <w:rsid w:val="00F97F45"/>
    <w:rsid w:val="00FA156A"/>
    <w:rsid w:val="00FA1857"/>
    <w:rsid w:val="00FA211E"/>
    <w:rsid w:val="00FA3143"/>
    <w:rsid w:val="00FA3982"/>
    <w:rsid w:val="00FA3B68"/>
    <w:rsid w:val="00FA574B"/>
    <w:rsid w:val="00FA6EA5"/>
    <w:rsid w:val="00FB1FA0"/>
    <w:rsid w:val="00FB22FA"/>
    <w:rsid w:val="00FB234E"/>
    <w:rsid w:val="00FB28DB"/>
    <w:rsid w:val="00FB2CAE"/>
    <w:rsid w:val="00FB33A0"/>
    <w:rsid w:val="00FB5949"/>
    <w:rsid w:val="00FB79D9"/>
    <w:rsid w:val="00FC4407"/>
    <w:rsid w:val="00FC6FAF"/>
    <w:rsid w:val="00FD1846"/>
    <w:rsid w:val="00FD300A"/>
    <w:rsid w:val="00FD3980"/>
    <w:rsid w:val="00FD4496"/>
    <w:rsid w:val="00FD668D"/>
    <w:rsid w:val="00FD6BBC"/>
    <w:rsid w:val="00FD7DF1"/>
    <w:rsid w:val="00FE0DE6"/>
    <w:rsid w:val="00FE211D"/>
    <w:rsid w:val="00FE29E6"/>
    <w:rsid w:val="00FE30AB"/>
    <w:rsid w:val="00FE46A6"/>
    <w:rsid w:val="00FE520B"/>
    <w:rsid w:val="00FE5CC0"/>
    <w:rsid w:val="00FE7E7D"/>
    <w:rsid w:val="00FF3003"/>
    <w:rsid w:val="00FF3640"/>
    <w:rsid w:val="00FF3F04"/>
    <w:rsid w:val="00FF5501"/>
    <w:rsid w:val="00FF60DB"/>
    <w:rsid w:val="00FF6549"/>
    <w:rsid w:val="00FF6886"/>
    <w:rsid w:val="00FF7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9B9389"/>
  <w15:docId w15:val="{29B4A77A-B3A4-4D83-9500-51B4D422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5DF"/>
    <w:pPr>
      <w:spacing w:line="276" w:lineRule="auto"/>
    </w:pPr>
    <w:rPr>
      <w:sz w:val="22"/>
      <w:szCs w:val="22"/>
      <w:lang w:eastAsia="en-US"/>
    </w:rPr>
  </w:style>
  <w:style w:type="paragraph" w:styleId="Heading1">
    <w:name w:val="heading 1"/>
    <w:basedOn w:val="Normal"/>
    <w:next w:val="Normal"/>
    <w:link w:val="Heading1Char"/>
    <w:qFormat/>
    <w:locked/>
    <w:rsid w:val="00866FE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qFormat/>
    <w:locked/>
    <w:rsid w:val="00DC1AA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locked/>
    <w:rsid w:val="00DC1AA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locked/>
    <w:rsid w:val="00DC1AAF"/>
    <w:pPr>
      <w:keepNext/>
      <w:tabs>
        <w:tab w:val="num" w:pos="864"/>
      </w:tabs>
      <w:spacing w:line="240" w:lineRule="auto"/>
      <w:ind w:left="864" w:hanging="864"/>
      <w:outlineLvl w:val="3"/>
    </w:pPr>
    <w:rPr>
      <w:rFonts w:ascii="Arial" w:eastAsia="Times New Roman" w:hAnsi="Arial" w:cs="Arial"/>
      <w:b/>
      <w:bCs/>
      <w:color w:val="000080"/>
      <w:sz w:val="20"/>
      <w:szCs w:val="20"/>
    </w:rPr>
  </w:style>
  <w:style w:type="paragraph" w:styleId="Heading5">
    <w:name w:val="heading 5"/>
    <w:basedOn w:val="Normal"/>
    <w:next w:val="Normal"/>
    <w:link w:val="Heading5Char"/>
    <w:qFormat/>
    <w:locked/>
    <w:rsid w:val="00866FEA"/>
    <w:pPr>
      <w:spacing w:before="240" w:after="60" w:line="240" w:lineRule="auto"/>
      <w:outlineLvl w:val="4"/>
    </w:pPr>
    <w:rPr>
      <w:rFonts w:ascii="Century Gothic" w:eastAsia="Times New Roman" w:hAnsi="Century Gothic"/>
      <w:b/>
      <w:bCs/>
      <w:i/>
      <w:iCs/>
      <w:sz w:val="26"/>
      <w:szCs w:val="26"/>
    </w:rPr>
  </w:style>
  <w:style w:type="paragraph" w:styleId="Heading6">
    <w:name w:val="heading 6"/>
    <w:basedOn w:val="Normal"/>
    <w:next w:val="Normal"/>
    <w:link w:val="Heading6Char"/>
    <w:qFormat/>
    <w:locked/>
    <w:rsid w:val="00200286"/>
    <w:pPr>
      <w:keepNext/>
      <w:spacing w:line="240" w:lineRule="auto"/>
      <w:outlineLvl w:val="5"/>
    </w:pPr>
    <w:rPr>
      <w:rFonts w:ascii="Century Gothic" w:eastAsia="Times New Roman" w:hAnsi="Century Gothic"/>
      <w:b/>
      <w:szCs w:val="20"/>
    </w:rPr>
  </w:style>
  <w:style w:type="paragraph" w:styleId="Heading7">
    <w:name w:val="heading 7"/>
    <w:basedOn w:val="Normal"/>
    <w:next w:val="Normal"/>
    <w:link w:val="Heading7Char"/>
    <w:qFormat/>
    <w:locked/>
    <w:rsid w:val="00866FEA"/>
    <w:pPr>
      <w:spacing w:before="240" w:after="60" w:line="240" w:lineRule="auto"/>
      <w:outlineLvl w:val="6"/>
    </w:pPr>
    <w:rPr>
      <w:rFonts w:ascii="Times New Roman" w:eastAsia="Times New Roman" w:hAnsi="Times New Roman"/>
      <w:sz w:val="24"/>
      <w:szCs w:val="24"/>
    </w:rPr>
  </w:style>
  <w:style w:type="paragraph" w:styleId="Heading8">
    <w:name w:val="heading 8"/>
    <w:basedOn w:val="Normal"/>
    <w:next w:val="Normal"/>
    <w:link w:val="Heading8Char"/>
    <w:qFormat/>
    <w:locked/>
    <w:rsid w:val="00866FEA"/>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locked/>
    <w:rsid w:val="00DC1AAF"/>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uiPriority w:val="99"/>
    <w:locked/>
    <w:rsid w:val="00200286"/>
    <w:rPr>
      <w:rFonts w:ascii="Century Gothic" w:hAnsi="Century Gothic" w:cs="Times New Roman"/>
      <w:b/>
      <w:sz w:val="20"/>
      <w:szCs w:val="20"/>
      <w:lang w:eastAsia="en-US"/>
    </w:rPr>
  </w:style>
  <w:style w:type="paragraph" w:styleId="Header">
    <w:name w:val="header"/>
    <w:aliases w:val="MEL Header"/>
    <w:basedOn w:val="Normal"/>
    <w:link w:val="HeaderChar"/>
    <w:uiPriority w:val="99"/>
    <w:rsid w:val="008B7473"/>
    <w:pPr>
      <w:tabs>
        <w:tab w:val="center" w:pos="4513"/>
        <w:tab w:val="right" w:pos="9026"/>
      </w:tabs>
      <w:spacing w:line="240" w:lineRule="auto"/>
    </w:pPr>
  </w:style>
  <w:style w:type="character" w:customStyle="1" w:styleId="HeaderChar">
    <w:name w:val="Header Char"/>
    <w:aliases w:val="MEL Header Char"/>
    <w:link w:val="Header"/>
    <w:uiPriority w:val="99"/>
    <w:locked/>
    <w:rsid w:val="008B7473"/>
    <w:rPr>
      <w:rFonts w:cs="Times New Roman"/>
    </w:rPr>
  </w:style>
  <w:style w:type="paragraph" w:styleId="Footer">
    <w:name w:val="footer"/>
    <w:basedOn w:val="Normal"/>
    <w:link w:val="FooterChar"/>
    <w:rsid w:val="008B7473"/>
    <w:pPr>
      <w:tabs>
        <w:tab w:val="center" w:pos="4513"/>
        <w:tab w:val="right" w:pos="9026"/>
      </w:tabs>
      <w:spacing w:line="240" w:lineRule="auto"/>
    </w:pPr>
  </w:style>
  <w:style w:type="character" w:customStyle="1" w:styleId="FooterChar">
    <w:name w:val="Footer Char"/>
    <w:link w:val="Footer"/>
    <w:uiPriority w:val="99"/>
    <w:locked/>
    <w:rsid w:val="008B7473"/>
    <w:rPr>
      <w:rFonts w:cs="Times New Roman"/>
    </w:rPr>
  </w:style>
  <w:style w:type="paragraph" w:styleId="ListParagraph">
    <w:name w:val="List Paragraph"/>
    <w:basedOn w:val="Normal"/>
    <w:link w:val="ListParagraphChar"/>
    <w:uiPriority w:val="34"/>
    <w:qFormat/>
    <w:rsid w:val="00101736"/>
    <w:pPr>
      <w:ind w:left="720"/>
      <w:contextualSpacing/>
    </w:pPr>
  </w:style>
  <w:style w:type="table" w:styleId="TableGrid">
    <w:name w:val="Table Grid"/>
    <w:basedOn w:val="TableNormal"/>
    <w:uiPriority w:val="39"/>
    <w:rsid w:val="004F75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F754D"/>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4F754D"/>
    <w:rPr>
      <w:rFonts w:ascii="Tahoma" w:hAnsi="Tahoma" w:cs="Tahoma"/>
      <w:sz w:val="16"/>
      <w:szCs w:val="16"/>
    </w:rPr>
  </w:style>
  <w:style w:type="character" w:styleId="CommentReference">
    <w:name w:val="annotation reference"/>
    <w:rsid w:val="00F6339A"/>
    <w:rPr>
      <w:rFonts w:cs="Times New Roman"/>
      <w:sz w:val="16"/>
      <w:szCs w:val="16"/>
    </w:rPr>
  </w:style>
  <w:style w:type="paragraph" w:styleId="CommentText">
    <w:name w:val="annotation text"/>
    <w:basedOn w:val="Normal"/>
    <w:link w:val="CommentTextChar"/>
    <w:rsid w:val="00F6339A"/>
    <w:pPr>
      <w:spacing w:line="240" w:lineRule="auto"/>
    </w:pPr>
    <w:rPr>
      <w:sz w:val="20"/>
      <w:szCs w:val="20"/>
    </w:rPr>
  </w:style>
  <w:style w:type="character" w:customStyle="1" w:styleId="CommentTextChar">
    <w:name w:val="Comment Text Char"/>
    <w:link w:val="CommentText"/>
    <w:locked/>
    <w:rsid w:val="00F6339A"/>
    <w:rPr>
      <w:rFonts w:cs="Times New Roman"/>
      <w:sz w:val="20"/>
      <w:szCs w:val="20"/>
    </w:rPr>
  </w:style>
  <w:style w:type="paragraph" w:styleId="CommentSubject">
    <w:name w:val="annotation subject"/>
    <w:basedOn w:val="CommentText"/>
    <w:next w:val="CommentText"/>
    <w:link w:val="CommentSubjectChar"/>
    <w:rsid w:val="00F6339A"/>
    <w:rPr>
      <w:b/>
      <w:bCs/>
    </w:rPr>
  </w:style>
  <w:style w:type="character" w:customStyle="1" w:styleId="CommentSubjectChar">
    <w:name w:val="Comment Subject Char"/>
    <w:link w:val="CommentSubject"/>
    <w:locked/>
    <w:rsid w:val="00F6339A"/>
    <w:rPr>
      <w:rFonts w:cs="Times New Roman"/>
      <w:b/>
      <w:bCs/>
      <w:sz w:val="20"/>
      <w:szCs w:val="20"/>
    </w:rPr>
  </w:style>
  <w:style w:type="paragraph" w:styleId="BodyText">
    <w:name w:val="Body Text"/>
    <w:basedOn w:val="Normal"/>
    <w:link w:val="BodyTextChar"/>
    <w:uiPriority w:val="99"/>
    <w:semiHidden/>
    <w:rsid w:val="00BE60D8"/>
    <w:pPr>
      <w:spacing w:after="120"/>
    </w:pPr>
  </w:style>
  <w:style w:type="character" w:customStyle="1" w:styleId="BodyTextChar">
    <w:name w:val="Body Text Char"/>
    <w:link w:val="BodyText"/>
    <w:uiPriority w:val="99"/>
    <w:semiHidden/>
    <w:locked/>
    <w:rsid w:val="00BE60D8"/>
    <w:rPr>
      <w:rFonts w:cs="Times New Roman"/>
    </w:rPr>
  </w:style>
  <w:style w:type="character" w:styleId="Hyperlink">
    <w:name w:val="Hyperlink"/>
    <w:uiPriority w:val="99"/>
    <w:rsid w:val="003B7D5D"/>
    <w:rPr>
      <w:rFonts w:cs="Times New Roman"/>
      <w:color w:val="0000FF"/>
      <w:u w:val="single"/>
    </w:rPr>
  </w:style>
  <w:style w:type="paragraph" w:styleId="BodyTextIndent2">
    <w:name w:val="Body Text Indent 2"/>
    <w:basedOn w:val="Normal"/>
    <w:link w:val="BodyTextIndent2Char"/>
    <w:rsid w:val="00173107"/>
    <w:pPr>
      <w:spacing w:after="120" w:line="480" w:lineRule="auto"/>
      <w:ind w:left="283"/>
    </w:pPr>
    <w:rPr>
      <w:rFonts w:ascii="Century Gothic" w:eastAsia="Times New Roman" w:hAnsi="Century Gothic"/>
      <w:sz w:val="20"/>
      <w:szCs w:val="20"/>
    </w:rPr>
  </w:style>
  <w:style w:type="character" w:customStyle="1" w:styleId="BodyTextIndent2Char">
    <w:name w:val="Body Text Indent 2 Char"/>
    <w:link w:val="BodyTextIndent2"/>
    <w:uiPriority w:val="99"/>
    <w:locked/>
    <w:rsid w:val="00173107"/>
    <w:rPr>
      <w:rFonts w:ascii="Century Gothic" w:hAnsi="Century Gothic" w:cs="Times New Roman"/>
      <w:sz w:val="20"/>
      <w:szCs w:val="20"/>
      <w:lang w:eastAsia="en-US"/>
    </w:rPr>
  </w:style>
  <w:style w:type="paragraph" w:styleId="NoSpacing">
    <w:name w:val="No Spacing"/>
    <w:uiPriority w:val="1"/>
    <w:qFormat/>
    <w:rsid w:val="001946E0"/>
    <w:rPr>
      <w:sz w:val="22"/>
      <w:szCs w:val="22"/>
      <w:lang w:eastAsia="en-US"/>
    </w:rPr>
  </w:style>
  <w:style w:type="character" w:customStyle="1" w:styleId="emailstyle17">
    <w:name w:val="emailstyle17"/>
    <w:uiPriority w:val="99"/>
    <w:semiHidden/>
    <w:rsid w:val="005737F1"/>
    <w:rPr>
      <w:rFonts w:ascii="Arial" w:hAnsi="Arial" w:cs="Arial"/>
      <w:color w:val="auto"/>
      <w:sz w:val="20"/>
      <w:szCs w:val="20"/>
    </w:rPr>
  </w:style>
  <w:style w:type="paragraph" w:customStyle="1" w:styleId="Default">
    <w:name w:val="Default"/>
    <w:rsid w:val="008462AC"/>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327ADF"/>
    <w:pPr>
      <w:spacing w:before="100" w:beforeAutospacing="1" w:after="100" w:afterAutospacing="1" w:line="240" w:lineRule="auto"/>
    </w:pPr>
    <w:rPr>
      <w:rFonts w:ascii="Times New Roman" w:eastAsiaTheme="minorHAnsi" w:hAnsi="Times New Roman"/>
      <w:sz w:val="24"/>
      <w:szCs w:val="24"/>
      <w:lang w:eastAsia="en-GB"/>
    </w:rPr>
  </w:style>
  <w:style w:type="character" w:customStyle="1" w:styleId="Heading1Char">
    <w:name w:val="Heading 1 Char"/>
    <w:basedOn w:val="DefaultParagraphFont"/>
    <w:link w:val="Heading1"/>
    <w:rsid w:val="00866FEA"/>
    <w:rPr>
      <w:rFonts w:ascii="Arial" w:eastAsia="Times New Roman" w:hAnsi="Arial" w:cs="Arial"/>
      <w:b/>
      <w:bCs/>
      <w:kern w:val="32"/>
      <w:sz w:val="32"/>
      <w:szCs w:val="32"/>
      <w:lang w:eastAsia="en-US"/>
    </w:rPr>
  </w:style>
  <w:style w:type="character" w:customStyle="1" w:styleId="Heading5Char">
    <w:name w:val="Heading 5 Char"/>
    <w:basedOn w:val="DefaultParagraphFont"/>
    <w:link w:val="Heading5"/>
    <w:rsid w:val="00866FEA"/>
    <w:rPr>
      <w:rFonts w:ascii="Century Gothic" w:eastAsia="Times New Roman" w:hAnsi="Century Gothic"/>
      <w:b/>
      <w:bCs/>
      <w:i/>
      <w:iCs/>
      <w:sz w:val="26"/>
      <w:szCs w:val="26"/>
      <w:lang w:eastAsia="en-US"/>
    </w:rPr>
  </w:style>
  <w:style w:type="character" w:customStyle="1" w:styleId="Heading7Char">
    <w:name w:val="Heading 7 Char"/>
    <w:basedOn w:val="DefaultParagraphFont"/>
    <w:link w:val="Heading7"/>
    <w:rsid w:val="00866FEA"/>
    <w:rPr>
      <w:rFonts w:ascii="Times New Roman" w:eastAsia="Times New Roman" w:hAnsi="Times New Roman"/>
      <w:sz w:val="24"/>
      <w:szCs w:val="24"/>
      <w:lang w:eastAsia="en-US"/>
    </w:rPr>
  </w:style>
  <w:style w:type="character" w:customStyle="1" w:styleId="Heading8Char">
    <w:name w:val="Heading 8 Char"/>
    <w:basedOn w:val="DefaultParagraphFont"/>
    <w:link w:val="Heading8"/>
    <w:rsid w:val="00866FEA"/>
    <w:rPr>
      <w:rFonts w:ascii="Times New Roman" w:eastAsia="Times New Roman" w:hAnsi="Times New Roman"/>
      <w:i/>
      <w:iCs/>
      <w:sz w:val="24"/>
      <w:szCs w:val="24"/>
      <w:lang w:eastAsia="en-US"/>
    </w:rPr>
  </w:style>
  <w:style w:type="paragraph" w:styleId="BodyTextIndent">
    <w:name w:val="Body Text Indent"/>
    <w:basedOn w:val="Normal"/>
    <w:link w:val="BodyTextIndentChar"/>
    <w:rsid w:val="00866FEA"/>
    <w:pPr>
      <w:spacing w:after="120" w:line="240" w:lineRule="auto"/>
      <w:ind w:left="283"/>
    </w:pPr>
    <w:rPr>
      <w:rFonts w:ascii="Century Gothic" w:eastAsia="Times New Roman" w:hAnsi="Century Gothic"/>
      <w:sz w:val="20"/>
      <w:szCs w:val="20"/>
    </w:rPr>
  </w:style>
  <w:style w:type="character" w:customStyle="1" w:styleId="BodyTextIndentChar">
    <w:name w:val="Body Text Indent Char"/>
    <w:basedOn w:val="DefaultParagraphFont"/>
    <w:link w:val="BodyTextIndent"/>
    <w:rsid w:val="00866FEA"/>
    <w:rPr>
      <w:rFonts w:ascii="Century Gothic" w:eastAsia="Times New Roman" w:hAnsi="Century Gothic"/>
      <w:lang w:eastAsia="en-US"/>
    </w:rPr>
  </w:style>
  <w:style w:type="paragraph" w:styleId="FootnoteText">
    <w:name w:val="footnote text"/>
    <w:basedOn w:val="Normal"/>
    <w:link w:val="FootnoteTextChar"/>
    <w:uiPriority w:val="99"/>
    <w:semiHidden/>
    <w:unhideWhenUsed/>
    <w:rsid w:val="002D6993"/>
    <w:pPr>
      <w:spacing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D6993"/>
    <w:rPr>
      <w:rFonts w:asciiTheme="minorHAnsi" w:hAnsiTheme="minorHAnsi" w:cstheme="minorBidi"/>
      <w:lang w:eastAsia="en-US"/>
    </w:rPr>
  </w:style>
  <w:style w:type="character" w:styleId="FootnoteReference">
    <w:name w:val="footnote reference"/>
    <w:basedOn w:val="DefaultParagraphFont"/>
    <w:uiPriority w:val="99"/>
    <w:semiHidden/>
    <w:unhideWhenUsed/>
    <w:rsid w:val="002D6993"/>
    <w:rPr>
      <w:vertAlign w:val="superscript"/>
    </w:rPr>
  </w:style>
  <w:style w:type="paragraph" w:styleId="Revision">
    <w:name w:val="Revision"/>
    <w:hidden/>
    <w:uiPriority w:val="99"/>
    <w:semiHidden/>
    <w:rsid w:val="00950F9D"/>
    <w:rPr>
      <w:sz w:val="22"/>
      <w:szCs w:val="22"/>
      <w:lang w:eastAsia="en-US"/>
    </w:rPr>
  </w:style>
  <w:style w:type="character" w:customStyle="1" w:styleId="Heading2Char">
    <w:name w:val="Heading 2 Char"/>
    <w:basedOn w:val="DefaultParagraphFont"/>
    <w:link w:val="Heading2"/>
    <w:semiHidden/>
    <w:rsid w:val="00DC1AAF"/>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semiHidden/>
    <w:rsid w:val="00DC1AAF"/>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rsid w:val="00DC1AAF"/>
    <w:rPr>
      <w:rFonts w:ascii="Arial" w:eastAsia="Times New Roman" w:hAnsi="Arial" w:cs="Arial"/>
      <w:b/>
      <w:bCs/>
      <w:color w:val="000080"/>
      <w:lang w:eastAsia="en-US"/>
    </w:rPr>
  </w:style>
  <w:style w:type="character" w:customStyle="1" w:styleId="Heading9Char">
    <w:name w:val="Heading 9 Char"/>
    <w:basedOn w:val="DefaultParagraphFont"/>
    <w:link w:val="Heading9"/>
    <w:rsid w:val="00DC1AAF"/>
    <w:rPr>
      <w:rFonts w:ascii="Arial" w:eastAsia="Times New Roman" w:hAnsi="Arial" w:cs="Arial"/>
      <w:sz w:val="22"/>
      <w:szCs w:val="22"/>
      <w:lang w:eastAsia="en-US"/>
    </w:rPr>
  </w:style>
  <w:style w:type="numbering" w:customStyle="1" w:styleId="NoList1">
    <w:name w:val="No List1"/>
    <w:next w:val="NoList"/>
    <w:semiHidden/>
    <w:rsid w:val="00DC1AAF"/>
  </w:style>
  <w:style w:type="paragraph" w:styleId="BodyTextIndent3">
    <w:name w:val="Body Text Indent 3"/>
    <w:basedOn w:val="Normal"/>
    <w:link w:val="BodyTextIndent3Char"/>
    <w:rsid w:val="00DC1AAF"/>
    <w:pPr>
      <w:spacing w:line="240" w:lineRule="auto"/>
      <w:ind w:left="576"/>
      <w:jc w:val="both"/>
    </w:pPr>
    <w:rPr>
      <w:rFonts w:ascii="Arial" w:eastAsia="Times New Roman" w:hAnsi="Arial"/>
      <w:lang w:val="en"/>
    </w:rPr>
  </w:style>
  <w:style w:type="character" w:customStyle="1" w:styleId="BodyTextIndent3Char">
    <w:name w:val="Body Text Indent 3 Char"/>
    <w:basedOn w:val="DefaultParagraphFont"/>
    <w:link w:val="BodyTextIndent3"/>
    <w:rsid w:val="00DC1AAF"/>
    <w:rPr>
      <w:rFonts w:ascii="Arial" w:eastAsia="Times New Roman" w:hAnsi="Arial"/>
      <w:sz w:val="22"/>
      <w:szCs w:val="22"/>
      <w:lang w:val="en" w:eastAsia="en-US"/>
    </w:rPr>
  </w:style>
  <w:style w:type="character" w:styleId="PageNumber">
    <w:name w:val="page number"/>
    <w:basedOn w:val="DefaultParagraphFont"/>
    <w:rsid w:val="00DC1AAF"/>
  </w:style>
  <w:style w:type="paragraph" w:customStyle="1" w:styleId="StyleCCC">
    <w:name w:val="StyleCCC"/>
    <w:basedOn w:val="Normal"/>
    <w:rsid w:val="00DC1AAF"/>
    <w:pPr>
      <w:tabs>
        <w:tab w:val="num" w:pos="360"/>
      </w:tabs>
      <w:spacing w:line="240" w:lineRule="auto"/>
      <w:ind w:left="360" w:hanging="360"/>
    </w:pPr>
    <w:rPr>
      <w:rFonts w:ascii="Arial" w:eastAsia="Times New Roman" w:hAnsi="Arial"/>
      <w:sz w:val="24"/>
      <w:szCs w:val="20"/>
    </w:rPr>
  </w:style>
  <w:style w:type="paragraph" w:customStyle="1" w:styleId="Char">
    <w:name w:val="Char"/>
    <w:basedOn w:val="Normal"/>
    <w:rsid w:val="00DC1AAF"/>
    <w:pPr>
      <w:spacing w:after="160" w:line="240" w:lineRule="exact"/>
    </w:pPr>
    <w:rPr>
      <w:rFonts w:ascii="Verdana" w:eastAsia="Times New Roman" w:hAnsi="Verdana" w:cs="Verdana"/>
      <w:sz w:val="20"/>
      <w:szCs w:val="20"/>
      <w:lang w:val="en-US"/>
    </w:rPr>
  </w:style>
  <w:style w:type="table" w:customStyle="1" w:styleId="TableGrid1">
    <w:name w:val="Table Grid1"/>
    <w:basedOn w:val="TableNormal"/>
    <w:next w:val="TableGrid"/>
    <w:rsid w:val="00DC1A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locked/>
    <w:rsid w:val="00DC1AAF"/>
    <w:pPr>
      <w:spacing w:before="240" w:after="60" w:line="240" w:lineRule="auto"/>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rsid w:val="00DC1AAF"/>
    <w:rPr>
      <w:rFonts w:ascii="Calibri Light" w:eastAsia="Times New Roman" w:hAnsi="Calibri Light"/>
      <w:b/>
      <w:bCs/>
      <w:kern w:val="28"/>
      <w:sz w:val="32"/>
      <w:szCs w:val="32"/>
      <w:lang w:eastAsia="en-US"/>
    </w:rPr>
  </w:style>
  <w:style w:type="paragraph" w:customStyle="1" w:styleId="PanelPara">
    <w:name w:val="Panel Para"/>
    <w:basedOn w:val="ListParagraph"/>
    <w:link w:val="PanelParaChar"/>
    <w:qFormat/>
    <w:rsid w:val="00083DE2"/>
    <w:pPr>
      <w:numPr>
        <w:numId w:val="6"/>
      </w:numPr>
      <w:spacing w:after="240" w:line="240" w:lineRule="auto"/>
      <w:contextualSpacing w:val="0"/>
      <w:jc w:val="both"/>
    </w:pPr>
    <w:rPr>
      <w:rFonts w:asciiTheme="minorHAnsi" w:hAnsiTheme="minorHAnsi" w:cstheme="minorHAnsi"/>
      <w:sz w:val="24"/>
      <w:szCs w:val="24"/>
    </w:rPr>
  </w:style>
  <w:style w:type="paragraph" w:customStyle="1" w:styleId="PanelHeading">
    <w:name w:val="Panel Heading"/>
    <w:basedOn w:val="ListParagraph"/>
    <w:link w:val="PanelHeadingChar"/>
    <w:qFormat/>
    <w:rsid w:val="00685B66"/>
    <w:pPr>
      <w:spacing w:after="240" w:line="240" w:lineRule="auto"/>
      <w:ind w:left="0"/>
      <w:jc w:val="both"/>
    </w:pPr>
    <w:rPr>
      <w:rFonts w:asciiTheme="minorHAnsi" w:hAnsiTheme="minorHAnsi" w:cstheme="minorHAnsi"/>
      <w:b/>
      <w:sz w:val="24"/>
      <w:szCs w:val="24"/>
    </w:rPr>
  </w:style>
  <w:style w:type="character" w:customStyle="1" w:styleId="ListParagraphChar">
    <w:name w:val="List Paragraph Char"/>
    <w:basedOn w:val="DefaultParagraphFont"/>
    <w:link w:val="ListParagraph"/>
    <w:uiPriority w:val="34"/>
    <w:rsid w:val="00EE08B9"/>
    <w:rPr>
      <w:sz w:val="22"/>
      <w:szCs w:val="22"/>
      <w:lang w:eastAsia="en-US"/>
    </w:rPr>
  </w:style>
  <w:style w:type="character" w:customStyle="1" w:styleId="PanelParaChar">
    <w:name w:val="Panel Para Char"/>
    <w:basedOn w:val="ListParagraphChar"/>
    <w:link w:val="PanelPara"/>
    <w:rsid w:val="00083DE2"/>
    <w:rPr>
      <w:rFonts w:asciiTheme="minorHAnsi" w:hAnsiTheme="minorHAnsi" w:cstheme="minorHAnsi"/>
      <w:sz w:val="24"/>
      <w:szCs w:val="24"/>
      <w:lang w:eastAsia="en-US"/>
    </w:rPr>
  </w:style>
  <w:style w:type="character" w:customStyle="1" w:styleId="PanelHeadingChar">
    <w:name w:val="Panel Heading Char"/>
    <w:basedOn w:val="ListParagraphChar"/>
    <w:link w:val="PanelHeading"/>
    <w:rsid w:val="00685B66"/>
    <w:rPr>
      <w:rFonts w:asciiTheme="minorHAnsi" w:hAnsiTheme="minorHAnsi" w:cstheme="minorHAnsi"/>
      <w:b/>
      <w:sz w:val="24"/>
      <w:szCs w:val="24"/>
      <w:lang w:eastAsia="en-US"/>
    </w:rPr>
  </w:style>
  <w:style w:type="paragraph" w:customStyle="1" w:styleId="ReservesHeading">
    <w:name w:val="Reserves Heading"/>
    <w:basedOn w:val="Normal"/>
    <w:link w:val="ReservesHeadingChar"/>
    <w:qFormat/>
    <w:rsid w:val="008722B8"/>
    <w:pPr>
      <w:numPr>
        <w:numId w:val="7"/>
      </w:numPr>
      <w:spacing w:after="240" w:line="240" w:lineRule="auto"/>
      <w:ind w:left="567" w:hanging="567"/>
      <w:jc w:val="both"/>
    </w:pPr>
    <w:rPr>
      <w:rFonts w:eastAsia="Times New Roman" w:cs="Calibri"/>
      <w:b/>
      <w:bCs/>
      <w:sz w:val="24"/>
      <w:szCs w:val="24"/>
    </w:rPr>
  </w:style>
  <w:style w:type="paragraph" w:customStyle="1" w:styleId="ReservesBody">
    <w:name w:val="Reserves Body"/>
    <w:basedOn w:val="ReservesHeading"/>
    <w:link w:val="ReservesBodyChar"/>
    <w:qFormat/>
    <w:rsid w:val="008722B8"/>
    <w:pPr>
      <w:numPr>
        <w:ilvl w:val="1"/>
      </w:numPr>
      <w:ind w:left="567" w:hanging="567"/>
    </w:pPr>
    <w:rPr>
      <w:b w:val="0"/>
      <w:bCs w:val="0"/>
    </w:rPr>
  </w:style>
  <w:style w:type="character" w:customStyle="1" w:styleId="ReservesHeadingChar">
    <w:name w:val="Reserves Heading Char"/>
    <w:basedOn w:val="DefaultParagraphFont"/>
    <w:link w:val="ReservesHeading"/>
    <w:rsid w:val="008722B8"/>
    <w:rPr>
      <w:rFonts w:eastAsia="Times New Roman" w:cs="Calibri"/>
      <w:b/>
      <w:bCs/>
      <w:sz w:val="24"/>
      <w:szCs w:val="24"/>
      <w:lang w:eastAsia="en-US"/>
    </w:rPr>
  </w:style>
  <w:style w:type="paragraph" w:customStyle="1" w:styleId="Reservesbullet">
    <w:name w:val="Reserves bullet"/>
    <w:basedOn w:val="ReservesBody"/>
    <w:link w:val="ReservesbulletChar"/>
    <w:qFormat/>
    <w:rsid w:val="0075574D"/>
    <w:pPr>
      <w:numPr>
        <w:ilvl w:val="2"/>
      </w:numPr>
      <w:spacing w:after="120"/>
      <w:ind w:left="1077" w:hanging="357"/>
    </w:pPr>
  </w:style>
  <w:style w:type="character" w:customStyle="1" w:styleId="ReservesBodyChar">
    <w:name w:val="Reserves Body Char"/>
    <w:basedOn w:val="ReservesHeadingChar"/>
    <w:link w:val="ReservesBody"/>
    <w:rsid w:val="008722B8"/>
    <w:rPr>
      <w:rFonts w:eastAsia="Times New Roman" w:cs="Calibri"/>
      <w:b w:val="0"/>
      <w:bCs w:val="0"/>
      <w:sz w:val="24"/>
      <w:szCs w:val="24"/>
      <w:lang w:eastAsia="en-US"/>
    </w:rPr>
  </w:style>
  <w:style w:type="character" w:customStyle="1" w:styleId="ReservesbulletChar">
    <w:name w:val="Reserves bullet Char"/>
    <w:basedOn w:val="ReservesBodyChar"/>
    <w:link w:val="Reservesbullet"/>
    <w:rsid w:val="0075574D"/>
    <w:rPr>
      <w:rFonts w:eastAsia="Times New Roman" w:cs="Calibri"/>
      <w:b w:val="0"/>
      <w:bCs w:val="0"/>
      <w:sz w:val="24"/>
      <w:szCs w:val="24"/>
      <w:lang w:eastAsia="en-US"/>
    </w:rPr>
  </w:style>
  <w:style w:type="paragraph" w:customStyle="1" w:styleId="PanelBullet">
    <w:name w:val="Panel Bullet"/>
    <w:basedOn w:val="PanelPara"/>
    <w:link w:val="PanelBulletChar"/>
    <w:qFormat/>
    <w:rsid w:val="00640ACC"/>
    <w:pPr>
      <w:numPr>
        <w:ilvl w:val="2"/>
      </w:numPr>
      <w:spacing w:after="120"/>
    </w:pPr>
  </w:style>
  <w:style w:type="character" w:customStyle="1" w:styleId="PanelBulletChar">
    <w:name w:val="Panel Bullet Char"/>
    <w:basedOn w:val="PanelParaChar"/>
    <w:link w:val="PanelBullet"/>
    <w:rsid w:val="00640ACC"/>
    <w:rPr>
      <w:rFonts w:asciiTheme="minorHAnsi" w:hAnsiTheme="minorHAnsi" w:cstheme="minorHAnsi"/>
      <w:sz w:val="24"/>
      <w:szCs w:val="24"/>
      <w:lang w:eastAsia="en-US"/>
    </w:rPr>
  </w:style>
  <w:style w:type="paragraph" w:customStyle="1" w:styleId="PanelPara2">
    <w:name w:val="Panel Para 2"/>
    <w:basedOn w:val="PanelPara"/>
    <w:qFormat/>
    <w:rsid w:val="00FF6886"/>
    <w:pPr>
      <w:numPr>
        <w:numId w:val="0"/>
      </w:numPr>
      <w:ind w:left="1134"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7327">
      <w:bodyDiv w:val="1"/>
      <w:marLeft w:val="0"/>
      <w:marRight w:val="0"/>
      <w:marTop w:val="0"/>
      <w:marBottom w:val="0"/>
      <w:divBdr>
        <w:top w:val="none" w:sz="0" w:space="0" w:color="auto"/>
        <w:left w:val="none" w:sz="0" w:space="0" w:color="auto"/>
        <w:bottom w:val="none" w:sz="0" w:space="0" w:color="auto"/>
        <w:right w:val="none" w:sz="0" w:space="0" w:color="auto"/>
      </w:divBdr>
    </w:div>
    <w:div w:id="24602424">
      <w:bodyDiv w:val="1"/>
      <w:marLeft w:val="0"/>
      <w:marRight w:val="0"/>
      <w:marTop w:val="0"/>
      <w:marBottom w:val="0"/>
      <w:divBdr>
        <w:top w:val="none" w:sz="0" w:space="0" w:color="auto"/>
        <w:left w:val="none" w:sz="0" w:space="0" w:color="auto"/>
        <w:bottom w:val="none" w:sz="0" w:space="0" w:color="auto"/>
        <w:right w:val="none" w:sz="0" w:space="0" w:color="auto"/>
      </w:divBdr>
    </w:div>
    <w:div w:id="30233006">
      <w:bodyDiv w:val="1"/>
      <w:marLeft w:val="0"/>
      <w:marRight w:val="0"/>
      <w:marTop w:val="0"/>
      <w:marBottom w:val="0"/>
      <w:divBdr>
        <w:top w:val="none" w:sz="0" w:space="0" w:color="auto"/>
        <w:left w:val="none" w:sz="0" w:space="0" w:color="auto"/>
        <w:bottom w:val="none" w:sz="0" w:space="0" w:color="auto"/>
        <w:right w:val="none" w:sz="0" w:space="0" w:color="auto"/>
      </w:divBdr>
    </w:div>
    <w:div w:id="37821086">
      <w:bodyDiv w:val="1"/>
      <w:marLeft w:val="0"/>
      <w:marRight w:val="0"/>
      <w:marTop w:val="0"/>
      <w:marBottom w:val="0"/>
      <w:divBdr>
        <w:top w:val="none" w:sz="0" w:space="0" w:color="auto"/>
        <w:left w:val="none" w:sz="0" w:space="0" w:color="auto"/>
        <w:bottom w:val="none" w:sz="0" w:space="0" w:color="auto"/>
        <w:right w:val="none" w:sz="0" w:space="0" w:color="auto"/>
      </w:divBdr>
    </w:div>
    <w:div w:id="62681711">
      <w:bodyDiv w:val="1"/>
      <w:marLeft w:val="0"/>
      <w:marRight w:val="0"/>
      <w:marTop w:val="0"/>
      <w:marBottom w:val="0"/>
      <w:divBdr>
        <w:top w:val="none" w:sz="0" w:space="0" w:color="auto"/>
        <w:left w:val="none" w:sz="0" w:space="0" w:color="auto"/>
        <w:bottom w:val="none" w:sz="0" w:space="0" w:color="auto"/>
        <w:right w:val="none" w:sz="0" w:space="0" w:color="auto"/>
      </w:divBdr>
    </w:div>
    <w:div w:id="82651841">
      <w:bodyDiv w:val="1"/>
      <w:marLeft w:val="0"/>
      <w:marRight w:val="0"/>
      <w:marTop w:val="0"/>
      <w:marBottom w:val="0"/>
      <w:divBdr>
        <w:top w:val="none" w:sz="0" w:space="0" w:color="auto"/>
        <w:left w:val="none" w:sz="0" w:space="0" w:color="auto"/>
        <w:bottom w:val="none" w:sz="0" w:space="0" w:color="auto"/>
        <w:right w:val="none" w:sz="0" w:space="0" w:color="auto"/>
      </w:divBdr>
    </w:div>
    <w:div w:id="88433767">
      <w:bodyDiv w:val="1"/>
      <w:marLeft w:val="0"/>
      <w:marRight w:val="0"/>
      <w:marTop w:val="0"/>
      <w:marBottom w:val="0"/>
      <w:divBdr>
        <w:top w:val="none" w:sz="0" w:space="0" w:color="auto"/>
        <w:left w:val="none" w:sz="0" w:space="0" w:color="auto"/>
        <w:bottom w:val="none" w:sz="0" w:space="0" w:color="auto"/>
        <w:right w:val="none" w:sz="0" w:space="0" w:color="auto"/>
      </w:divBdr>
    </w:div>
    <w:div w:id="91174414">
      <w:bodyDiv w:val="1"/>
      <w:marLeft w:val="0"/>
      <w:marRight w:val="0"/>
      <w:marTop w:val="0"/>
      <w:marBottom w:val="0"/>
      <w:divBdr>
        <w:top w:val="none" w:sz="0" w:space="0" w:color="auto"/>
        <w:left w:val="none" w:sz="0" w:space="0" w:color="auto"/>
        <w:bottom w:val="none" w:sz="0" w:space="0" w:color="auto"/>
        <w:right w:val="none" w:sz="0" w:space="0" w:color="auto"/>
      </w:divBdr>
    </w:div>
    <w:div w:id="94982937">
      <w:bodyDiv w:val="1"/>
      <w:marLeft w:val="0"/>
      <w:marRight w:val="0"/>
      <w:marTop w:val="0"/>
      <w:marBottom w:val="0"/>
      <w:divBdr>
        <w:top w:val="none" w:sz="0" w:space="0" w:color="auto"/>
        <w:left w:val="none" w:sz="0" w:space="0" w:color="auto"/>
        <w:bottom w:val="none" w:sz="0" w:space="0" w:color="auto"/>
        <w:right w:val="none" w:sz="0" w:space="0" w:color="auto"/>
      </w:divBdr>
    </w:div>
    <w:div w:id="96142774">
      <w:bodyDiv w:val="1"/>
      <w:marLeft w:val="0"/>
      <w:marRight w:val="0"/>
      <w:marTop w:val="0"/>
      <w:marBottom w:val="0"/>
      <w:divBdr>
        <w:top w:val="none" w:sz="0" w:space="0" w:color="auto"/>
        <w:left w:val="none" w:sz="0" w:space="0" w:color="auto"/>
        <w:bottom w:val="none" w:sz="0" w:space="0" w:color="auto"/>
        <w:right w:val="none" w:sz="0" w:space="0" w:color="auto"/>
      </w:divBdr>
    </w:div>
    <w:div w:id="105933893">
      <w:bodyDiv w:val="1"/>
      <w:marLeft w:val="0"/>
      <w:marRight w:val="0"/>
      <w:marTop w:val="0"/>
      <w:marBottom w:val="0"/>
      <w:divBdr>
        <w:top w:val="none" w:sz="0" w:space="0" w:color="auto"/>
        <w:left w:val="none" w:sz="0" w:space="0" w:color="auto"/>
        <w:bottom w:val="none" w:sz="0" w:space="0" w:color="auto"/>
        <w:right w:val="none" w:sz="0" w:space="0" w:color="auto"/>
      </w:divBdr>
    </w:div>
    <w:div w:id="110824851">
      <w:bodyDiv w:val="1"/>
      <w:marLeft w:val="0"/>
      <w:marRight w:val="0"/>
      <w:marTop w:val="0"/>
      <w:marBottom w:val="0"/>
      <w:divBdr>
        <w:top w:val="none" w:sz="0" w:space="0" w:color="auto"/>
        <w:left w:val="none" w:sz="0" w:space="0" w:color="auto"/>
        <w:bottom w:val="none" w:sz="0" w:space="0" w:color="auto"/>
        <w:right w:val="none" w:sz="0" w:space="0" w:color="auto"/>
      </w:divBdr>
    </w:div>
    <w:div w:id="154610969">
      <w:bodyDiv w:val="1"/>
      <w:marLeft w:val="0"/>
      <w:marRight w:val="0"/>
      <w:marTop w:val="0"/>
      <w:marBottom w:val="0"/>
      <w:divBdr>
        <w:top w:val="none" w:sz="0" w:space="0" w:color="auto"/>
        <w:left w:val="none" w:sz="0" w:space="0" w:color="auto"/>
        <w:bottom w:val="none" w:sz="0" w:space="0" w:color="auto"/>
        <w:right w:val="none" w:sz="0" w:space="0" w:color="auto"/>
      </w:divBdr>
    </w:div>
    <w:div w:id="185019873">
      <w:bodyDiv w:val="1"/>
      <w:marLeft w:val="0"/>
      <w:marRight w:val="0"/>
      <w:marTop w:val="0"/>
      <w:marBottom w:val="0"/>
      <w:divBdr>
        <w:top w:val="none" w:sz="0" w:space="0" w:color="auto"/>
        <w:left w:val="none" w:sz="0" w:space="0" w:color="auto"/>
        <w:bottom w:val="none" w:sz="0" w:space="0" w:color="auto"/>
        <w:right w:val="none" w:sz="0" w:space="0" w:color="auto"/>
      </w:divBdr>
    </w:div>
    <w:div w:id="202376253">
      <w:bodyDiv w:val="1"/>
      <w:marLeft w:val="0"/>
      <w:marRight w:val="0"/>
      <w:marTop w:val="0"/>
      <w:marBottom w:val="0"/>
      <w:divBdr>
        <w:top w:val="none" w:sz="0" w:space="0" w:color="auto"/>
        <w:left w:val="none" w:sz="0" w:space="0" w:color="auto"/>
        <w:bottom w:val="none" w:sz="0" w:space="0" w:color="auto"/>
        <w:right w:val="none" w:sz="0" w:space="0" w:color="auto"/>
      </w:divBdr>
    </w:div>
    <w:div w:id="209194492">
      <w:bodyDiv w:val="1"/>
      <w:marLeft w:val="0"/>
      <w:marRight w:val="0"/>
      <w:marTop w:val="0"/>
      <w:marBottom w:val="0"/>
      <w:divBdr>
        <w:top w:val="none" w:sz="0" w:space="0" w:color="auto"/>
        <w:left w:val="none" w:sz="0" w:space="0" w:color="auto"/>
        <w:bottom w:val="none" w:sz="0" w:space="0" w:color="auto"/>
        <w:right w:val="none" w:sz="0" w:space="0" w:color="auto"/>
      </w:divBdr>
    </w:div>
    <w:div w:id="213658246">
      <w:bodyDiv w:val="1"/>
      <w:marLeft w:val="0"/>
      <w:marRight w:val="0"/>
      <w:marTop w:val="0"/>
      <w:marBottom w:val="0"/>
      <w:divBdr>
        <w:top w:val="none" w:sz="0" w:space="0" w:color="auto"/>
        <w:left w:val="none" w:sz="0" w:space="0" w:color="auto"/>
        <w:bottom w:val="none" w:sz="0" w:space="0" w:color="auto"/>
        <w:right w:val="none" w:sz="0" w:space="0" w:color="auto"/>
      </w:divBdr>
    </w:div>
    <w:div w:id="237713323">
      <w:bodyDiv w:val="1"/>
      <w:marLeft w:val="0"/>
      <w:marRight w:val="0"/>
      <w:marTop w:val="0"/>
      <w:marBottom w:val="0"/>
      <w:divBdr>
        <w:top w:val="none" w:sz="0" w:space="0" w:color="auto"/>
        <w:left w:val="none" w:sz="0" w:space="0" w:color="auto"/>
        <w:bottom w:val="none" w:sz="0" w:space="0" w:color="auto"/>
        <w:right w:val="none" w:sz="0" w:space="0" w:color="auto"/>
      </w:divBdr>
    </w:div>
    <w:div w:id="250431114">
      <w:bodyDiv w:val="1"/>
      <w:marLeft w:val="0"/>
      <w:marRight w:val="0"/>
      <w:marTop w:val="0"/>
      <w:marBottom w:val="0"/>
      <w:divBdr>
        <w:top w:val="none" w:sz="0" w:space="0" w:color="auto"/>
        <w:left w:val="none" w:sz="0" w:space="0" w:color="auto"/>
        <w:bottom w:val="none" w:sz="0" w:space="0" w:color="auto"/>
        <w:right w:val="none" w:sz="0" w:space="0" w:color="auto"/>
      </w:divBdr>
    </w:div>
    <w:div w:id="265307284">
      <w:bodyDiv w:val="1"/>
      <w:marLeft w:val="0"/>
      <w:marRight w:val="0"/>
      <w:marTop w:val="0"/>
      <w:marBottom w:val="0"/>
      <w:divBdr>
        <w:top w:val="none" w:sz="0" w:space="0" w:color="auto"/>
        <w:left w:val="none" w:sz="0" w:space="0" w:color="auto"/>
        <w:bottom w:val="none" w:sz="0" w:space="0" w:color="auto"/>
        <w:right w:val="none" w:sz="0" w:space="0" w:color="auto"/>
      </w:divBdr>
    </w:div>
    <w:div w:id="267785233">
      <w:bodyDiv w:val="1"/>
      <w:marLeft w:val="0"/>
      <w:marRight w:val="0"/>
      <w:marTop w:val="0"/>
      <w:marBottom w:val="0"/>
      <w:divBdr>
        <w:top w:val="none" w:sz="0" w:space="0" w:color="auto"/>
        <w:left w:val="none" w:sz="0" w:space="0" w:color="auto"/>
        <w:bottom w:val="none" w:sz="0" w:space="0" w:color="auto"/>
        <w:right w:val="none" w:sz="0" w:space="0" w:color="auto"/>
      </w:divBdr>
    </w:div>
    <w:div w:id="276564186">
      <w:bodyDiv w:val="1"/>
      <w:marLeft w:val="0"/>
      <w:marRight w:val="0"/>
      <w:marTop w:val="0"/>
      <w:marBottom w:val="0"/>
      <w:divBdr>
        <w:top w:val="none" w:sz="0" w:space="0" w:color="auto"/>
        <w:left w:val="none" w:sz="0" w:space="0" w:color="auto"/>
        <w:bottom w:val="none" w:sz="0" w:space="0" w:color="auto"/>
        <w:right w:val="none" w:sz="0" w:space="0" w:color="auto"/>
      </w:divBdr>
    </w:div>
    <w:div w:id="328560845">
      <w:bodyDiv w:val="1"/>
      <w:marLeft w:val="0"/>
      <w:marRight w:val="0"/>
      <w:marTop w:val="0"/>
      <w:marBottom w:val="0"/>
      <w:divBdr>
        <w:top w:val="none" w:sz="0" w:space="0" w:color="auto"/>
        <w:left w:val="none" w:sz="0" w:space="0" w:color="auto"/>
        <w:bottom w:val="none" w:sz="0" w:space="0" w:color="auto"/>
        <w:right w:val="none" w:sz="0" w:space="0" w:color="auto"/>
      </w:divBdr>
    </w:div>
    <w:div w:id="330109161">
      <w:bodyDiv w:val="1"/>
      <w:marLeft w:val="0"/>
      <w:marRight w:val="0"/>
      <w:marTop w:val="0"/>
      <w:marBottom w:val="0"/>
      <w:divBdr>
        <w:top w:val="none" w:sz="0" w:space="0" w:color="auto"/>
        <w:left w:val="none" w:sz="0" w:space="0" w:color="auto"/>
        <w:bottom w:val="none" w:sz="0" w:space="0" w:color="auto"/>
        <w:right w:val="none" w:sz="0" w:space="0" w:color="auto"/>
      </w:divBdr>
    </w:div>
    <w:div w:id="339477247">
      <w:bodyDiv w:val="1"/>
      <w:marLeft w:val="0"/>
      <w:marRight w:val="0"/>
      <w:marTop w:val="0"/>
      <w:marBottom w:val="0"/>
      <w:divBdr>
        <w:top w:val="none" w:sz="0" w:space="0" w:color="auto"/>
        <w:left w:val="none" w:sz="0" w:space="0" w:color="auto"/>
        <w:bottom w:val="none" w:sz="0" w:space="0" w:color="auto"/>
        <w:right w:val="none" w:sz="0" w:space="0" w:color="auto"/>
      </w:divBdr>
    </w:div>
    <w:div w:id="374040585">
      <w:bodyDiv w:val="1"/>
      <w:marLeft w:val="0"/>
      <w:marRight w:val="0"/>
      <w:marTop w:val="0"/>
      <w:marBottom w:val="0"/>
      <w:divBdr>
        <w:top w:val="none" w:sz="0" w:space="0" w:color="auto"/>
        <w:left w:val="none" w:sz="0" w:space="0" w:color="auto"/>
        <w:bottom w:val="none" w:sz="0" w:space="0" w:color="auto"/>
        <w:right w:val="none" w:sz="0" w:space="0" w:color="auto"/>
      </w:divBdr>
    </w:div>
    <w:div w:id="375157011">
      <w:bodyDiv w:val="1"/>
      <w:marLeft w:val="0"/>
      <w:marRight w:val="0"/>
      <w:marTop w:val="0"/>
      <w:marBottom w:val="0"/>
      <w:divBdr>
        <w:top w:val="none" w:sz="0" w:space="0" w:color="auto"/>
        <w:left w:val="none" w:sz="0" w:space="0" w:color="auto"/>
        <w:bottom w:val="none" w:sz="0" w:space="0" w:color="auto"/>
        <w:right w:val="none" w:sz="0" w:space="0" w:color="auto"/>
      </w:divBdr>
    </w:div>
    <w:div w:id="382141448">
      <w:bodyDiv w:val="1"/>
      <w:marLeft w:val="0"/>
      <w:marRight w:val="0"/>
      <w:marTop w:val="0"/>
      <w:marBottom w:val="0"/>
      <w:divBdr>
        <w:top w:val="none" w:sz="0" w:space="0" w:color="auto"/>
        <w:left w:val="none" w:sz="0" w:space="0" w:color="auto"/>
        <w:bottom w:val="none" w:sz="0" w:space="0" w:color="auto"/>
        <w:right w:val="none" w:sz="0" w:space="0" w:color="auto"/>
      </w:divBdr>
    </w:div>
    <w:div w:id="391125181">
      <w:bodyDiv w:val="1"/>
      <w:marLeft w:val="0"/>
      <w:marRight w:val="0"/>
      <w:marTop w:val="0"/>
      <w:marBottom w:val="0"/>
      <w:divBdr>
        <w:top w:val="none" w:sz="0" w:space="0" w:color="auto"/>
        <w:left w:val="none" w:sz="0" w:space="0" w:color="auto"/>
        <w:bottom w:val="none" w:sz="0" w:space="0" w:color="auto"/>
        <w:right w:val="none" w:sz="0" w:space="0" w:color="auto"/>
      </w:divBdr>
    </w:div>
    <w:div w:id="402290788">
      <w:bodyDiv w:val="1"/>
      <w:marLeft w:val="0"/>
      <w:marRight w:val="0"/>
      <w:marTop w:val="0"/>
      <w:marBottom w:val="0"/>
      <w:divBdr>
        <w:top w:val="none" w:sz="0" w:space="0" w:color="auto"/>
        <w:left w:val="none" w:sz="0" w:space="0" w:color="auto"/>
        <w:bottom w:val="none" w:sz="0" w:space="0" w:color="auto"/>
        <w:right w:val="none" w:sz="0" w:space="0" w:color="auto"/>
      </w:divBdr>
    </w:div>
    <w:div w:id="406222546">
      <w:marLeft w:val="0"/>
      <w:marRight w:val="0"/>
      <w:marTop w:val="0"/>
      <w:marBottom w:val="0"/>
      <w:divBdr>
        <w:top w:val="none" w:sz="0" w:space="0" w:color="auto"/>
        <w:left w:val="none" w:sz="0" w:space="0" w:color="auto"/>
        <w:bottom w:val="none" w:sz="0" w:space="0" w:color="auto"/>
        <w:right w:val="none" w:sz="0" w:space="0" w:color="auto"/>
      </w:divBdr>
    </w:div>
    <w:div w:id="406222547">
      <w:marLeft w:val="0"/>
      <w:marRight w:val="0"/>
      <w:marTop w:val="0"/>
      <w:marBottom w:val="0"/>
      <w:divBdr>
        <w:top w:val="none" w:sz="0" w:space="0" w:color="auto"/>
        <w:left w:val="none" w:sz="0" w:space="0" w:color="auto"/>
        <w:bottom w:val="none" w:sz="0" w:space="0" w:color="auto"/>
        <w:right w:val="none" w:sz="0" w:space="0" w:color="auto"/>
      </w:divBdr>
    </w:div>
    <w:div w:id="406222549">
      <w:marLeft w:val="0"/>
      <w:marRight w:val="0"/>
      <w:marTop w:val="0"/>
      <w:marBottom w:val="0"/>
      <w:divBdr>
        <w:top w:val="none" w:sz="0" w:space="0" w:color="auto"/>
        <w:left w:val="none" w:sz="0" w:space="0" w:color="auto"/>
        <w:bottom w:val="none" w:sz="0" w:space="0" w:color="auto"/>
        <w:right w:val="none" w:sz="0" w:space="0" w:color="auto"/>
      </w:divBdr>
      <w:divsChild>
        <w:div w:id="406222548">
          <w:marLeft w:val="0"/>
          <w:marRight w:val="0"/>
          <w:marTop w:val="0"/>
          <w:marBottom w:val="0"/>
          <w:divBdr>
            <w:top w:val="none" w:sz="0" w:space="0" w:color="auto"/>
            <w:left w:val="none" w:sz="0" w:space="0" w:color="auto"/>
            <w:bottom w:val="none" w:sz="0" w:space="0" w:color="auto"/>
            <w:right w:val="none" w:sz="0" w:space="0" w:color="auto"/>
          </w:divBdr>
        </w:div>
      </w:divsChild>
    </w:div>
    <w:div w:id="456459977">
      <w:bodyDiv w:val="1"/>
      <w:marLeft w:val="0"/>
      <w:marRight w:val="0"/>
      <w:marTop w:val="0"/>
      <w:marBottom w:val="0"/>
      <w:divBdr>
        <w:top w:val="none" w:sz="0" w:space="0" w:color="auto"/>
        <w:left w:val="none" w:sz="0" w:space="0" w:color="auto"/>
        <w:bottom w:val="none" w:sz="0" w:space="0" w:color="auto"/>
        <w:right w:val="none" w:sz="0" w:space="0" w:color="auto"/>
      </w:divBdr>
    </w:div>
    <w:div w:id="478302141">
      <w:bodyDiv w:val="1"/>
      <w:marLeft w:val="0"/>
      <w:marRight w:val="0"/>
      <w:marTop w:val="0"/>
      <w:marBottom w:val="0"/>
      <w:divBdr>
        <w:top w:val="none" w:sz="0" w:space="0" w:color="auto"/>
        <w:left w:val="none" w:sz="0" w:space="0" w:color="auto"/>
        <w:bottom w:val="none" w:sz="0" w:space="0" w:color="auto"/>
        <w:right w:val="none" w:sz="0" w:space="0" w:color="auto"/>
      </w:divBdr>
    </w:div>
    <w:div w:id="480973471">
      <w:bodyDiv w:val="1"/>
      <w:marLeft w:val="0"/>
      <w:marRight w:val="0"/>
      <w:marTop w:val="0"/>
      <w:marBottom w:val="0"/>
      <w:divBdr>
        <w:top w:val="none" w:sz="0" w:space="0" w:color="auto"/>
        <w:left w:val="none" w:sz="0" w:space="0" w:color="auto"/>
        <w:bottom w:val="none" w:sz="0" w:space="0" w:color="auto"/>
        <w:right w:val="none" w:sz="0" w:space="0" w:color="auto"/>
      </w:divBdr>
    </w:div>
    <w:div w:id="515264879">
      <w:bodyDiv w:val="1"/>
      <w:marLeft w:val="0"/>
      <w:marRight w:val="0"/>
      <w:marTop w:val="0"/>
      <w:marBottom w:val="0"/>
      <w:divBdr>
        <w:top w:val="none" w:sz="0" w:space="0" w:color="auto"/>
        <w:left w:val="none" w:sz="0" w:space="0" w:color="auto"/>
        <w:bottom w:val="none" w:sz="0" w:space="0" w:color="auto"/>
        <w:right w:val="none" w:sz="0" w:space="0" w:color="auto"/>
      </w:divBdr>
    </w:div>
    <w:div w:id="516969295">
      <w:bodyDiv w:val="1"/>
      <w:marLeft w:val="0"/>
      <w:marRight w:val="0"/>
      <w:marTop w:val="0"/>
      <w:marBottom w:val="0"/>
      <w:divBdr>
        <w:top w:val="none" w:sz="0" w:space="0" w:color="auto"/>
        <w:left w:val="none" w:sz="0" w:space="0" w:color="auto"/>
        <w:bottom w:val="none" w:sz="0" w:space="0" w:color="auto"/>
        <w:right w:val="none" w:sz="0" w:space="0" w:color="auto"/>
      </w:divBdr>
    </w:div>
    <w:div w:id="543716966">
      <w:bodyDiv w:val="1"/>
      <w:marLeft w:val="0"/>
      <w:marRight w:val="0"/>
      <w:marTop w:val="0"/>
      <w:marBottom w:val="0"/>
      <w:divBdr>
        <w:top w:val="none" w:sz="0" w:space="0" w:color="auto"/>
        <w:left w:val="none" w:sz="0" w:space="0" w:color="auto"/>
        <w:bottom w:val="none" w:sz="0" w:space="0" w:color="auto"/>
        <w:right w:val="none" w:sz="0" w:space="0" w:color="auto"/>
      </w:divBdr>
    </w:div>
    <w:div w:id="551579603">
      <w:bodyDiv w:val="1"/>
      <w:marLeft w:val="0"/>
      <w:marRight w:val="0"/>
      <w:marTop w:val="0"/>
      <w:marBottom w:val="0"/>
      <w:divBdr>
        <w:top w:val="none" w:sz="0" w:space="0" w:color="auto"/>
        <w:left w:val="none" w:sz="0" w:space="0" w:color="auto"/>
        <w:bottom w:val="none" w:sz="0" w:space="0" w:color="auto"/>
        <w:right w:val="none" w:sz="0" w:space="0" w:color="auto"/>
      </w:divBdr>
    </w:div>
    <w:div w:id="555630097">
      <w:bodyDiv w:val="1"/>
      <w:marLeft w:val="0"/>
      <w:marRight w:val="0"/>
      <w:marTop w:val="0"/>
      <w:marBottom w:val="0"/>
      <w:divBdr>
        <w:top w:val="none" w:sz="0" w:space="0" w:color="auto"/>
        <w:left w:val="none" w:sz="0" w:space="0" w:color="auto"/>
        <w:bottom w:val="none" w:sz="0" w:space="0" w:color="auto"/>
        <w:right w:val="none" w:sz="0" w:space="0" w:color="auto"/>
      </w:divBdr>
    </w:div>
    <w:div w:id="585965054">
      <w:bodyDiv w:val="1"/>
      <w:marLeft w:val="0"/>
      <w:marRight w:val="0"/>
      <w:marTop w:val="0"/>
      <w:marBottom w:val="0"/>
      <w:divBdr>
        <w:top w:val="none" w:sz="0" w:space="0" w:color="auto"/>
        <w:left w:val="none" w:sz="0" w:space="0" w:color="auto"/>
        <w:bottom w:val="none" w:sz="0" w:space="0" w:color="auto"/>
        <w:right w:val="none" w:sz="0" w:space="0" w:color="auto"/>
      </w:divBdr>
    </w:div>
    <w:div w:id="644091303">
      <w:bodyDiv w:val="1"/>
      <w:marLeft w:val="0"/>
      <w:marRight w:val="0"/>
      <w:marTop w:val="0"/>
      <w:marBottom w:val="0"/>
      <w:divBdr>
        <w:top w:val="none" w:sz="0" w:space="0" w:color="auto"/>
        <w:left w:val="none" w:sz="0" w:space="0" w:color="auto"/>
        <w:bottom w:val="none" w:sz="0" w:space="0" w:color="auto"/>
        <w:right w:val="none" w:sz="0" w:space="0" w:color="auto"/>
      </w:divBdr>
    </w:div>
    <w:div w:id="656760672">
      <w:bodyDiv w:val="1"/>
      <w:marLeft w:val="0"/>
      <w:marRight w:val="0"/>
      <w:marTop w:val="0"/>
      <w:marBottom w:val="0"/>
      <w:divBdr>
        <w:top w:val="none" w:sz="0" w:space="0" w:color="auto"/>
        <w:left w:val="none" w:sz="0" w:space="0" w:color="auto"/>
        <w:bottom w:val="none" w:sz="0" w:space="0" w:color="auto"/>
        <w:right w:val="none" w:sz="0" w:space="0" w:color="auto"/>
      </w:divBdr>
    </w:div>
    <w:div w:id="701594699">
      <w:bodyDiv w:val="1"/>
      <w:marLeft w:val="0"/>
      <w:marRight w:val="0"/>
      <w:marTop w:val="0"/>
      <w:marBottom w:val="0"/>
      <w:divBdr>
        <w:top w:val="none" w:sz="0" w:space="0" w:color="auto"/>
        <w:left w:val="none" w:sz="0" w:space="0" w:color="auto"/>
        <w:bottom w:val="none" w:sz="0" w:space="0" w:color="auto"/>
        <w:right w:val="none" w:sz="0" w:space="0" w:color="auto"/>
      </w:divBdr>
    </w:div>
    <w:div w:id="740174890">
      <w:bodyDiv w:val="1"/>
      <w:marLeft w:val="0"/>
      <w:marRight w:val="0"/>
      <w:marTop w:val="0"/>
      <w:marBottom w:val="0"/>
      <w:divBdr>
        <w:top w:val="none" w:sz="0" w:space="0" w:color="auto"/>
        <w:left w:val="none" w:sz="0" w:space="0" w:color="auto"/>
        <w:bottom w:val="none" w:sz="0" w:space="0" w:color="auto"/>
        <w:right w:val="none" w:sz="0" w:space="0" w:color="auto"/>
      </w:divBdr>
    </w:div>
    <w:div w:id="748771688">
      <w:bodyDiv w:val="1"/>
      <w:marLeft w:val="0"/>
      <w:marRight w:val="0"/>
      <w:marTop w:val="0"/>
      <w:marBottom w:val="0"/>
      <w:divBdr>
        <w:top w:val="none" w:sz="0" w:space="0" w:color="auto"/>
        <w:left w:val="none" w:sz="0" w:space="0" w:color="auto"/>
        <w:bottom w:val="none" w:sz="0" w:space="0" w:color="auto"/>
        <w:right w:val="none" w:sz="0" w:space="0" w:color="auto"/>
      </w:divBdr>
    </w:div>
    <w:div w:id="793406257">
      <w:bodyDiv w:val="1"/>
      <w:marLeft w:val="0"/>
      <w:marRight w:val="0"/>
      <w:marTop w:val="0"/>
      <w:marBottom w:val="0"/>
      <w:divBdr>
        <w:top w:val="none" w:sz="0" w:space="0" w:color="auto"/>
        <w:left w:val="none" w:sz="0" w:space="0" w:color="auto"/>
        <w:bottom w:val="none" w:sz="0" w:space="0" w:color="auto"/>
        <w:right w:val="none" w:sz="0" w:space="0" w:color="auto"/>
      </w:divBdr>
    </w:div>
    <w:div w:id="801583269">
      <w:bodyDiv w:val="1"/>
      <w:marLeft w:val="0"/>
      <w:marRight w:val="0"/>
      <w:marTop w:val="0"/>
      <w:marBottom w:val="0"/>
      <w:divBdr>
        <w:top w:val="none" w:sz="0" w:space="0" w:color="auto"/>
        <w:left w:val="none" w:sz="0" w:space="0" w:color="auto"/>
        <w:bottom w:val="none" w:sz="0" w:space="0" w:color="auto"/>
        <w:right w:val="none" w:sz="0" w:space="0" w:color="auto"/>
      </w:divBdr>
    </w:div>
    <w:div w:id="849874349">
      <w:bodyDiv w:val="1"/>
      <w:marLeft w:val="0"/>
      <w:marRight w:val="0"/>
      <w:marTop w:val="0"/>
      <w:marBottom w:val="0"/>
      <w:divBdr>
        <w:top w:val="none" w:sz="0" w:space="0" w:color="auto"/>
        <w:left w:val="none" w:sz="0" w:space="0" w:color="auto"/>
        <w:bottom w:val="none" w:sz="0" w:space="0" w:color="auto"/>
        <w:right w:val="none" w:sz="0" w:space="0" w:color="auto"/>
      </w:divBdr>
    </w:div>
    <w:div w:id="876508509">
      <w:bodyDiv w:val="1"/>
      <w:marLeft w:val="0"/>
      <w:marRight w:val="0"/>
      <w:marTop w:val="0"/>
      <w:marBottom w:val="0"/>
      <w:divBdr>
        <w:top w:val="none" w:sz="0" w:space="0" w:color="auto"/>
        <w:left w:val="none" w:sz="0" w:space="0" w:color="auto"/>
        <w:bottom w:val="none" w:sz="0" w:space="0" w:color="auto"/>
        <w:right w:val="none" w:sz="0" w:space="0" w:color="auto"/>
      </w:divBdr>
    </w:div>
    <w:div w:id="878401470">
      <w:bodyDiv w:val="1"/>
      <w:marLeft w:val="0"/>
      <w:marRight w:val="0"/>
      <w:marTop w:val="0"/>
      <w:marBottom w:val="0"/>
      <w:divBdr>
        <w:top w:val="none" w:sz="0" w:space="0" w:color="auto"/>
        <w:left w:val="none" w:sz="0" w:space="0" w:color="auto"/>
        <w:bottom w:val="none" w:sz="0" w:space="0" w:color="auto"/>
        <w:right w:val="none" w:sz="0" w:space="0" w:color="auto"/>
      </w:divBdr>
    </w:div>
    <w:div w:id="923106852">
      <w:bodyDiv w:val="1"/>
      <w:marLeft w:val="0"/>
      <w:marRight w:val="0"/>
      <w:marTop w:val="0"/>
      <w:marBottom w:val="0"/>
      <w:divBdr>
        <w:top w:val="none" w:sz="0" w:space="0" w:color="auto"/>
        <w:left w:val="none" w:sz="0" w:space="0" w:color="auto"/>
        <w:bottom w:val="none" w:sz="0" w:space="0" w:color="auto"/>
        <w:right w:val="none" w:sz="0" w:space="0" w:color="auto"/>
      </w:divBdr>
    </w:div>
    <w:div w:id="981084011">
      <w:bodyDiv w:val="1"/>
      <w:marLeft w:val="0"/>
      <w:marRight w:val="0"/>
      <w:marTop w:val="0"/>
      <w:marBottom w:val="0"/>
      <w:divBdr>
        <w:top w:val="none" w:sz="0" w:space="0" w:color="auto"/>
        <w:left w:val="none" w:sz="0" w:space="0" w:color="auto"/>
        <w:bottom w:val="none" w:sz="0" w:space="0" w:color="auto"/>
        <w:right w:val="none" w:sz="0" w:space="0" w:color="auto"/>
      </w:divBdr>
    </w:div>
    <w:div w:id="994332232">
      <w:bodyDiv w:val="1"/>
      <w:marLeft w:val="0"/>
      <w:marRight w:val="0"/>
      <w:marTop w:val="0"/>
      <w:marBottom w:val="0"/>
      <w:divBdr>
        <w:top w:val="none" w:sz="0" w:space="0" w:color="auto"/>
        <w:left w:val="none" w:sz="0" w:space="0" w:color="auto"/>
        <w:bottom w:val="none" w:sz="0" w:space="0" w:color="auto"/>
        <w:right w:val="none" w:sz="0" w:space="0" w:color="auto"/>
      </w:divBdr>
    </w:div>
    <w:div w:id="1057319249">
      <w:bodyDiv w:val="1"/>
      <w:marLeft w:val="0"/>
      <w:marRight w:val="0"/>
      <w:marTop w:val="0"/>
      <w:marBottom w:val="0"/>
      <w:divBdr>
        <w:top w:val="none" w:sz="0" w:space="0" w:color="auto"/>
        <w:left w:val="none" w:sz="0" w:space="0" w:color="auto"/>
        <w:bottom w:val="none" w:sz="0" w:space="0" w:color="auto"/>
        <w:right w:val="none" w:sz="0" w:space="0" w:color="auto"/>
      </w:divBdr>
    </w:div>
    <w:div w:id="1059478166">
      <w:bodyDiv w:val="1"/>
      <w:marLeft w:val="0"/>
      <w:marRight w:val="0"/>
      <w:marTop w:val="0"/>
      <w:marBottom w:val="0"/>
      <w:divBdr>
        <w:top w:val="none" w:sz="0" w:space="0" w:color="auto"/>
        <w:left w:val="none" w:sz="0" w:space="0" w:color="auto"/>
        <w:bottom w:val="none" w:sz="0" w:space="0" w:color="auto"/>
        <w:right w:val="none" w:sz="0" w:space="0" w:color="auto"/>
      </w:divBdr>
    </w:div>
    <w:div w:id="1066612931">
      <w:bodyDiv w:val="1"/>
      <w:marLeft w:val="0"/>
      <w:marRight w:val="0"/>
      <w:marTop w:val="0"/>
      <w:marBottom w:val="0"/>
      <w:divBdr>
        <w:top w:val="none" w:sz="0" w:space="0" w:color="auto"/>
        <w:left w:val="none" w:sz="0" w:space="0" w:color="auto"/>
        <w:bottom w:val="none" w:sz="0" w:space="0" w:color="auto"/>
        <w:right w:val="none" w:sz="0" w:space="0" w:color="auto"/>
      </w:divBdr>
    </w:div>
    <w:div w:id="1069963515">
      <w:bodyDiv w:val="1"/>
      <w:marLeft w:val="0"/>
      <w:marRight w:val="0"/>
      <w:marTop w:val="0"/>
      <w:marBottom w:val="0"/>
      <w:divBdr>
        <w:top w:val="none" w:sz="0" w:space="0" w:color="auto"/>
        <w:left w:val="none" w:sz="0" w:space="0" w:color="auto"/>
        <w:bottom w:val="none" w:sz="0" w:space="0" w:color="auto"/>
        <w:right w:val="none" w:sz="0" w:space="0" w:color="auto"/>
      </w:divBdr>
    </w:div>
    <w:div w:id="1106533622">
      <w:bodyDiv w:val="1"/>
      <w:marLeft w:val="0"/>
      <w:marRight w:val="0"/>
      <w:marTop w:val="0"/>
      <w:marBottom w:val="0"/>
      <w:divBdr>
        <w:top w:val="none" w:sz="0" w:space="0" w:color="auto"/>
        <w:left w:val="none" w:sz="0" w:space="0" w:color="auto"/>
        <w:bottom w:val="none" w:sz="0" w:space="0" w:color="auto"/>
        <w:right w:val="none" w:sz="0" w:space="0" w:color="auto"/>
      </w:divBdr>
    </w:div>
    <w:div w:id="1164126555">
      <w:bodyDiv w:val="1"/>
      <w:marLeft w:val="0"/>
      <w:marRight w:val="0"/>
      <w:marTop w:val="0"/>
      <w:marBottom w:val="0"/>
      <w:divBdr>
        <w:top w:val="none" w:sz="0" w:space="0" w:color="auto"/>
        <w:left w:val="none" w:sz="0" w:space="0" w:color="auto"/>
        <w:bottom w:val="none" w:sz="0" w:space="0" w:color="auto"/>
        <w:right w:val="none" w:sz="0" w:space="0" w:color="auto"/>
      </w:divBdr>
    </w:div>
    <w:div w:id="1205872412">
      <w:bodyDiv w:val="1"/>
      <w:marLeft w:val="0"/>
      <w:marRight w:val="0"/>
      <w:marTop w:val="0"/>
      <w:marBottom w:val="0"/>
      <w:divBdr>
        <w:top w:val="none" w:sz="0" w:space="0" w:color="auto"/>
        <w:left w:val="none" w:sz="0" w:space="0" w:color="auto"/>
        <w:bottom w:val="none" w:sz="0" w:space="0" w:color="auto"/>
        <w:right w:val="none" w:sz="0" w:space="0" w:color="auto"/>
      </w:divBdr>
    </w:div>
    <w:div w:id="1212351138">
      <w:bodyDiv w:val="1"/>
      <w:marLeft w:val="0"/>
      <w:marRight w:val="0"/>
      <w:marTop w:val="0"/>
      <w:marBottom w:val="0"/>
      <w:divBdr>
        <w:top w:val="none" w:sz="0" w:space="0" w:color="auto"/>
        <w:left w:val="none" w:sz="0" w:space="0" w:color="auto"/>
        <w:bottom w:val="none" w:sz="0" w:space="0" w:color="auto"/>
        <w:right w:val="none" w:sz="0" w:space="0" w:color="auto"/>
      </w:divBdr>
    </w:div>
    <w:div w:id="1215000469">
      <w:bodyDiv w:val="1"/>
      <w:marLeft w:val="0"/>
      <w:marRight w:val="0"/>
      <w:marTop w:val="0"/>
      <w:marBottom w:val="0"/>
      <w:divBdr>
        <w:top w:val="none" w:sz="0" w:space="0" w:color="auto"/>
        <w:left w:val="none" w:sz="0" w:space="0" w:color="auto"/>
        <w:bottom w:val="none" w:sz="0" w:space="0" w:color="auto"/>
        <w:right w:val="none" w:sz="0" w:space="0" w:color="auto"/>
      </w:divBdr>
    </w:div>
    <w:div w:id="1228767072">
      <w:bodyDiv w:val="1"/>
      <w:marLeft w:val="0"/>
      <w:marRight w:val="0"/>
      <w:marTop w:val="0"/>
      <w:marBottom w:val="0"/>
      <w:divBdr>
        <w:top w:val="none" w:sz="0" w:space="0" w:color="auto"/>
        <w:left w:val="none" w:sz="0" w:space="0" w:color="auto"/>
        <w:bottom w:val="none" w:sz="0" w:space="0" w:color="auto"/>
        <w:right w:val="none" w:sz="0" w:space="0" w:color="auto"/>
      </w:divBdr>
    </w:div>
    <w:div w:id="1243683817">
      <w:bodyDiv w:val="1"/>
      <w:marLeft w:val="0"/>
      <w:marRight w:val="0"/>
      <w:marTop w:val="0"/>
      <w:marBottom w:val="0"/>
      <w:divBdr>
        <w:top w:val="none" w:sz="0" w:space="0" w:color="auto"/>
        <w:left w:val="none" w:sz="0" w:space="0" w:color="auto"/>
        <w:bottom w:val="none" w:sz="0" w:space="0" w:color="auto"/>
        <w:right w:val="none" w:sz="0" w:space="0" w:color="auto"/>
      </w:divBdr>
    </w:div>
    <w:div w:id="1294363130">
      <w:bodyDiv w:val="1"/>
      <w:marLeft w:val="0"/>
      <w:marRight w:val="0"/>
      <w:marTop w:val="0"/>
      <w:marBottom w:val="0"/>
      <w:divBdr>
        <w:top w:val="none" w:sz="0" w:space="0" w:color="auto"/>
        <w:left w:val="none" w:sz="0" w:space="0" w:color="auto"/>
        <w:bottom w:val="none" w:sz="0" w:space="0" w:color="auto"/>
        <w:right w:val="none" w:sz="0" w:space="0" w:color="auto"/>
      </w:divBdr>
    </w:div>
    <w:div w:id="1304041036">
      <w:bodyDiv w:val="1"/>
      <w:marLeft w:val="0"/>
      <w:marRight w:val="0"/>
      <w:marTop w:val="0"/>
      <w:marBottom w:val="0"/>
      <w:divBdr>
        <w:top w:val="none" w:sz="0" w:space="0" w:color="auto"/>
        <w:left w:val="none" w:sz="0" w:space="0" w:color="auto"/>
        <w:bottom w:val="none" w:sz="0" w:space="0" w:color="auto"/>
        <w:right w:val="none" w:sz="0" w:space="0" w:color="auto"/>
      </w:divBdr>
    </w:div>
    <w:div w:id="1314142659">
      <w:bodyDiv w:val="1"/>
      <w:marLeft w:val="0"/>
      <w:marRight w:val="0"/>
      <w:marTop w:val="0"/>
      <w:marBottom w:val="0"/>
      <w:divBdr>
        <w:top w:val="none" w:sz="0" w:space="0" w:color="auto"/>
        <w:left w:val="none" w:sz="0" w:space="0" w:color="auto"/>
        <w:bottom w:val="none" w:sz="0" w:space="0" w:color="auto"/>
        <w:right w:val="none" w:sz="0" w:space="0" w:color="auto"/>
      </w:divBdr>
    </w:div>
    <w:div w:id="1332374942">
      <w:bodyDiv w:val="1"/>
      <w:marLeft w:val="0"/>
      <w:marRight w:val="0"/>
      <w:marTop w:val="0"/>
      <w:marBottom w:val="0"/>
      <w:divBdr>
        <w:top w:val="none" w:sz="0" w:space="0" w:color="auto"/>
        <w:left w:val="none" w:sz="0" w:space="0" w:color="auto"/>
        <w:bottom w:val="none" w:sz="0" w:space="0" w:color="auto"/>
        <w:right w:val="none" w:sz="0" w:space="0" w:color="auto"/>
      </w:divBdr>
    </w:div>
    <w:div w:id="1378120466">
      <w:bodyDiv w:val="1"/>
      <w:marLeft w:val="0"/>
      <w:marRight w:val="0"/>
      <w:marTop w:val="0"/>
      <w:marBottom w:val="0"/>
      <w:divBdr>
        <w:top w:val="none" w:sz="0" w:space="0" w:color="auto"/>
        <w:left w:val="none" w:sz="0" w:space="0" w:color="auto"/>
        <w:bottom w:val="none" w:sz="0" w:space="0" w:color="auto"/>
        <w:right w:val="none" w:sz="0" w:space="0" w:color="auto"/>
      </w:divBdr>
    </w:div>
    <w:div w:id="1414201979">
      <w:bodyDiv w:val="1"/>
      <w:marLeft w:val="0"/>
      <w:marRight w:val="0"/>
      <w:marTop w:val="0"/>
      <w:marBottom w:val="0"/>
      <w:divBdr>
        <w:top w:val="none" w:sz="0" w:space="0" w:color="auto"/>
        <w:left w:val="none" w:sz="0" w:space="0" w:color="auto"/>
        <w:bottom w:val="none" w:sz="0" w:space="0" w:color="auto"/>
        <w:right w:val="none" w:sz="0" w:space="0" w:color="auto"/>
      </w:divBdr>
    </w:div>
    <w:div w:id="1441103837">
      <w:bodyDiv w:val="1"/>
      <w:marLeft w:val="0"/>
      <w:marRight w:val="0"/>
      <w:marTop w:val="0"/>
      <w:marBottom w:val="0"/>
      <w:divBdr>
        <w:top w:val="none" w:sz="0" w:space="0" w:color="auto"/>
        <w:left w:val="none" w:sz="0" w:space="0" w:color="auto"/>
        <w:bottom w:val="none" w:sz="0" w:space="0" w:color="auto"/>
        <w:right w:val="none" w:sz="0" w:space="0" w:color="auto"/>
      </w:divBdr>
    </w:div>
    <w:div w:id="1444838323">
      <w:bodyDiv w:val="1"/>
      <w:marLeft w:val="0"/>
      <w:marRight w:val="0"/>
      <w:marTop w:val="0"/>
      <w:marBottom w:val="0"/>
      <w:divBdr>
        <w:top w:val="none" w:sz="0" w:space="0" w:color="auto"/>
        <w:left w:val="none" w:sz="0" w:space="0" w:color="auto"/>
        <w:bottom w:val="none" w:sz="0" w:space="0" w:color="auto"/>
        <w:right w:val="none" w:sz="0" w:space="0" w:color="auto"/>
      </w:divBdr>
    </w:div>
    <w:div w:id="1453593131">
      <w:bodyDiv w:val="1"/>
      <w:marLeft w:val="0"/>
      <w:marRight w:val="0"/>
      <w:marTop w:val="0"/>
      <w:marBottom w:val="0"/>
      <w:divBdr>
        <w:top w:val="none" w:sz="0" w:space="0" w:color="auto"/>
        <w:left w:val="none" w:sz="0" w:space="0" w:color="auto"/>
        <w:bottom w:val="none" w:sz="0" w:space="0" w:color="auto"/>
        <w:right w:val="none" w:sz="0" w:space="0" w:color="auto"/>
      </w:divBdr>
    </w:div>
    <w:div w:id="1456097880">
      <w:bodyDiv w:val="1"/>
      <w:marLeft w:val="0"/>
      <w:marRight w:val="0"/>
      <w:marTop w:val="0"/>
      <w:marBottom w:val="0"/>
      <w:divBdr>
        <w:top w:val="none" w:sz="0" w:space="0" w:color="auto"/>
        <w:left w:val="none" w:sz="0" w:space="0" w:color="auto"/>
        <w:bottom w:val="none" w:sz="0" w:space="0" w:color="auto"/>
        <w:right w:val="none" w:sz="0" w:space="0" w:color="auto"/>
      </w:divBdr>
    </w:div>
    <w:div w:id="1459103590">
      <w:bodyDiv w:val="1"/>
      <w:marLeft w:val="0"/>
      <w:marRight w:val="0"/>
      <w:marTop w:val="0"/>
      <w:marBottom w:val="0"/>
      <w:divBdr>
        <w:top w:val="none" w:sz="0" w:space="0" w:color="auto"/>
        <w:left w:val="none" w:sz="0" w:space="0" w:color="auto"/>
        <w:bottom w:val="none" w:sz="0" w:space="0" w:color="auto"/>
        <w:right w:val="none" w:sz="0" w:space="0" w:color="auto"/>
      </w:divBdr>
    </w:div>
    <w:div w:id="1463965402">
      <w:bodyDiv w:val="1"/>
      <w:marLeft w:val="0"/>
      <w:marRight w:val="0"/>
      <w:marTop w:val="0"/>
      <w:marBottom w:val="0"/>
      <w:divBdr>
        <w:top w:val="none" w:sz="0" w:space="0" w:color="auto"/>
        <w:left w:val="none" w:sz="0" w:space="0" w:color="auto"/>
        <w:bottom w:val="none" w:sz="0" w:space="0" w:color="auto"/>
        <w:right w:val="none" w:sz="0" w:space="0" w:color="auto"/>
      </w:divBdr>
    </w:div>
    <w:div w:id="1467629159">
      <w:bodyDiv w:val="1"/>
      <w:marLeft w:val="0"/>
      <w:marRight w:val="0"/>
      <w:marTop w:val="0"/>
      <w:marBottom w:val="0"/>
      <w:divBdr>
        <w:top w:val="none" w:sz="0" w:space="0" w:color="auto"/>
        <w:left w:val="none" w:sz="0" w:space="0" w:color="auto"/>
        <w:bottom w:val="none" w:sz="0" w:space="0" w:color="auto"/>
        <w:right w:val="none" w:sz="0" w:space="0" w:color="auto"/>
      </w:divBdr>
    </w:div>
    <w:div w:id="1494686972">
      <w:bodyDiv w:val="1"/>
      <w:marLeft w:val="0"/>
      <w:marRight w:val="0"/>
      <w:marTop w:val="0"/>
      <w:marBottom w:val="0"/>
      <w:divBdr>
        <w:top w:val="none" w:sz="0" w:space="0" w:color="auto"/>
        <w:left w:val="none" w:sz="0" w:space="0" w:color="auto"/>
        <w:bottom w:val="none" w:sz="0" w:space="0" w:color="auto"/>
        <w:right w:val="none" w:sz="0" w:space="0" w:color="auto"/>
      </w:divBdr>
    </w:div>
    <w:div w:id="1533805461">
      <w:bodyDiv w:val="1"/>
      <w:marLeft w:val="0"/>
      <w:marRight w:val="0"/>
      <w:marTop w:val="0"/>
      <w:marBottom w:val="0"/>
      <w:divBdr>
        <w:top w:val="none" w:sz="0" w:space="0" w:color="auto"/>
        <w:left w:val="none" w:sz="0" w:space="0" w:color="auto"/>
        <w:bottom w:val="none" w:sz="0" w:space="0" w:color="auto"/>
        <w:right w:val="none" w:sz="0" w:space="0" w:color="auto"/>
      </w:divBdr>
    </w:div>
    <w:div w:id="1538589287">
      <w:bodyDiv w:val="1"/>
      <w:marLeft w:val="0"/>
      <w:marRight w:val="0"/>
      <w:marTop w:val="0"/>
      <w:marBottom w:val="0"/>
      <w:divBdr>
        <w:top w:val="none" w:sz="0" w:space="0" w:color="auto"/>
        <w:left w:val="none" w:sz="0" w:space="0" w:color="auto"/>
        <w:bottom w:val="none" w:sz="0" w:space="0" w:color="auto"/>
        <w:right w:val="none" w:sz="0" w:space="0" w:color="auto"/>
      </w:divBdr>
    </w:div>
    <w:div w:id="1544907320">
      <w:bodyDiv w:val="1"/>
      <w:marLeft w:val="0"/>
      <w:marRight w:val="0"/>
      <w:marTop w:val="0"/>
      <w:marBottom w:val="0"/>
      <w:divBdr>
        <w:top w:val="none" w:sz="0" w:space="0" w:color="auto"/>
        <w:left w:val="none" w:sz="0" w:space="0" w:color="auto"/>
        <w:bottom w:val="none" w:sz="0" w:space="0" w:color="auto"/>
        <w:right w:val="none" w:sz="0" w:space="0" w:color="auto"/>
      </w:divBdr>
    </w:div>
    <w:div w:id="1556426325">
      <w:bodyDiv w:val="1"/>
      <w:marLeft w:val="0"/>
      <w:marRight w:val="0"/>
      <w:marTop w:val="0"/>
      <w:marBottom w:val="0"/>
      <w:divBdr>
        <w:top w:val="none" w:sz="0" w:space="0" w:color="auto"/>
        <w:left w:val="none" w:sz="0" w:space="0" w:color="auto"/>
        <w:bottom w:val="none" w:sz="0" w:space="0" w:color="auto"/>
        <w:right w:val="none" w:sz="0" w:space="0" w:color="auto"/>
      </w:divBdr>
    </w:div>
    <w:div w:id="1558004893">
      <w:bodyDiv w:val="1"/>
      <w:marLeft w:val="0"/>
      <w:marRight w:val="0"/>
      <w:marTop w:val="0"/>
      <w:marBottom w:val="0"/>
      <w:divBdr>
        <w:top w:val="none" w:sz="0" w:space="0" w:color="auto"/>
        <w:left w:val="none" w:sz="0" w:space="0" w:color="auto"/>
        <w:bottom w:val="none" w:sz="0" w:space="0" w:color="auto"/>
        <w:right w:val="none" w:sz="0" w:space="0" w:color="auto"/>
      </w:divBdr>
    </w:div>
    <w:div w:id="1670474723">
      <w:bodyDiv w:val="1"/>
      <w:marLeft w:val="0"/>
      <w:marRight w:val="0"/>
      <w:marTop w:val="0"/>
      <w:marBottom w:val="0"/>
      <w:divBdr>
        <w:top w:val="none" w:sz="0" w:space="0" w:color="auto"/>
        <w:left w:val="none" w:sz="0" w:space="0" w:color="auto"/>
        <w:bottom w:val="none" w:sz="0" w:space="0" w:color="auto"/>
        <w:right w:val="none" w:sz="0" w:space="0" w:color="auto"/>
      </w:divBdr>
    </w:div>
    <w:div w:id="1674605377">
      <w:bodyDiv w:val="1"/>
      <w:marLeft w:val="0"/>
      <w:marRight w:val="0"/>
      <w:marTop w:val="0"/>
      <w:marBottom w:val="0"/>
      <w:divBdr>
        <w:top w:val="none" w:sz="0" w:space="0" w:color="auto"/>
        <w:left w:val="none" w:sz="0" w:space="0" w:color="auto"/>
        <w:bottom w:val="none" w:sz="0" w:space="0" w:color="auto"/>
        <w:right w:val="none" w:sz="0" w:space="0" w:color="auto"/>
      </w:divBdr>
    </w:div>
    <w:div w:id="1705909252">
      <w:bodyDiv w:val="1"/>
      <w:marLeft w:val="0"/>
      <w:marRight w:val="0"/>
      <w:marTop w:val="0"/>
      <w:marBottom w:val="0"/>
      <w:divBdr>
        <w:top w:val="none" w:sz="0" w:space="0" w:color="auto"/>
        <w:left w:val="none" w:sz="0" w:space="0" w:color="auto"/>
        <w:bottom w:val="none" w:sz="0" w:space="0" w:color="auto"/>
        <w:right w:val="none" w:sz="0" w:space="0" w:color="auto"/>
      </w:divBdr>
    </w:div>
    <w:div w:id="1732997618">
      <w:bodyDiv w:val="1"/>
      <w:marLeft w:val="0"/>
      <w:marRight w:val="0"/>
      <w:marTop w:val="0"/>
      <w:marBottom w:val="0"/>
      <w:divBdr>
        <w:top w:val="none" w:sz="0" w:space="0" w:color="auto"/>
        <w:left w:val="none" w:sz="0" w:space="0" w:color="auto"/>
        <w:bottom w:val="none" w:sz="0" w:space="0" w:color="auto"/>
        <w:right w:val="none" w:sz="0" w:space="0" w:color="auto"/>
      </w:divBdr>
    </w:div>
    <w:div w:id="1747922578">
      <w:bodyDiv w:val="1"/>
      <w:marLeft w:val="0"/>
      <w:marRight w:val="0"/>
      <w:marTop w:val="0"/>
      <w:marBottom w:val="0"/>
      <w:divBdr>
        <w:top w:val="none" w:sz="0" w:space="0" w:color="auto"/>
        <w:left w:val="none" w:sz="0" w:space="0" w:color="auto"/>
        <w:bottom w:val="none" w:sz="0" w:space="0" w:color="auto"/>
        <w:right w:val="none" w:sz="0" w:space="0" w:color="auto"/>
      </w:divBdr>
    </w:div>
    <w:div w:id="1767652474">
      <w:bodyDiv w:val="1"/>
      <w:marLeft w:val="0"/>
      <w:marRight w:val="0"/>
      <w:marTop w:val="0"/>
      <w:marBottom w:val="0"/>
      <w:divBdr>
        <w:top w:val="none" w:sz="0" w:space="0" w:color="auto"/>
        <w:left w:val="none" w:sz="0" w:space="0" w:color="auto"/>
        <w:bottom w:val="none" w:sz="0" w:space="0" w:color="auto"/>
        <w:right w:val="none" w:sz="0" w:space="0" w:color="auto"/>
      </w:divBdr>
    </w:div>
    <w:div w:id="1803571551">
      <w:bodyDiv w:val="1"/>
      <w:marLeft w:val="0"/>
      <w:marRight w:val="0"/>
      <w:marTop w:val="0"/>
      <w:marBottom w:val="0"/>
      <w:divBdr>
        <w:top w:val="none" w:sz="0" w:space="0" w:color="auto"/>
        <w:left w:val="none" w:sz="0" w:space="0" w:color="auto"/>
        <w:bottom w:val="none" w:sz="0" w:space="0" w:color="auto"/>
        <w:right w:val="none" w:sz="0" w:space="0" w:color="auto"/>
      </w:divBdr>
    </w:div>
    <w:div w:id="1816952477">
      <w:bodyDiv w:val="1"/>
      <w:marLeft w:val="0"/>
      <w:marRight w:val="0"/>
      <w:marTop w:val="0"/>
      <w:marBottom w:val="0"/>
      <w:divBdr>
        <w:top w:val="none" w:sz="0" w:space="0" w:color="auto"/>
        <w:left w:val="none" w:sz="0" w:space="0" w:color="auto"/>
        <w:bottom w:val="none" w:sz="0" w:space="0" w:color="auto"/>
        <w:right w:val="none" w:sz="0" w:space="0" w:color="auto"/>
      </w:divBdr>
    </w:div>
    <w:div w:id="1878657344">
      <w:bodyDiv w:val="1"/>
      <w:marLeft w:val="0"/>
      <w:marRight w:val="0"/>
      <w:marTop w:val="0"/>
      <w:marBottom w:val="0"/>
      <w:divBdr>
        <w:top w:val="none" w:sz="0" w:space="0" w:color="auto"/>
        <w:left w:val="none" w:sz="0" w:space="0" w:color="auto"/>
        <w:bottom w:val="none" w:sz="0" w:space="0" w:color="auto"/>
        <w:right w:val="none" w:sz="0" w:space="0" w:color="auto"/>
      </w:divBdr>
    </w:div>
    <w:div w:id="1888251328">
      <w:bodyDiv w:val="1"/>
      <w:marLeft w:val="0"/>
      <w:marRight w:val="0"/>
      <w:marTop w:val="0"/>
      <w:marBottom w:val="0"/>
      <w:divBdr>
        <w:top w:val="none" w:sz="0" w:space="0" w:color="auto"/>
        <w:left w:val="none" w:sz="0" w:space="0" w:color="auto"/>
        <w:bottom w:val="none" w:sz="0" w:space="0" w:color="auto"/>
        <w:right w:val="none" w:sz="0" w:space="0" w:color="auto"/>
      </w:divBdr>
    </w:div>
    <w:div w:id="1898514003">
      <w:bodyDiv w:val="1"/>
      <w:marLeft w:val="0"/>
      <w:marRight w:val="0"/>
      <w:marTop w:val="0"/>
      <w:marBottom w:val="0"/>
      <w:divBdr>
        <w:top w:val="none" w:sz="0" w:space="0" w:color="auto"/>
        <w:left w:val="none" w:sz="0" w:space="0" w:color="auto"/>
        <w:bottom w:val="none" w:sz="0" w:space="0" w:color="auto"/>
        <w:right w:val="none" w:sz="0" w:space="0" w:color="auto"/>
      </w:divBdr>
    </w:div>
    <w:div w:id="1900431792">
      <w:bodyDiv w:val="1"/>
      <w:marLeft w:val="0"/>
      <w:marRight w:val="0"/>
      <w:marTop w:val="0"/>
      <w:marBottom w:val="0"/>
      <w:divBdr>
        <w:top w:val="none" w:sz="0" w:space="0" w:color="auto"/>
        <w:left w:val="none" w:sz="0" w:space="0" w:color="auto"/>
        <w:bottom w:val="none" w:sz="0" w:space="0" w:color="auto"/>
        <w:right w:val="none" w:sz="0" w:space="0" w:color="auto"/>
      </w:divBdr>
    </w:div>
    <w:div w:id="1903297563">
      <w:bodyDiv w:val="1"/>
      <w:marLeft w:val="0"/>
      <w:marRight w:val="0"/>
      <w:marTop w:val="0"/>
      <w:marBottom w:val="0"/>
      <w:divBdr>
        <w:top w:val="none" w:sz="0" w:space="0" w:color="auto"/>
        <w:left w:val="none" w:sz="0" w:space="0" w:color="auto"/>
        <w:bottom w:val="none" w:sz="0" w:space="0" w:color="auto"/>
        <w:right w:val="none" w:sz="0" w:space="0" w:color="auto"/>
      </w:divBdr>
    </w:div>
    <w:div w:id="1912693683">
      <w:bodyDiv w:val="1"/>
      <w:marLeft w:val="0"/>
      <w:marRight w:val="0"/>
      <w:marTop w:val="0"/>
      <w:marBottom w:val="0"/>
      <w:divBdr>
        <w:top w:val="none" w:sz="0" w:space="0" w:color="auto"/>
        <w:left w:val="none" w:sz="0" w:space="0" w:color="auto"/>
        <w:bottom w:val="none" w:sz="0" w:space="0" w:color="auto"/>
        <w:right w:val="none" w:sz="0" w:space="0" w:color="auto"/>
      </w:divBdr>
    </w:div>
    <w:div w:id="1923372052">
      <w:bodyDiv w:val="1"/>
      <w:marLeft w:val="0"/>
      <w:marRight w:val="0"/>
      <w:marTop w:val="0"/>
      <w:marBottom w:val="0"/>
      <w:divBdr>
        <w:top w:val="none" w:sz="0" w:space="0" w:color="auto"/>
        <w:left w:val="none" w:sz="0" w:space="0" w:color="auto"/>
        <w:bottom w:val="none" w:sz="0" w:space="0" w:color="auto"/>
        <w:right w:val="none" w:sz="0" w:space="0" w:color="auto"/>
      </w:divBdr>
    </w:div>
    <w:div w:id="1964379383">
      <w:bodyDiv w:val="1"/>
      <w:marLeft w:val="0"/>
      <w:marRight w:val="0"/>
      <w:marTop w:val="0"/>
      <w:marBottom w:val="0"/>
      <w:divBdr>
        <w:top w:val="none" w:sz="0" w:space="0" w:color="auto"/>
        <w:left w:val="none" w:sz="0" w:space="0" w:color="auto"/>
        <w:bottom w:val="none" w:sz="0" w:space="0" w:color="auto"/>
        <w:right w:val="none" w:sz="0" w:space="0" w:color="auto"/>
      </w:divBdr>
    </w:div>
    <w:div w:id="1967152575">
      <w:bodyDiv w:val="1"/>
      <w:marLeft w:val="0"/>
      <w:marRight w:val="0"/>
      <w:marTop w:val="0"/>
      <w:marBottom w:val="0"/>
      <w:divBdr>
        <w:top w:val="none" w:sz="0" w:space="0" w:color="auto"/>
        <w:left w:val="none" w:sz="0" w:space="0" w:color="auto"/>
        <w:bottom w:val="none" w:sz="0" w:space="0" w:color="auto"/>
        <w:right w:val="none" w:sz="0" w:space="0" w:color="auto"/>
      </w:divBdr>
    </w:div>
    <w:div w:id="1969892554">
      <w:bodyDiv w:val="1"/>
      <w:marLeft w:val="0"/>
      <w:marRight w:val="0"/>
      <w:marTop w:val="0"/>
      <w:marBottom w:val="0"/>
      <w:divBdr>
        <w:top w:val="none" w:sz="0" w:space="0" w:color="auto"/>
        <w:left w:val="none" w:sz="0" w:space="0" w:color="auto"/>
        <w:bottom w:val="none" w:sz="0" w:space="0" w:color="auto"/>
        <w:right w:val="none" w:sz="0" w:space="0" w:color="auto"/>
      </w:divBdr>
    </w:div>
    <w:div w:id="2004505434">
      <w:bodyDiv w:val="1"/>
      <w:marLeft w:val="0"/>
      <w:marRight w:val="0"/>
      <w:marTop w:val="0"/>
      <w:marBottom w:val="0"/>
      <w:divBdr>
        <w:top w:val="none" w:sz="0" w:space="0" w:color="auto"/>
        <w:left w:val="none" w:sz="0" w:space="0" w:color="auto"/>
        <w:bottom w:val="none" w:sz="0" w:space="0" w:color="auto"/>
        <w:right w:val="none" w:sz="0" w:space="0" w:color="auto"/>
      </w:divBdr>
    </w:div>
    <w:div w:id="2013877144">
      <w:bodyDiv w:val="1"/>
      <w:marLeft w:val="0"/>
      <w:marRight w:val="0"/>
      <w:marTop w:val="0"/>
      <w:marBottom w:val="0"/>
      <w:divBdr>
        <w:top w:val="none" w:sz="0" w:space="0" w:color="auto"/>
        <w:left w:val="none" w:sz="0" w:space="0" w:color="auto"/>
        <w:bottom w:val="none" w:sz="0" w:space="0" w:color="auto"/>
        <w:right w:val="none" w:sz="0" w:space="0" w:color="auto"/>
      </w:divBdr>
    </w:div>
    <w:div w:id="2014451514">
      <w:bodyDiv w:val="1"/>
      <w:marLeft w:val="0"/>
      <w:marRight w:val="0"/>
      <w:marTop w:val="0"/>
      <w:marBottom w:val="0"/>
      <w:divBdr>
        <w:top w:val="none" w:sz="0" w:space="0" w:color="auto"/>
        <w:left w:val="none" w:sz="0" w:space="0" w:color="auto"/>
        <w:bottom w:val="none" w:sz="0" w:space="0" w:color="auto"/>
        <w:right w:val="none" w:sz="0" w:space="0" w:color="auto"/>
      </w:divBdr>
    </w:div>
    <w:div w:id="2037391733">
      <w:bodyDiv w:val="1"/>
      <w:marLeft w:val="0"/>
      <w:marRight w:val="0"/>
      <w:marTop w:val="0"/>
      <w:marBottom w:val="0"/>
      <w:divBdr>
        <w:top w:val="none" w:sz="0" w:space="0" w:color="auto"/>
        <w:left w:val="none" w:sz="0" w:space="0" w:color="auto"/>
        <w:bottom w:val="none" w:sz="0" w:space="0" w:color="auto"/>
        <w:right w:val="none" w:sz="0" w:space="0" w:color="auto"/>
      </w:divBdr>
    </w:div>
    <w:div w:id="2040813394">
      <w:bodyDiv w:val="1"/>
      <w:marLeft w:val="0"/>
      <w:marRight w:val="0"/>
      <w:marTop w:val="0"/>
      <w:marBottom w:val="0"/>
      <w:divBdr>
        <w:top w:val="none" w:sz="0" w:space="0" w:color="auto"/>
        <w:left w:val="none" w:sz="0" w:space="0" w:color="auto"/>
        <w:bottom w:val="none" w:sz="0" w:space="0" w:color="auto"/>
        <w:right w:val="none" w:sz="0" w:space="0" w:color="auto"/>
      </w:divBdr>
    </w:div>
    <w:div w:id="2088766336">
      <w:bodyDiv w:val="1"/>
      <w:marLeft w:val="0"/>
      <w:marRight w:val="0"/>
      <w:marTop w:val="0"/>
      <w:marBottom w:val="0"/>
      <w:divBdr>
        <w:top w:val="none" w:sz="0" w:space="0" w:color="auto"/>
        <w:left w:val="none" w:sz="0" w:space="0" w:color="auto"/>
        <w:bottom w:val="none" w:sz="0" w:space="0" w:color="auto"/>
        <w:right w:val="none" w:sz="0" w:space="0" w:color="auto"/>
      </w:divBdr>
    </w:div>
    <w:div w:id="2103526597">
      <w:bodyDiv w:val="1"/>
      <w:marLeft w:val="0"/>
      <w:marRight w:val="0"/>
      <w:marTop w:val="0"/>
      <w:marBottom w:val="0"/>
      <w:divBdr>
        <w:top w:val="none" w:sz="0" w:space="0" w:color="auto"/>
        <w:left w:val="none" w:sz="0" w:space="0" w:color="auto"/>
        <w:bottom w:val="none" w:sz="0" w:space="0" w:color="auto"/>
        <w:right w:val="none" w:sz="0" w:space="0" w:color="auto"/>
      </w:divBdr>
    </w:div>
    <w:div w:id="2119985828">
      <w:bodyDiv w:val="1"/>
      <w:marLeft w:val="0"/>
      <w:marRight w:val="0"/>
      <w:marTop w:val="0"/>
      <w:marBottom w:val="0"/>
      <w:divBdr>
        <w:top w:val="none" w:sz="0" w:space="0" w:color="auto"/>
        <w:left w:val="none" w:sz="0" w:space="0" w:color="auto"/>
        <w:bottom w:val="none" w:sz="0" w:space="0" w:color="auto"/>
        <w:right w:val="none" w:sz="0" w:space="0" w:color="auto"/>
      </w:divBdr>
    </w:div>
    <w:div w:id="213818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92732-23B1-4DF9-9549-07686B72D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991</Words>
  <Characters>5652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POLICE AND CRIME COMMISSIONER FOR LEICESTERSHIRE</vt:lpstr>
    </vt:vector>
  </TitlesOfParts>
  <Company>Leicestershire Police</Company>
  <LinksUpToDate>false</LinksUpToDate>
  <CharactersWithSpaces>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COMMISSIONER FOR LEICESTERSHIRE</dc:title>
  <dc:creator>Vickers Robert</dc:creator>
  <cp:lastModifiedBy>Osborne Kate</cp:lastModifiedBy>
  <cp:revision>2</cp:revision>
  <cp:lastPrinted>2025-01-20T15:24:00Z</cp:lastPrinted>
  <dcterms:created xsi:type="dcterms:W3CDTF">2025-02-28T08:40:00Z</dcterms:created>
  <dcterms:modified xsi:type="dcterms:W3CDTF">2025-02-28T08:40:00Z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Helen.King@northantspfcc.gov.uk</vt:lpwstr>
  </property>
  <property fmtid="{D5CDD505-2E9C-101B-9397-08002B2CF9AE}" pid="5" name="MSIP_Label_d9cd4a6a-7014-48d6-b119-9b8b87129a7e_SetDate">
    <vt:lpwstr>2021-01-21T15:10:24.3847426Z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