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C94D0" w14:textId="2F1CACB6" w:rsidR="005B590E" w:rsidRDefault="000D1925" w:rsidP="007120DF">
      <w:pPr>
        <w:ind w:left="851" w:hanging="851"/>
        <w:jc w:val="center"/>
        <w:rPr>
          <w:noProof/>
          <w:color w:val="1F497D"/>
          <w:lang w:eastAsia="en-GB"/>
        </w:rPr>
      </w:pPr>
      <w:r>
        <w:rPr>
          <w:noProof/>
        </w:rPr>
        <w:drawing>
          <wp:inline distT="0" distB="0" distL="0" distR="0" wp14:anchorId="4E2D6CB6" wp14:editId="50B8271F">
            <wp:extent cx="1494000" cy="14940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4000" cy="1494000"/>
                    </a:xfrm>
                    <a:prstGeom prst="rect">
                      <a:avLst/>
                    </a:prstGeom>
                    <a:noFill/>
                    <a:ln>
                      <a:noFill/>
                    </a:ln>
                  </pic:spPr>
                </pic:pic>
              </a:graphicData>
            </a:graphic>
          </wp:inline>
        </w:drawing>
      </w:r>
    </w:p>
    <w:p w14:paraId="5AF5E50C" w14:textId="77777777" w:rsidR="005B590E" w:rsidRPr="00C76FBD" w:rsidRDefault="005B590E" w:rsidP="00141D16">
      <w:pPr>
        <w:jc w:val="center"/>
        <w:rPr>
          <w:rFonts w:asciiTheme="minorHAnsi" w:hAnsiTheme="minorHAnsi" w:cstheme="minorHAnsi"/>
          <w:b/>
          <w:sz w:val="24"/>
          <w:szCs w:val="24"/>
        </w:rPr>
      </w:pPr>
      <w:r w:rsidRPr="00C76FBD">
        <w:rPr>
          <w:rFonts w:asciiTheme="minorHAnsi" w:hAnsiTheme="minorHAnsi" w:cstheme="minorHAnsi"/>
          <w:b/>
          <w:sz w:val="24"/>
          <w:szCs w:val="24"/>
        </w:rPr>
        <w:t>NORTHAMPTONSHIRE POLICE, FIRE &amp; CRIME PANEL</w:t>
      </w:r>
    </w:p>
    <w:p w14:paraId="35911A40" w14:textId="5A2B7166" w:rsidR="00C76FBD" w:rsidRDefault="00C76FBD" w:rsidP="00C76FBD">
      <w:pPr>
        <w:jc w:val="center"/>
        <w:rPr>
          <w:rFonts w:asciiTheme="minorHAnsi" w:hAnsiTheme="minorHAnsi" w:cstheme="minorHAnsi"/>
          <w:b/>
          <w:sz w:val="24"/>
          <w:szCs w:val="24"/>
        </w:rPr>
      </w:pPr>
      <w:r w:rsidRPr="00C76FBD">
        <w:rPr>
          <w:rFonts w:asciiTheme="minorHAnsi" w:hAnsiTheme="minorHAnsi" w:cstheme="minorHAnsi"/>
          <w:b/>
          <w:sz w:val="24"/>
          <w:szCs w:val="24"/>
        </w:rPr>
        <w:t>5</w:t>
      </w:r>
      <w:r w:rsidR="008248FE" w:rsidRPr="00C76FBD">
        <w:rPr>
          <w:rFonts w:asciiTheme="minorHAnsi" w:hAnsiTheme="minorHAnsi" w:cstheme="minorHAnsi"/>
          <w:b/>
          <w:sz w:val="24"/>
          <w:szCs w:val="24"/>
        </w:rPr>
        <w:t xml:space="preserve"> </w:t>
      </w:r>
      <w:r w:rsidR="005B590E" w:rsidRPr="00C76FBD">
        <w:rPr>
          <w:rFonts w:asciiTheme="minorHAnsi" w:hAnsiTheme="minorHAnsi" w:cstheme="minorHAnsi"/>
          <w:b/>
          <w:sz w:val="24"/>
          <w:szCs w:val="24"/>
        </w:rPr>
        <w:t>February 20</w:t>
      </w:r>
      <w:r w:rsidR="008F7D81" w:rsidRPr="00C76FBD">
        <w:rPr>
          <w:rFonts w:asciiTheme="minorHAnsi" w:hAnsiTheme="minorHAnsi" w:cstheme="minorHAnsi"/>
          <w:b/>
          <w:sz w:val="24"/>
          <w:szCs w:val="24"/>
        </w:rPr>
        <w:t>2</w:t>
      </w:r>
      <w:r w:rsidRPr="00C76FBD">
        <w:rPr>
          <w:rFonts w:asciiTheme="minorHAnsi" w:hAnsiTheme="minorHAnsi" w:cstheme="minorHAnsi"/>
          <w:b/>
          <w:sz w:val="24"/>
          <w:szCs w:val="24"/>
        </w:rPr>
        <w:t>5</w:t>
      </w:r>
    </w:p>
    <w:p w14:paraId="6BEF3A91" w14:textId="77777777" w:rsidR="00AE75DF" w:rsidRPr="00C76FBD" w:rsidRDefault="00AE75DF" w:rsidP="00C76FBD">
      <w:pPr>
        <w:jc w:val="center"/>
        <w:rPr>
          <w:rFonts w:asciiTheme="minorHAnsi" w:hAnsiTheme="minorHAnsi" w:cstheme="minorHAnsi"/>
          <w:b/>
          <w:sz w:val="24"/>
          <w:szCs w:val="24"/>
        </w:rPr>
      </w:pPr>
    </w:p>
    <w:p w14:paraId="2D58D1E1" w14:textId="25C7C87F" w:rsidR="000D1925" w:rsidRPr="00C76FBD" w:rsidRDefault="000D1925" w:rsidP="00141D16">
      <w:pPr>
        <w:pStyle w:val="ListParagraph"/>
        <w:ind w:left="0"/>
        <w:jc w:val="center"/>
        <w:rPr>
          <w:rFonts w:asciiTheme="minorHAnsi" w:hAnsiTheme="minorHAnsi" w:cstheme="minorHAnsi"/>
          <w:b/>
          <w:sz w:val="24"/>
          <w:szCs w:val="24"/>
        </w:rPr>
      </w:pPr>
      <w:r w:rsidRPr="00C76FBD">
        <w:rPr>
          <w:rFonts w:asciiTheme="minorHAnsi" w:hAnsiTheme="minorHAnsi" w:cstheme="minorHAnsi"/>
          <w:b/>
          <w:sz w:val="24"/>
          <w:szCs w:val="24"/>
        </w:rPr>
        <w:t>REPORT</w:t>
      </w:r>
      <w:r w:rsidRPr="00C76FBD">
        <w:rPr>
          <w:rFonts w:asciiTheme="minorHAnsi" w:hAnsiTheme="minorHAnsi" w:cstheme="minorHAnsi"/>
          <w:sz w:val="24"/>
          <w:szCs w:val="24"/>
        </w:rPr>
        <w:t xml:space="preserve"> </w:t>
      </w:r>
      <w:r w:rsidRPr="00C76FBD">
        <w:rPr>
          <w:rFonts w:asciiTheme="minorHAnsi" w:hAnsiTheme="minorHAnsi" w:cstheme="minorHAnsi"/>
          <w:b/>
          <w:sz w:val="24"/>
          <w:szCs w:val="24"/>
        </w:rPr>
        <w:t>BY THE POLICE, FIRE AND CRIME COMMISSIONER (PFCC)</w:t>
      </w:r>
    </w:p>
    <w:p w14:paraId="67E5C5EB" w14:textId="362B11DB" w:rsidR="000D1925" w:rsidRPr="00C76FBD" w:rsidRDefault="000D1925" w:rsidP="00141D16">
      <w:pPr>
        <w:pStyle w:val="ListParagraph"/>
        <w:ind w:left="0"/>
        <w:jc w:val="center"/>
        <w:rPr>
          <w:rFonts w:asciiTheme="minorHAnsi" w:hAnsiTheme="minorHAnsi" w:cstheme="minorHAnsi"/>
          <w:b/>
          <w:sz w:val="24"/>
          <w:szCs w:val="24"/>
        </w:rPr>
      </w:pPr>
      <w:r w:rsidRPr="00C76FBD">
        <w:rPr>
          <w:rFonts w:asciiTheme="minorHAnsi" w:hAnsiTheme="minorHAnsi" w:cstheme="minorHAnsi"/>
          <w:b/>
          <w:sz w:val="24"/>
          <w:szCs w:val="24"/>
        </w:rPr>
        <w:t>AND THE CHIEF FINANCE OFFICER</w:t>
      </w:r>
    </w:p>
    <w:p w14:paraId="0085C67A" w14:textId="77777777" w:rsidR="000D1925" w:rsidRPr="00C76FBD" w:rsidRDefault="000D1925" w:rsidP="00141D16">
      <w:pPr>
        <w:pStyle w:val="ListParagraph"/>
        <w:ind w:left="0"/>
        <w:jc w:val="center"/>
        <w:rPr>
          <w:rFonts w:asciiTheme="minorHAnsi" w:hAnsiTheme="minorHAnsi" w:cstheme="minorHAnsi"/>
          <w:b/>
          <w:sz w:val="24"/>
          <w:szCs w:val="24"/>
        </w:rPr>
      </w:pPr>
    </w:p>
    <w:p w14:paraId="74E6A641" w14:textId="736B00DC" w:rsidR="000D1925" w:rsidRPr="00C76FBD" w:rsidRDefault="000D1925" w:rsidP="00141D16">
      <w:pPr>
        <w:pStyle w:val="ListParagraph"/>
        <w:ind w:left="0"/>
        <w:jc w:val="center"/>
        <w:rPr>
          <w:rFonts w:asciiTheme="minorHAnsi" w:hAnsiTheme="minorHAnsi" w:cstheme="minorHAnsi"/>
          <w:b/>
          <w:sz w:val="24"/>
          <w:szCs w:val="24"/>
        </w:rPr>
      </w:pPr>
      <w:r w:rsidRPr="00C76FBD">
        <w:rPr>
          <w:rFonts w:asciiTheme="minorHAnsi" w:hAnsiTheme="minorHAnsi" w:cstheme="minorHAnsi"/>
          <w:b/>
          <w:sz w:val="24"/>
          <w:szCs w:val="24"/>
        </w:rPr>
        <w:t xml:space="preserve">PFCC PROPOSED POLICE PRECEPT </w:t>
      </w:r>
      <w:r w:rsidR="00C76FBD" w:rsidRPr="00C76FBD">
        <w:rPr>
          <w:rFonts w:asciiTheme="minorHAnsi" w:hAnsiTheme="minorHAnsi" w:cstheme="minorHAnsi"/>
          <w:b/>
          <w:sz w:val="24"/>
          <w:szCs w:val="24"/>
        </w:rPr>
        <w:t>2025/26</w:t>
      </w:r>
    </w:p>
    <w:p w14:paraId="198BA07C" w14:textId="77777777" w:rsidR="001D111E" w:rsidRPr="00C76FBD" w:rsidRDefault="001D111E" w:rsidP="00476743">
      <w:pPr>
        <w:pStyle w:val="ListParagraph"/>
        <w:spacing w:line="240" w:lineRule="auto"/>
        <w:ind w:left="851"/>
        <w:jc w:val="both"/>
        <w:rPr>
          <w:rFonts w:asciiTheme="minorHAnsi" w:hAnsiTheme="minorHAnsi" w:cstheme="minorHAnsi"/>
          <w:b/>
          <w:sz w:val="24"/>
          <w:szCs w:val="24"/>
        </w:rPr>
      </w:pPr>
    </w:p>
    <w:p w14:paraId="4F29C630" w14:textId="798E47AE" w:rsidR="005D2DA4" w:rsidRPr="00C76FBD" w:rsidRDefault="00FC4407" w:rsidP="00141D16">
      <w:pPr>
        <w:pStyle w:val="PanelHeading"/>
      </w:pPr>
      <w:r w:rsidRPr="00C76FBD">
        <w:t>PURPOSE OF THE REPORT</w:t>
      </w:r>
    </w:p>
    <w:p w14:paraId="17A855E5" w14:textId="2E69755A" w:rsidR="000D1925" w:rsidRPr="00A53E8E" w:rsidRDefault="005D2DA4" w:rsidP="00083DE2">
      <w:pPr>
        <w:pStyle w:val="PanelPara"/>
      </w:pPr>
      <w:r w:rsidRPr="00A53E8E">
        <w:t>To pr</w:t>
      </w:r>
      <w:r w:rsidR="00CB25E6" w:rsidRPr="00A53E8E">
        <w:t>opose</w:t>
      </w:r>
      <w:r w:rsidRPr="00A53E8E">
        <w:t xml:space="preserve"> the </w:t>
      </w:r>
      <w:r w:rsidR="00220144" w:rsidRPr="00A53E8E">
        <w:t>202</w:t>
      </w:r>
      <w:r w:rsidR="00A53E8E" w:rsidRPr="00A53E8E">
        <w:t>5</w:t>
      </w:r>
      <w:r w:rsidR="00220144" w:rsidRPr="00A53E8E">
        <w:t>/2</w:t>
      </w:r>
      <w:r w:rsidR="00A53E8E" w:rsidRPr="00A53E8E">
        <w:t>6</w:t>
      </w:r>
      <w:r w:rsidRPr="00A53E8E">
        <w:t xml:space="preserve"> </w:t>
      </w:r>
      <w:r w:rsidR="00F57399" w:rsidRPr="00A53E8E">
        <w:t xml:space="preserve">Council Tax Precept for </w:t>
      </w:r>
      <w:r w:rsidR="00F57399" w:rsidRPr="00B07DD0">
        <w:rPr>
          <w:b/>
          <w:bCs/>
        </w:rPr>
        <w:t>Northamptonshire Police</w:t>
      </w:r>
      <w:r w:rsidR="00F57399" w:rsidRPr="00A53E8E">
        <w:t xml:space="preserve">. </w:t>
      </w:r>
    </w:p>
    <w:p w14:paraId="29F93284" w14:textId="1F1F24CD" w:rsidR="007E4515" w:rsidRPr="00A53E8E" w:rsidRDefault="00F57399" w:rsidP="00083DE2">
      <w:pPr>
        <w:pStyle w:val="PanelPara"/>
      </w:pPr>
      <w:r w:rsidRPr="00A53E8E">
        <w:t xml:space="preserve">To provide information in respect of the revenue budget, capital programme, reserves and </w:t>
      </w:r>
      <w:r w:rsidR="00BC4E8B">
        <w:t>M</w:t>
      </w:r>
      <w:r w:rsidRPr="00A53E8E">
        <w:t>edium-</w:t>
      </w:r>
      <w:r w:rsidR="00BC4E8B">
        <w:t>T</w:t>
      </w:r>
      <w:r w:rsidRPr="00A53E8E">
        <w:t xml:space="preserve">erm </w:t>
      </w:r>
      <w:r w:rsidR="00BC4E8B">
        <w:t>F</w:t>
      </w:r>
      <w:r w:rsidRPr="00A53E8E">
        <w:t xml:space="preserve">inancial </w:t>
      </w:r>
      <w:r w:rsidR="00BC4E8B">
        <w:t>P</w:t>
      </w:r>
      <w:r w:rsidRPr="00A53E8E">
        <w:t xml:space="preserve">lan (MTFP) to provide context for the precept proposal. </w:t>
      </w:r>
    </w:p>
    <w:p w14:paraId="648BFAE0" w14:textId="3A6F2C9A" w:rsidR="007E4515" w:rsidRPr="00A53E8E" w:rsidRDefault="00FC4407" w:rsidP="00141D16">
      <w:pPr>
        <w:pStyle w:val="PanelHeading"/>
      </w:pPr>
      <w:r w:rsidRPr="00A53E8E">
        <w:t>RECOMMENDATION</w:t>
      </w:r>
    </w:p>
    <w:p w14:paraId="065511DB" w14:textId="77420BE4" w:rsidR="000D1925" w:rsidRPr="00A53E8E" w:rsidRDefault="005D2DA4" w:rsidP="00083DE2">
      <w:pPr>
        <w:pStyle w:val="PanelPara"/>
      </w:pPr>
      <w:r w:rsidRPr="00A53E8E">
        <w:t xml:space="preserve">The </w:t>
      </w:r>
      <w:r w:rsidR="005B590E" w:rsidRPr="00A53E8E">
        <w:t>Police Fire and Crime Panel</w:t>
      </w:r>
      <w:r w:rsidR="00184BF7" w:rsidRPr="00A53E8E">
        <w:t xml:space="preserve"> is </w:t>
      </w:r>
      <w:r w:rsidR="00184BF7" w:rsidRPr="00A53E8E">
        <w:rPr>
          <w:b/>
        </w:rPr>
        <w:t>RECOMMENDED</w:t>
      </w:r>
      <w:r w:rsidR="00184BF7" w:rsidRPr="00A53E8E">
        <w:t xml:space="preserve"> </w:t>
      </w:r>
      <w:r w:rsidRPr="00A53E8E">
        <w:t>to</w:t>
      </w:r>
      <w:r w:rsidR="008C6DF5" w:rsidRPr="00A53E8E">
        <w:t xml:space="preserve"> endorse:</w:t>
      </w:r>
    </w:p>
    <w:p w14:paraId="6D6F3856" w14:textId="2C021093" w:rsidR="008C6DF5" w:rsidRPr="00A53E8E" w:rsidRDefault="008C6DF5" w:rsidP="007E4515">
      <w:pPr>
        <w:pStyle w:val="ListParagraph"/>
        <w:spacing w:line="240" w:lineRule="auto"/>
        <w:ind w:left="284"/>
        <w:jc w:val="both"/>
        <w:rPr>
          <w:rFonts w:asciiTheme="minorHAnsi" w:hAnsiTheme="minorHAnsi" w:cstheme="minorHAnsi"/>
          <w:b/>
          <w:bCs/>
          <w:sz w:val="24"/>
          <w:szCs w:val="24"/>
        </w:rPr>
      </w:pPr>
      <w:r w:rsidRPr="00A53E8E">
        <w:rPr>
          <w:rFonts w:asciiTheme="minorHAnsi" w:hAnsiTheme="minorHAnsi" w:cstheme="minorHAnsi"/>
          <w:b/>
          <w:bCs/>
          <w:sz w:val="24"/>
          <w:szCs w:val="24"/>
        </w:rPr>
        <w:t xml:space="preserve">The proposal to increase the </w:t>
      </w:r>
      <w:r w:rsidR="00220144" w:rsidRPr="00A53E8E">
        <w:rPr>
          <w:rFonts w:asciiTheme="minorHAnsi" w:hAnsiTheme="minorHAnsi" w:cstheme="minorHAnsi"/>
          <w:b/>
          <w:bCs/>
          <w:sz w:val="24"/>
          <w:szCs w:val="24"/>
        </w:rPr>
        <w:t>202</w:t>
      </w:r>
      <w:r w:rsidR="00A53E8E" w:rsidRPr="00A53E8E">
        <w:rPr>
          <w:rFonts w:asciiTheme="minorHAnsi" w:hAnsiTheme="minorHAnsi" w:cstheme="minorHAnsi"/>
          <w:b/>
          <w:bCs/>
          <w:sz w:val="24"/>
          <w:szCs w:val="24"/>
        </w:rPr>
        <w:t>5</w:t>
      </w:r>
      <w:r w:rsidR="00220144" w:rsidRPr="00A53E8E">
        <w:rPr>
          <w:rFonts w:asciiTheme="minorHAnsi" w:hAnsiTheme="minorHAnsi" w:cstheme="minorHAnsi"/>
          <w:b/>
          <w:bCs/>
          <w:sz w:val="24"/>
          <w:szCs w:val="24"/>
        </w:rPr>
        <w:t>/2</w:t>
      </w:r>
      <w:r w:rsidR="00A53E8E" w:rsidRPr="00A53E8E">
        <w:rPr>
          <w:rFonts w:asciiTheme="minorHAnsi" w:hAnsiTheme="minorHAnsi" w:cstheme="minorHAnsi"/>
          <w:b/>
          <w:bCs/>
          <w:sz w:val="24"/>
          <w:szCs w:val="24"/>
        </w:rPr>
        <w:t>6</w:t>
      </w:r>
      <w:r w:rsidR="005B590E" w:rsidRPr="00A53E8E">
        <w:rPr>
          <w:rFonts w:asciiTheme="minorHAnsi" w:hAnsiTheme="minorHAnsi" w:cstheme="minorHAnsi"/>
          <w:b/>
          <w:bCs/>
          <w:sz w:val="24"/>
          <w:szCs w:val="24"/>
        </w:rPr>
        <w:t xml:space="preserve"> Police</w:t>
      </w:r>
      <w:r w:rsidRPr="00A53E8E">
        <w:rPr>
          <w:rFonts w:asciiTheme="minorHAnsi" w:hAnsiTheme="minorHAnsi" w:cstheme="minorHAnsi"/>
          <w:b/>
          <w:bCs/>
          <w:sz w:val="24"/>
          <w:szCs w:val="24"/>
        </w:rPr>
        <w:t xml:space="preserve"> Precept by £</w:t>
      </w:r>
      <w:r w:rsidR="00536C53" w:rsidRPr="00A53E8E">
        <w:rPr>
          <w:rFonts w:asciiTheme="minorHAnsi" w:hAnsiTheme="minorHAnsi" w:cstheme="minorHAnsi"/>
          <w:b/>
          <w:bCs/>
          <w:sz w:val="24"/>
          <w:szCs w:val="24"/>
        </w:rPr>
        <w:t>1</w:t>
      </w:r>
      <w:r w:rsidR="00A53E8E" w:rsidRPr="00A53E8E">
        <w:rPr>
          <w:rFonts w:asciiTheme="minorHAnsi" w:hAnsiTheme="minorHAnsi" w:cstheme="minorHAnsi"/>
          <w:b/>
          <w:bCs/>
          <w:sz w:val="24"/>
          <w:szCs w:val="24"/>
        </w:rPr>
        <w:t>4</w:t>
      </w:r>
      <w:r w:rsidRPr="00A53E8E">
        <w:rPr>
          <w:rFonts w:asciiTheme="minorHAnsi" w:hAnsiTheme="minorHAnsi" w:cstheme="minorHAnsi"/>
          <w:b/>
          <w:bCs/>
          <w:sz w:val="24"/>
          <w:szCs w:val="24"/>
        </w:rPr>
        <w:t xml:space="preserve"> per annum </w:t>
      </w:r>
      <w:r w:rsidR="00926E6D" w:rsidRPr="00A53E8E">
        <w:rPr>
          <w:rFonts w:asciiTheme="minorHAnsi" w:hAnsiTheme="minorHAnsi" w:cstheme="minorHAnsi"/>
          <w:b/>
          <w:bCs/>
          <w:sz w:val="24"/>
          <w:szCs w:val="24"/>
        </w:rPr>
        <w:t xml:space="preserve">to £320.04 </w:t>
      </w:r>
      <w:r w:rsidRPr="00A53E8E">
        <w:rPr>
          <w:rFonts w:asciiTheme="minorHAnsi" w:hAnsiTheme="minorHAnsi" w:cstheme="minorHAnsi"/>
          <w:b/>
          <w:bCs/>
          <w:sz w:val="24"/>
          <w:szCs w:val="24"/>
        </w:rPr>
        <w:t>for Band D Council Tax (from £</w:t>
      </w:r>
      <w:r w:rsidR="00A53E8E" w:rsidRPr="00A53E8E">
        <w:rPr>
          <w:rFonts w:asciiTheme="minorHAnsi" w:hAnsiTheme="minorHAnsi" w:cstheme="minorHAnsi"/>
          <w:b/>
          <w:bCs/>
          <w:sz w:val="24"/>
          <w:szCs w:val="24"/>
        </w:rPr>
        <w:t>306</w:t>
      </w:r>
      <w:r w:rsidR="000244FF" w:rsidRPr="00A53E8E">
        <w:rPr>
          <w:rFonts w:asciiTheme="minorHAnsi" w:hAnsiTheme="minorHAnsi" w:cstheme="minorHAnsi"/>
          <w:b/>
          <w:bCs/>
          <w:sz w:val="24"/>
          <w:szCs w:val="24"/>
        </w:rPr>
        <w:t>.04</w:t>
      </w:r>
      <w:r w:rsidRPr="00A53E8E">
        <w:rPr>
          <w:rFonts w:asciiTheme="minorHAnsi" w:hAnsiTheme="minorHAnsi" w:cstheme="minorHAnsi"/>
          <w:b/>
          <w:bCs/>
          <w:sz w:val="24"/>
          <w:szCs w:val="24"/>
        </w:rPr>
        <w:t xml:space="preserve"> in </w:t>
      </w:r>
      <w:r w:rsidR="00220144" w:rsidRPr="00A53E8E">
        <w:rPr>
          <w:rFonts w:asciiTheme="minorHAnsi" w:hAnsiTheme="minorHAnsi" w:cstheme="minorHAnsi"/>
          <w:b/>
          <w:bCs/>
          <w:sz w:val="24"/>
          <w:szCs w:val="24"/>
        </w:rPr>
        <w:t>202</w:t>
      </w:r>
      <w:r w:rsidR="00A53E8E" w:rsidRPr="00A53E8E">
        <w:rPr>
          <w:rFonts w:asciiTheme="minorHAnsi" w:hAnsiTheme="minorHAnsi" w:cstheme="minorHAnsi"/>
          <w:b/>
          <w:bCs/>
          <w:sz w:val="24"/>
          <w:szCs w:val="24"/>
        </w:rPr>
        <w:t>4</w:t>
      </w:r>
      <w:r w:rsidR="00220144" w:rsidRPr="00A53E8E">
        <w:rPr>
          <w:rFonts w:asciiTheme="minorHAnsi" w:hAnsiTheme="minorHAnsi" w:cstheme="minorHAnsi"/>
          <w:b/>
          <w:bCs/>
          <w:sz w:val="24"/>
          <w:szCs w:val="24"/>
        </w:rPr>
        <w:t>/2</w:t>
      </w:r>
      <w:r w:rsidR="00A53E8E" w:rsidRPr="00A53E8E">
        <w:rPr>
          <w:rFonts w:asciiTheme="minorHAnsi" w:hAnsiTheme="minorHAnsi" w:cstheme="minorHAnsi"/>
          <w:b/>
          <w:bCs/>
          <w:sz w:val="24"/>
          <w:szCs w:val="24"/>
        </w:rPr>
        <w:t>5</w:t>
      </w:r>
      <w:r w:rsidRPr="00A53E8E">
        <w:rPr>
          <w:rFonts w:asciiTheme="minorHAnsi" w:hAnsiTheme="minorHAnsi" w:cstheme="minorHAnsi"/>
          <w:b/>
          <w:bCs/>
          <w:sz w:val="24"/>
          <w:szCs w:val="24"/>
        </w:rPr>
        <w:t>)</w:t>
      </w:r>
      <w:r w:rsidR="00C536DE" w:rsidRPr="00A53E8E">
        <w:rPr>
          <w:rFonts w:asciiTheme="minorHAnsi" w:hAnsiTheme="minorHAnsi" w:cstheme="minorHAnsi"/>
          <w:b/>
          <w:bCs/>
          <w:sz w:val="24"/>
          <w:szCs w:val="24"/>
        </w:rPr>
        <w:t xml:space="preserve">. </w:t>
      </w:r>
      <w:r w:rsidR="006E295B" w:rsidRPr="00A53E8E">
        <w:rPr>
          <w:rFonts w:asciiTheme="minorHAnsi" w:hAnsiTheme="minorHAnsi" w:cstheme="minorHAnsi"/>
          <w:b/>
          <w:bCs/>
          <w:sz w:val="24"/>
          <w:szCs w:val="24"/>
        </w:rPr>
        <w:t xml:space="preserve"> </w:t>
      </w:r>
      <w:r w:rsidR="00C536DE" w:rsidRPr="00A53E8E">
        <w:rPr>
          <w:rFonts w:asciiTheme="minorHAnsi" w:hAnsiTheme="minorHAnsi" w:cstheme="minorHAnsi"/>
          <w:b/>
          <w:bCs/>
          <w:sz w:val="24"/>
          <w:szCs w:val="24"/>
        </w:rPr>
        <w:t xml:space="preserve">This </w:t>
      </w:r>
      <w:r w:rsidR="00926E6D">
        <w:rPr>
          <w:rFonts w:asciiTheme="minorHAnsi" w:hAnsiTheme="minorHAnsi" w:cstheme="minorHAnsi"/>
          <w:b/>
          <w:bCs/>
          <w:sz w:val="24"/>
          <w:szCs w:val="24"/>
        </w:rPr>
        <w:t>is</w:t>
      </w:r>
      <w:r w:rsidR="00C536DE" w:rsidRPr="00A53E8E">
        <w:rPr>
          <w:rFonts w:asciiTheme="minorHAnsi" w:hAnsiTheme="minorHAnsi" w:cstheme="minorHAnsi"/>
          <w:b/>
          <w:bCs/>
          <w:sz w:val="24"/>
          <w:szCs w:val="24"/>
        </w:rPr>
        <w:t xml:space="preserve"> an increase of </w:t>
      </w:r>
      <w:r w:rsidR="00926E6D">
        <w:rPr>
          <w:rFonts w:asciiTheme="minorHAnsi" w:hAnsiTheme="minorHAnsi" w:cstheme="minorHAnsi"/>
          <w:b/>
          <w:bCs/>
          <w:sz w:val="24"/>
          <w:szCs w:val="24"/>
        </w:rPr>
        <w:t xml:space="preserve">around </w:t>
      </w:r>
      <w:r w:rsidR="00220144" w:rsidRPr="00A53E8E">
        <w:rPr>
          <w:rFonts w:asciiTheme="minorHAnsi" w:hAnsiTheme="minorHAnsi" w:cstheme="minorHAnsi"/>
          <w:b/>
          <w:bCs/>
          <w:sz w:val="24"/>
          <w:szCs w:val="24"/>
        </w:rPr>
        <w:t>2</w:t>
      </w:r>
      <w:r w:rsidR="00A53E8E" w:rsidRPr="00A53E8E">
        <w:rPr>
          <w:rFonts w:asciiTheme="minorHAnsi" w:hAnsiTheme="minorHAnsi" w:cstheme="minorHAnsi"/>
          <w:b/>
          <w:bCs/>
          <w:sz w:val="24"/>
          <w:szCs w:val="24"/>
        </w:rPr>
        <w:t>7</w:t>
      </w:r>
      <w:r w:rsidR="00476743" w:rsidRPr="00A53E8E">
        <w:rPr>
          <w:rFonts w:asciiTheme="minorHAnsi" w:hAnsiTheme="minorHAnsi" w:cstheme="minorHAnsi"/>
          <w:b/>
          <w:bCs/>
          <w:sz w:val="24"/>
          <w:szCs w:val="24"/>
        </w:rPr>
        <w:t xml:space="preserve"> pence per week</w:t>
      </w:r>
      <w:r w:rsidR="00C536DE" w:rsidRPr="00A53E8E">
        <w:rPr>
          <w:rFonts w:asciiTheme="minorHAnsi" w:hAnsiTheme="minorHAnsi" w:cstheme="minorHAnsi"/>
          <w:b/>
          <w:bCs/>
          <w:sz w:val="24"/>
          <w:szCs w:val="24"/>
        </w:rPr>
        <w:t>.</w:t>
      </w:r>
    </w:p>
    <w:p w14:paraId="438B39F3" w14:textId="77777777" w:rsidR="000D1925" w:rsidRPr="00A53E8E" w:rsidRDefault="000D1925" w:rsidP="00476743">
      <w:pPr>
        <w:pStyle w:val="ListParagraph"/>
        <w:spacing w:line="240" w:lineRule="auto"/>
        <w:ind w:left="851"/>
        <w:jc w:val="both"/>
        <w:rPr>
          <w:rFonts w:asciiTheme="minorHAnsi" w:hAnsiTheme="minorHAnsi" w:cstheme="minorHAnsi"/>
          <w:sz w:val="24"/>
          <w:szCs w:val="24"/>
        </w:rPr>
      </w:pPr>
    </w:p>
    <w:p w14:paraId="562750D0" w14:textId="77FC25C0" w:rsidR="00083DE2" w:rsidRPr="00A53E8E" w:rsidRDefault="008C6DF5" w:rsidP="00083DE2">
      <w:pPr>
        <w:pStyle w:val="PanelPara"/>
      </w:pPr>
      <w:r w:rsidRPr="00A53E8E">
        <w:t xml:space="preserve">Note </w:t>
      </w:r>
      <w:r w:rsidR="005D2DA4" w:rsidRPr="00A53E8E">
        <w:t>the information presented in this report, including</w:t>
      </w:r>
      <w:r w:rsidR="00062F65" w:rsidRPr="00A53E8E">
        <w:t>:</w:t>
      </w:r>
    </w:p>
    <w:p w14:paraId="5C3A538E" w14:textId="07BC7EB4" w:rsidR="00184BF7" w:rsidRPr="00A53E8E" w:rsidRDefault="00184BF7" w:rsidP="00CC0A00">
      <w:pPr>
        <w:pStyle w:val="PanelPara"/>
        <w:numPr>
          <w:ilvl w:val="1"/>
          <w:numId w:val="6"/>
        </w:numPr>
      </w:pPr>
      <w:r w:rsidRPr="00A53E8E">
        <w:t xml:space="preserve">The </w:t>
      </w:r>
      <w:r w:rsidR="00A51E08" w:rsidRPr="00A53E8E">
        <w:t xml:space="preserve">statement </w:t>
      </w:r>
      <w:r w:rsidRPr="00A53E8E">
        <w:t xml:space="preserve">of the </w:t>
      </w:r>
      <w:r w:rsidR="008A0CC5" w:rsidRPr="00A53E8E">
        <w:t xml:space="preserve">Section 151, </w:t>
      </w:r>
      <w:r w:rsidRPr="00A53E8E">
        <w:t xml:space="preserve">Chief Finance Officer as required by </w:t>
      </w:r>
      <w:r w:rsidR="008A0CC5" w:rsidRPr="00A53E8E">
        <w:t>S</w:t>
      </w:r>
      <w:r w:rsidRPr="00A53E8E">
        <w:t xml:space="preserve">ection 25 of the Local Government Act 2003 regarding the robustness of the </w:t>
      </w:r>
      <w:r w:rsidR="00D52E21" w:rsidRPr="00A53E8E">
        <w:t>b</w:t>
      </w:r>
      <w:r w:rsidRPr="00A53E8E">
        <w:t xml:space="preserve">udget, the </w:t>
      </w:r>
      <w:r w:rsidR="00BC4E8B">
        <w:t>MTFP</w:t>
      </w:r>
      <w:r w:rsidR="009B0583" w:rsidRPr="00A53E8E">
        <w:t xml:space="preserve"> </w:t>
      </w:r>
      <w:r w:rsidRPr="00A53E8E">
        <w:t>and the adequacy of financial reserves</w:t>
      </w:r>
      <w:r w:rsidR="000D1925" w:rsidRPr="00A53E8E">
        <w:t xml:space="preserve"> (Appendix C).</w:t>
      </w:r>
    </w:p>
    <w:p w14:paraId="20E4D53F" w14:textId="5B67D42E" w:rsidR="00AB2495" w:rsidRDefault="00F57399" w:rsidP="00AB2495">
      <w:pPr>
        <w:pStyle w:val="PanelPara"/>
        <w:numPr>
          <w:ilvl w:val="1"/>
          <w:numId w:val="6"/>
        </w:numPr>
      </w:pPr>
      <w:r w:rsidRPr="00AB2495">
        <w:t>A £1</w:t>
      </w:r>
      <w:r w:rsidR="00A53E8E" w:rsidRPr="00AB2495">
        <w:t>4</w:t>
      </w:r>
      <w:r w:rsidRPr="00AB2495">
        <w:t xml:space="preserve"> </w:t>
      </w:r>
      <w:r w:rsidR="00AB2495" w:rsidRPr="00AB2495">
        <w:t>Band D P</w:t>
      </w:r>
      <w:r w:rsidRPr="00AB2495">
        <w:t xml:space="preserve">recept increase </w:t>
      </w:r>
      <w:r w:rsidR="00AB2495" w:rsidRPr="00AB2495">
        <w:t>provides</w:t>
      </w:r>
      <w:r w:rsidRPr="00AB2495">
        <w:t xml:space="preserve"> a total 202</w:t>
      </w:r>
      <w:r w:rsidR="00A53E8E" w:rsidRPr="00AB2495">
        <w:t>5</w:t>
      </w:r>
      <w:r w:rsidRPr="00AB2495">
        <w:t>/2</w:t>
      </w:r>
      <w:r w:rsidR="00A53E8E" w:rsidRPr="00AB2495">
        <w:t>6</w:t>
      </w:r>
      <w:r w:rsidRPr="00AB2495">
        <w:t xml:space="preserve"> net budget </w:t>
      </w:r>
      <w:r w:rsidR="00696821" w:rsidRPr="00AB2495">
        <w:t>envelope</w:t>
      </w:r>
      <w:r w:rsidRPr="00AB2495">
        <w:t xml:space="preserve"> of </w:t>
      </w:r>
      <w:r w:rsidR="005D2DA4" w:rsidRPr="00AB2495">
        <w:rPr>
          <w:b/>
        </w:rPr>
        <w:t>£</w:t>
      </w:r>
      <w:r w:rsidR="000D1925" w:rsidRPr="00AB2495">
        <w:rPr>
          <w:b/>
        </w:rPr>
        <w:t>1</w:t>
      </w:r>
      <w:r w:rsidR="00AB2495" w:rsidRPr="00AB2495">
        <w:rPr>
          <w:b/>
        </w:rPr>
        <w:t>9</w:t>
      </w:r>
      <w:r w:rsidR="00AE75DF">
        <w:rPr>
          <w:b/>
        </w:rPr>
        <w:t>4</w:t>
      </w:r>
      <w:r w:rsidR="00AB2495" w:rsidRPr="00AB2495">
        <w:rPr>
          <w:b/>
        </w:rPr>
        <w:t>.</w:t>
      </w:r>
      <w:r w:rsidR="00AE75DF">
        <w:rPr>
          <w:b/>
        </w:rPr>
        <w:t>193</w:t>
      </w:r>
      <w:r w:rsidR="008A64C8" w:rsidRPr="00AB2495">
        <w:rPr>
          <w:b/>
        </w:rPr>
        <w:t>m</w:t>
      </w:r>
      <w:r w:rsidR="0083163E" w:rsidRPr="00AB2495">
        <w:t xml:space="preserve">, </w:t>
      </w:r>
      <w:r w:rsidR="00AB2495" w:rsidRPr="00AB2495">
        <w:t xml:space="preserve">of which </w:t>
      </w:r>
      <w:r w:rsidR="00AB2495" w:rsidRPr="00AB2495">
        <w:rPr>
          <w:b/>
          <w:bCs/>
        </w:rPr>
        <w:t>£84.406m</w:t>
      </w:r>
      <w:r w:rsidR="00AB2495" w:rsidRPr="00AB2495">
        <w:t xml:space="preserve"> is from the precept.</w:t>
      </w:r>
      <w:bookmarkStart w:id="0" w:name="_Hlk186444796"/>
    </w:p>
    <w:p w14:paraId="540BDB4A" w14:textId="5925F996" w:rsidR="00083DE2" w:rsidRPr="00AB2495" w:rsidRDefault="008C6DF5" w:rsidP="00AB2495">
      <w:pPr>
        <w:pStyle w:val="PanelPara"/>
        <w:numPr>
          <w:ilvl w:val="1"/>
          <w:numId w:val="6"/>
        </w:numPr>
      </w:pPr>
      <w:r w:rsidRPr="00AB2495">
        <w:t>T</w:t>
      </w:r>
      <w:r w:rsidR="005D2DA4" w:rsidRPr="00AB2495">
        <w:t xml:space="preserve">he </w:t>
      </w:r>
      <w:r w:rsidR="00F57399" w:rsidRPr="00AB2495">
        <w:t xml:space="preserve">current and </w:t>
      </w:r>
      <w:r w:rsidR="00080E5A" w:rsidRPr="00AB2495">
        <w:t>future risks, challenges</w:t>
      </w:r>
      <w:r w:rsidR="008A64C8" w:rsidRPr="00AB2495">
        <w:t>,</w:t>
      </w:r>
      <w:r w:rsidR="00080E5A" w:rsidRPr="00AB2495">
        <w:t xml:space="preserve"> uncertainties and opportunities </w:t>
      </w:r>
      <w:r w:rsidR="00AB2495" w:rsidRPr="00AB2495">
        <w:t>taken into</w:t>
      </w:r>
      <w:r w:rsidR="00AB2495">
        <w:t xml:space="preserve"> account</w:t>
      </w:r>
      <w:r w:rsidR="00080E5A" w:rsidRPr="00480708">
        <w:t>, together with the financial and operational mitigations</w:t>
      </w:r>
      <w:r w:rsidR="00083DE2" w:rsidRPr="00480708">
        <w:t>.</w:t>
      </w:r>
    </w:p>
    <w:p w14:paraId="53A52E19" w14:textId="6F41263A" w:rsidR="00083DE2" w:rsidRPr="00480708" w:rsidRDefault="00480708" w:rsidP="00AB2495">
      <w:pPr>
        <w:pStyle w:val="PanelPara"/>
        <w:numPr>
          <w:ilvl w:val="1"/>
          <w:numId w:val="6"/>
        </w:numPr>
      </w:pPr>
      <w:r w:rsidRPr="00480708">
        <w:t>A</w:t>
      </w:r>
      <w:r w:rsidR="005D2DA4" w:rsidRPr="00480708">
        <w:t>ny changes required</w:t>
      </w:r>
      <w:r w:rsidRPr="00480708">
        <w:t xml:space="preserve"> after the precept has been set</w:t>
      </w:r>
      <w:r w:rsidR="0083163E" w:rsidRPr="00480708">
        <w:t>,</w:t>
      </w:r>
      <w:r w:rsidR="00BB23D8" w:rsidRPr="00480708">
        <w:t xml:space="preserve"> </w:t>
      </w:r>
      <w:r w:rsidR="005D2DA4" w:rsidRPr="00480708">
        <w:t xml:space="preserve">by </w:t>
      </w:r>
      <w:r w:rsidR="00AB2495">
        <w:t>g</w:t>
      </w:r>
      <w:r w:rsidR="005D2DA4" w:rsidRPr="00480708">
        <w:t xml:space="preserve">overnment grant alterations </w:t>
      </w:r>
      <w:r w:rsidRPr="00480708">
        <w:t>in</w:t>
      </w:r>
      <w:r w:rsidR="00F57399" w:rsidRPr="00480708">
        <w:t xml:space="preserve"> the final settlement</w:t>
      </w:r>
      <w:r w:rsidRPr="00480708">
        <w:t xml:space="preserve"> or</w:t>
      </w:r>
      <w:r w:rsidR="00F57399" w:rsidRPr="00480708">
        <w:t xml:space="preserve"> </w:t>
      </w:r>
      <w:r w:rsidR="00F80F47" w:rsidRPr="00480708">
        <w:t xml:space="preserve">amended </w:t>
      </w:r>
      <w:r w:rsidR="005D2DA4" w:rsidRPr="00480708">
        <w:t xml:space="preserve">council tax base and surplus/deficit </w:t>
      </w:r>
      <w:r w:rsidRPr="00480708">
        <w:t>figures</w:t>
      </w:r>
      <w:r w:rsidR="005D2DA4" w:rsidRPr="00480708">
        <w:t xml:space="preserve"> </w:t>
      </w:r>
      <w:r w:rsidRPr="00480708">
        <w:t>by</w:t>
      </w:r>
      <w:r w:rsidR="005D2DA4" w:rsidRPr="00480708">
        <w:t xml:space="preserve"> the collecting authorities,</w:t>
      </w:r>
      <w:r w:rsidRPr="00480708">
        <w:t xml:space="preserve"> </w:t>
      </w:r>
      <w:r w:rsidR="00F80F47" w:rsidRPr="00480708">
        <w:t xml:space="preserve">may </w:t>
      </w:r>
      <w:r w:rsidR="005D2DA4" w:rsidRPr="00480708">
        <w:t xml:space="preserve">be balanced </w:t>
      </w:r>
      <w:r w:rsidR="004837A4" w:rsidRPr="00480708">
        <w:t xml:space="preserve">either through </w:t>
      </w:r>
      <w:r w:rsidR="009F08C6" w:rsidRPr="00480708">
        <w:t xml:space="preserve">efficiency savings </w:t>
      </w:r>
      <w:r w:rsidR="004837A4" w:rsidRPr="00480708">
        <w:t xml:space="preserve">or </w:t>
      </w:r>
      <w:r w:rsidR="005D2DA4" w:rsidRPr="00480708">
        <w:t>through a transfer to</w:t>
      </w:r>
      <w:r w:rsidRPr="00480708">
        <w:t>/</w:t>
      </w:r>
      <w:r w:rsidR="00184BF7" w:rsidRPr="00480708">
        <w:t xml:space="preserve">from </w:t>
      </w:r>
      <w:r w:rsidR="00F57399" w:rsidRPr="00480708">
        <w:t>r</w:t>
      </w:r>
      <w:r w:rsidR="005D2DA4" w:rsidRPr="00480708">
        <w:t>eserve</w:t>
      </w:r>
      <w:r w:rsidR="00725432" w:rsidRPr="00480708">
        <w:t>s.</w:t>
      </w:r>
      <w:bookmarkEnd w:id="0"/>
    </w:p>
    <w:p w14:paraId="062CD0B8" w14:textId="77777777" w:rsidR="00083DE2" w:rsidRPr="00926E6D" w:rsidRDefault="008C6DF5" w:rsidP="00AB2495">
      <w:pPr>
        <w:pStyle w:val="PanelPara"/>
        <w:numPr>
          <w:ilvl w:val="1"/>
          <w:numId w:val="6"/>
        </w:numPr>
      </w:pPr>
      <w:r w:rsidRPr="00926E6D">
        <w:t>T</w:t>
      </w:r>
      <w:r w:rsidR="005D2DA4" w:rsidRPr="00926E6D">
        <w:t xml:space="preserve">he </w:t>
      </w:r>
      <w:r w:rsidR="00080E5A" w:rsidRPr="00926E6D">
        <w:t>current MTF</w:t>
      </w:r>
      <w:r w:rsidR="00876802" w:rsidRPr="00926E6D">
        <w:t>P</w:t>
      </w:r>
      <w:r w:rsidR="00C36B7A" w:rsidRPr="00926E6D">
        <w:t xml:space="preserve"> and </w:t>
      </w:r>
      <w:r w:rsidR="005D2DA4" w:rsidRPr="00926E6D">
        <w:t>the</w:t>
      </w:r>
      <w:r w:rsidR="00F80F47" w:rsidRPr="00926E6D">
        <w:t xml:space="preserve"> anticipated </w:t>
      </w:r>
      <w:r w:rsidR="005D2DA4" w:rsidRPr="00926E6D">
        <w:t xml:space="preserve">savings </w:t>
      </w:r>
      <w:r w:rsidR="00C36B7A" w:rsidRPr="00926E6D">
        <w:t>required</w:t>
      </w:r>
      <w:r w:rsidR="00725432" w:rsidRPr="00926E6D">
        <w:t>.</w:t>
      </w:r>
    </w:p>
    <w:p w14:paraId="062BDA0E" w14:textId="3F11C1F0" w:rsidR="00083DE2" w:rsidRDefault="008C6DF5" w:rsidP="00AB2495">
      <w:pPr>
        <w:pStyle w:val="PanelPara"/>
        <w:numPr>
          <w:ilvl w:val="1"/>
          <w:numId w:val="6"/>
        </w:numPr>
      </w:pPr>
      <w:r w:rsidRPr="00926E6D">
        <w:t>T</w:t>
      </w:r>
      <w:r w:rsidR="00876802" w:rsidRPr="00926E6D">
        <w:t xml:space="preserve">he </w:t>
      </w:r>
      <w:r w:rsidR="009023A4" w:rsidRPr="00926E6D">
        <w:t>c</w:t>
      </w:r>
      <w:r w:rsidR="00876802" w:rsidRPr="00926E6D">
        <w:t xml:space="preserve">apital </w:t>
      </w:r>
      <w:r w:rsidR="009023A4" w:rsidRPr="00926E6D">
        <w:t>p</w:t>
      </w:r>
      <w:r w:rsidR="00876802" w:rsidRPr="00926E6D">
        <w:t>rogramme</w:t>
      </w:r>
      <w:r w:rsidR="009023A4" w:rsidRPr="00926E6D">
        <w:t xml:space="preserve"> and reserves strategy.</w:t>
      </w:r>
    </w:p>
    <w:p w14:paraId="79DB9240" w14:textId="77777777" w:rsidR="00AE75DF" w:rsidRPr="00926E6D" w:rsidRDefault="00AE75DF" w:rsidP="00AE75DF"/>
    <w:p w14:paraId="54C05C64" w14:textId="137F48F7" w:rsidR="003B2C75" w:rsidRPr="00926E6D" w:rsidRDefault="00FC4407" w:rsidP="009B0902">
      <w:pPr>
        <w:pStyle w:val="PanelHeading"/>
      </w:pPr>
      <w:r w:rsidRPr="00926E6D">
        <w:t>EXECUTIVE SUMMARY</w:t>
      </w:r>
    </w:p>
    <w:p w14:paraId="7B47632B" w14:textId="7946D5CF" w:rsidR="00926E6D" w:rsidRPr="00926E6D" w:rsidRDefault="00926E6D" w:rsidP="00083DE2">
      <w:pPr>
        <w:pStyle w:val="PanelPara"/>
      </w:pPr>
      <w:r w:rsidRPr="00926E6D">
        <w:t>This report details the 2025/26 precept proposal for Northamptonshire Police.</w:t>
      </w:r>
    </w:p>
    <w:p w14:paraId="4CB6B173" w14:textId="70D57706" w:rsidR="003B2C75" w:rsidRPr="00926E6D" w:rsidRDefault="003B2C75" w:rsidP="00083DE2">
      <w:pPr>
        <w:pStyle w:val="PanelPara"/>
      </w:pPr>
      <w:r w:rsidRPr="00926E6D">
        <w:t>This report</w:t>
      </w:r>
      <w:r w:rsidR="0031016E" w:rsidRPr="00926E6D">
        <w:t xml:space="preserve"> and proposal</w:t>
      </w:r>
      <w:r w:rsidRPr="00926E6D">
        <w:t xml:space="preserve"> </w:t>
      </w:r>
      <w:r w:rsidR="00770645" w:rsidRPr="00926E6D">
        <w:t>are</w:t>
      </w:r>
      <w:r w:rsidRPr="00926E6D">
        <w:t xml:space="preserve"> the culmination of several months’ work </w:t>
      </w:r>
      <w:r w:rsidR="008A64C8" w:rsidRPr="00926E6D">
        <w:t>by</w:t>
      </w:r>
      <w:r w:rsidR="007A67E5" w:rsidRPr="00926E6D">
        <w:t xml:space="preserve"> the Office of the Police</w:t>
      </w:r>
      <w:r w:rsidR="0073566D" w:rsidRPr="00926E6D">
        <w:t>,</w:t>
      </w:r>
      <w:r w:rsidR="007A67E5" w:rsidRPr="00926E6D">
        <w:t xml:space="preserve"> </w:t>
      </w:r>
      <w:r w:rsidR="0073566D" w:rsidRPr="00926E6D">
        <w:t xml:space="preserve">Fire </w:t>
      </w:r>
      <w:r w:rsidR="007A67E5" w:rsidRPr="00926E6D">
        <w:t>and Crime Commissioner (O</w:t>
      </w:r>
      <w:r w:rsidR="005B590E" w:rsidRPr="00926E6D">
        <w:t>PFCC</w:t>
      </w:r>
      <w:r w:rsidR="007A67E5" w:rsidRPr="00926E6D">
        <w:t>)</w:t>
      </w:r>
      <w:r w:rsidRPr="00926E6D">
        <w:t xml:space="preserve">, </w:t>
      </w:r>
      <w:r w:rsidR="0073566D" w:rsidRPr="00926E6D">
        <w:t xml:space="preserve">the Joint Finance Team and </w:t>
      </w:r>
      <w:r w:rsidR="00926E6D" w:rsidRPr="00926E6D">
        <w:t>Police colleagues</w:t>
      </w:r>
      <w:r w:rsidR="0073566D" w:rsidRPr="00926E6D">
        <w:t xml:space="preserve">. </w:t>
      </w:r>
      <w:r w:rsidR="000244FF" w:rsidRPr="00926E6D">
        <w:t xml:space="preserve"> </w:t>
      </w:r>
      <w:r w:rsidR="0073566D" w:rsidRPr="00926E6D">
        <w:t xml:space="preserve">It also includes information provided by the two unitary authorities and takes account of public </w:t>
      </w:r>
      <w:r w:rsidR="00F80F47" w:rsidRPr="00926E6D">
        <w:t>and stakeholder consultation</w:t>
      </w:r>
      <w:r w:rsidRPr="00926E6D">
        <w:t xml:space="preserve">. </w:t>
      </w:r>
    </w:p>
    <w:p w14:paraId="1A9B330D" w14:textId="41D7D103" w:rsidR="003B2C75" w:rsidRPr="00926E6D" w:rsidRDefault="00770645" w:rsidP="001722C3">
      <w:pPr>
        <w:pStyle w:val="PanelPara"/>
      </w:pPr>
      <w:r w:rsidRPr="00926E6D">
        <w:t>T</w:t>
      </w:r>
      <w:r w:rsidR="009E6BBB" w:rsidRPr="00926E6D">
        <w:t xml:space="preserve">he </w:t>
      </w:r>
      <w:r w:rsidR="005B590E" w:rsidRPr="00926E6D">
        <w:t>PFCC</w:t>
      </w:r>
      <w:r w:rsidR="003B2C75" w:rsidRPr="00926E6D">
        <w:t xml:space="preserve"> has considered </w:t>
      </w:r>
      <w:r w:rsidR="0073566D" w:rsidRPr="00926E6D">
        <w:t xml:space="preserve">the </w:t>
      </w:r>
      <w:r w:rsidR="002827D8" w:rsidRPr="00926E6D">
        <w:t>provisional p</w:t>
      </w:r>
      <w:r w:rsidRPr="00926E6D">
        <w:t xml:space="preserve">olice </w:t>
      </w:r>
      <w:r w:rsidR="002827D8" w:rsidRPr="00926E6D">
        <w:t>g</w:t>
      </w:r>
      <w:r w:rsidRPr="00926E6D">
        <w:t xml:space="preserve">rant </w:t>
      </w:r>
      <w:r w:rsidR="002827D8" w:rsidRPr="00926E6D">
        <w:t>s</w:t>
      </w:r>
      <w:r w:rsidR="0073566D" w:rsidRPr="00926E6D">
        <w:t xml:space="preserve">ettlement which sets out government expectations, </w:t>
      </w:r>
      <w:r w:rsidR="003B2C75" w:rsidRPr="00926E6D">
        <w:t xml:space="preserve">current and future funding levels, </w:t>
      </w:r>
      <w:r w:rsidR="0073566D" w:rsidRPr="00926E6D">
        <w:t xml:space="preserve">the pre-budget engagement and the outcome of the public </w:t>
      </w:r>
      <w:r w:rsidR="002827D8" w:rsidRPr="00926E6D">
        <w:t>survey</w:t>
      </w:r>
      <w:r w:rsidR="00926E6D" w:rsidRPr="00926E6D">
        <w:t>.</w:t>
      </w:r>
    </w:p>
    <w:p w14:paraId="23E2B44D" w14:textId="57E0DD87" w:rsidR="003B2C75" w:rsidRPr="00926E6D" w:rsidRDefault="008A64C8" w:rsidP="001722C3">
      <w:pPr>
        <w:pStyle w:val="PanelPara"/>
      </w:pPr>
      <w:r w:rsidRPr="00926E6D">
        <w:t xml:space="preserve">The </w:t>
      </w:r>
      <w:r w:rsidR="005B590E" w:rsidRPr="00926E6D">
        <w:t>PFCC</w:t>
      </w:r>
      <w:r w:rsidRPr="00926E6D">
        <w:t xml:space="preserve"> has </w:t>
      </w:r>
      <w:r w:rsidR="003A432E" w:rsidRPr="00926E6D">
        <w:t xml:space="preserve">received briefings </w:t>
      </w:r>
      <w:r w:rsidR="0033266D" w:rsidRPr="00926E6D">
        <w:t xml:space="preserve">from the Minister </w:t>
      </w:r>
      <w:r w:rsidRPr="00926E6D">
        <w:t xml:space="preserve">and acknowledges the </w:t>
      </w:r>
      <w:r w:rsidR="00F306A9" w:rsidRPr="00926E6D">
        <w:t xml:space="preserve">expectation </w:t>
      </w:r>
      <w:r w:rsidR="00A64B7D" w:rsidRPr="00926E6D">
        <w:t xml:space="preserve">that </w:t>
      </w:r>
      <w:r w:rsidR="005B590E" w:rsidRPr="00926E6D">
        <w:t>PFCC</w:t>
      </w:r>
      <w:r w:rsidRPr="00926E6D">
        <w:t xml:space="preserve">s will increase their </w:t>
      </w:r>
      <w:r w:rsidR="009B0902" w:rsidRPr="00926E6D">
        <w:t>Band D P</w:t>
      </w:r>
      <w:r w:rsidRPr="00926E6D">
        <w:t>recept locally</w:t>
      </w:r>
      <w:r w:rsidR="0033266D" w:rsidRPr="00926E6D">
        <w:t xml:space="preserve"> by </w:t>
      </w:r>
      <w:r w:rsidR="00184BF7" w:rsidRPr="00926E6D">
        <w:t>£</w:t>
      </w:r>
      <w:r w:rsidR="008F7D81" w:rsidRPr="00926E6D">
        <w:t>1</w:t>
      </w:r>
      <w:r w:rsidR="00926E6D" w:rsidRPr="00926E6D">
        <w:t>4</w:t>
      </w:r>
      <w:r w:rsidR="00A64B7D" w:rsidRPr="00926E6D">
        <w:t xml:space="preserve"> </w:t>
      </w:r>
      <w:r w:rsidR="008248FE" w:rsidRPr="00926E6D">
        <w:t>(</w:t>
      </w:r>
      <w:r w:rsidR="00DD0250" w:rsidRPr="00926E6D">
        <w:t>4</w:t>
      </w:r>
      <w:r w:rsidR="00220144" w:rsidRPr="00926E6D">
        <w:t>.</w:t>
      </w:r>
      <w:r w:rsidR="00926E6D" w:rsidRPr="00926E6D">
        <w:t>57</w:t>
      </w:r>
      <w:r w:rsidR="008248FE" w:rsidRPr="00926E6D">
        <w:t>%</w:t>
      </w:r>
      <w:r w:rsidR="00DD0250" w:rsidRPr="00926E6D">
        <w:t xml:space="preserve"> for Northa</w:t>
      </w:r>
      <w:r w:rsidR="009B0902" w:rsidRPr="00926E6D">
        <w:t>mptonshire</w:t>
      </w:r>
      <w:r w:rsidR="008248FE" w:rsidRPr="00926E6D">
        <w:t xml:space="preserve">) </w:t>
      </w:r>
      <w:r w:rsidR="00A64B7D" w:rsidRPr="00926E6D">
        <w:t>in</w:t>
      </w:r>
      <w:r w:rsidR="00184BF7" w:rsidRPr="00926E6D">
        <w:t xml:space="preserve"> </w:t>
      </w:r>
      <w:r w:rsidR="00220144" w:rsidRPr="00926E6D">
        <w:t>202</w:t>
      </w:r>
      <w:r w:rsidR="00926E6D" w:rsidRPr="00926E6D">
        <w:t>5</w:t>
      </w:r>
      <w:r w:rsidR="00220144" w:rsidRPr="00926E6D">
        <w:t>/2</w:t>
      </w:r>
      <w:r w:rsidR="00926E6D" w:rsidRPr="00926E6D">
        <w:t>6</w:t>
      </w:r>
      <w:r w:rsidR="006B0AD8" w:rsidRPr="00926E6D">
        <w:t xml:space="preserve">. </w:t>
      </w:r>
      <w:r w:rsidRPr="00926E6D">
        <w:t xml:space="preserve"> </w:t>
      </w:r>
    </w:p>
    <w:p w14:paraId="265735C0" w14:textId="20311E74" w:rsidR="0073566D" w:rsidRPr="004717D1" w:rsidRDefault="0073566D" w:rsidP="001722C3">
      <w:pPr>
        <w:pStyle w:val="PanelPara"/>
        <w:rPr>
          <w:bCs/>
        </w:rPr>
      </w:pPr>
      <w:bookmarkStart w:id="1" w:name="_Hlk186445231"/>
      <w:r w:rsidRPr="004717D1">
        <w:rPr>
          <w:bCs/>
        </w:rPr>
        <w:t xml:space="preserve">The PFCC and the </w:t>
      </w:r>
      <w:r w:rsidR="00926E6D" w:rsidRPr="004717D1">
        <w:rPr>
          <w:bCs/>
        </w:rPr>
        <w:t>s</w:t>
      </w:r>
      <w:r w:rsidRPr="004717D1">
        <w:rPr>
          <w:bCs/>
        </w:rPr>
        <w:t xml:space="preserve">151 Officer are </w:t>
      </w:r>
      <w:r w:rsidR="00CC3D39">
        <w:rPr>
          <w:bCs/>
        </w:rPr>
        <w:t>grateful for</w:t>
      </w:r>
      <w:r w:rsidRPr="004717D1">
        <w:rPr>
          <w:bCs/>
        </w:rPr>
        <w:t xml:space="preserve"> the updates provided by colleagues in the unitary authorities in respect of the taxbase and council tax collection fund</w:t>
      </w:r>
      <w:r w:rsidR="00926E6D" w:rsidRPr="004717D1">
        <w:rPr>
          <w:bCs/>
        </w:rPr>
        <w:t>.</w:t>
      </w:r>
    </w:p>
    <w:p w14:paraId="6B9478E0" w14:textId="319C3DAB" w:rsidR="0073566D" w:rsidRPr="00FF6886" w:rsidRDefault="0073566D" w:rsidP="001722C3">
      <w:pPr>
        <w:pStyle w:val="PanelPara"/>
      </w:pPr>
      <w:bookmarkStart w:id="2" w:name="_Hlk186449242"/>
      <w:bookmarkEnd w:id="1"/>
      <w:r w:rsidRPr="00FF6886">
        <w:t xml:space="preserve">The proposals are set in a context of </w:t>
      </w:r>
      <w:r w:rsidR="00FF6886" w:rsidRPr="00FF6886">
        <w:t>the current economic climate</w:t>
      </w:r>
      <w:r w:rsidRPr="00FF6886">
        <w:t xml:space="preserve">. </w:t>
      </w:r>
    </w:p>
    <w:bookmarkEnd w:id="2"/>
    <w:p w14:paraId="7D617938" w14:textId="46962335" w:rsidR="00FF6886" w:rsidRPr="0043264C" w:rsidRDefault="00FF6886" w:rsidP="00CC3D39">
      <w:pPr>
        <w:pStyle w:val="PanelPara"/>
      </w:pPr>
      <w:r w:rsidRPr="00592064">
        <w:t>Despite challenges, the budget is balanced for 2025/26 with a funded capital programme and an adequate level of reserves in place.</w:t>
      </w:r>
      <w:r w:rsidR="00CC3D39">
        <w:t xml:space="preserve">  However</w:t>
      </w:r>
      <w:r w:rsidRPr="0043264C">
        <w:t xml:space="preserve">, achieving this across the medium term will be more challenging.  Prudent assumptions of future income streams have been used which identify the need for future efficiencies.    </w:t>
      </w:r>
    </w:p>
    <w:p w14:paraId="433F74DF" w14:textId="34510130" w:rsidR="0073566D" w:rsidRPr="00FF6886" w:rsidRDefault="0073566D" w:rsidP="00592CA9">
      <w:pPr>
        <w:pStyle w:val="PanelPara"/>
      </w:pPr>
      <w:bookmarkStart w:id="3" w:name="_Hlk186449510"/>
      <w:r w:rsidRPr="00FF6886">
        <w:t xml:space="preserve">The PFCC has conducted, and been informed by, a </w:t>
      </w:r>
      <w:r w:rsidR="002827D8" w:rsidRPr="00FF6886">
        <w:t>survey</w:t>
      </w:r>
      <w:r w:rsidRPr="00FF6886">
        <w:t xml:space="preserve"> of </w:t>
      </w:r>
      <w:r w:rsidR="00FF6886" w:rsidRPr="00FF6886">
        <w:t>Northamptonshire</w:t>
      </w:r>
      <w:r w:rsidRPr="00FF6886">
        <w:t xml:space="preserve"> residents</w:t>
      </w:r>
      <w:r w:rsidR="00592CA9">
        <w:t xml:space="preserve"> to gain feedback on both the Public Safety Plan and the precept intentions</w:t>
      </w:r>
      <w:r w:rsidRPr="00FF6886">
        <w:t xml:space="preserve">. </w:t>
      </w:r>
      <w:r w:rsidR="000244FF" w:rsidRPr="00FF6886">
        <w:t xml:space="preserve"> </w:t>
      </w:r>
      <w:r w:rsidRPr="00FF6886">
        <w:t>The results of the survey are summarised in this report and will be available on the PFCC website in due course.</w:t>
      </w:r>
      <w:bookmarkEnd w:id="3"/>
    </w:p>
    <w:p w14:paraId="3DAB9FD5" w14:textId="52D1CA9E" w:rsidR="00C32EC3" w:rsidRPr="00B86341" w:rsidRDefault="00FF6886" w:rsidP="001722C3">
      <w:pPr>
        <w:pStyle w:val="PanelPara"/>
      </w:pPr>
      <w:r w:rsidRPr="00B86341">
        <w:t>I</w:t>
      </w:r>
      <w:r w:rsidR="00C32EC3" w:rsidRPr="00B86341">
        <w:t>n</w:t>
      </w:r>
      <w:r w:rsidRPr="00B86341">
        <w:t xml:space="preserve"> order to achieve the </w:t>
      </w:r>
      <w:r w:rsidR="00C32EC3" w:rsidRPr="00B86341">
        <w:t>missions</w:t>
      </w:r>
      <w:r w:rsidRPr="00B86341">
        <w:t xml:space="preserve"> set out in the new ‘Safe and Sound’ Public Safety Plan, the PFCC is working with the Force to ensure the distribution of police officers provides a solid foundation in </w:t>
      </w:r>
      <w:r w:rsidR="00C32EC3" w:rsidRPr="00B86341">
        <w:t>neighbourhoods</w:t>
      </w:r>
      <w:r w:rsidR="00276BF4" w:rsidRPr="00B86341">
        <w:t>.</w:t>
      </w:r>
      <w:r w:rsidR="00C32EC3" w:rsidRPr="00B86341">
        <w:t xml:space="preserve">  The missions </w:t>
      </w:r>
      <w:r w:rsidR="00B86341" w:rsidRPr="00B86341">
        <w:t xml:space="preserve">(expanded later in this report) </w:t>
      </w:r>
      <w:r w:rsidR="00C32EC3" w:rsidRPr="00B86341">
        <w:t>are:</w:t>
      </w:r>
    </w:p>
    <w:p w14:paraId="563DBE1E" w14:textId="1EC0E505" w:rsidR="00C32EC3" w:rsidRPr="00B86341" w:rsidRDefault="00C32EC3" w:rsidP="00CC0A00">
      <w:pPr>
        <w:pStyle w:val="PanelPara"/>
        <w:numPr>
          <w:ilvl w:val="1"/>
          <w:numId w:val="6"/>
        </w:numPr>
      </w:pPr>
      <w:r w:rsidRPr="00B86341">
        <w:t>Visible and Accessible Community Services</w:t>
      </w:r>
    </w:p>
    <w:p w14:paraId="5B77160A" w14:textId="272C06EF" w:rsidR="00C32EC3" w:rsidRPr="00B86341" w:rsidRDefault="00C32EC3" w:rsidP="00CC0A00">
      <w:pPr>
        <w:pStyle w:val="PanelPara"/>
        <w:numPr>
          <w:ilvl w:val="1"/>
          <w:numId w:val="6"/>
        </w:numPr>
      </w:pPr>
      <w:r w:rsidRPr="00B86341">
        <w:t>Professionalism and Standards</w:t>
      </w:r>
    </w:p>
    <w:p w14:paraId="627FC995" w14:textId="3C0C9C75" w:rsidR="00C32EC3" w:rsidRPr="00B86341" w:rsidRDefault="00C32EC3" w:rsidP="00B86341">
      <w:pPr>
        <w:pStyle w:val="PanelPara"/>
        <w:numPr>
          <w:ilvl w:val="1"/>
          <w:numId w:val="6"/>
        </w:numPr>
      </w:pPr>
      <w:r w:rsidRPr="00B86341">
        <w:t>Stronger Public Safety Partnerships</w:t>
      </w:r>
    </w:p>
    <w:p w14:paraId="1AA291FF" w14:textId="77777777" w:rsidR="00306286" w:rsidRDefault="00B86341" w:rsidP="00306286">
      <w:pPr>
        <w:pStyle w:val="PanelPara"/>
      </w:pPr>
      <w:r w:rsidRPr="00B86341">
        <w:t>T</w:t>
      </w:r>
      <w:r w:rsidR="00C32EC3" w:rsidRPr="00B86341">
        <w:t>his will</w:t>
      </w:r>
      <w:r w:rsidRPr="00B86341">
        <w:t xml:space="preserve"> also</w:t>
      </w:r>
      <w:r w:rsidR="00C32EC3" w:rsidRPr="00B86341">
        <w:t xml:space="preserve"> be in line with policing reform announcements by the government including the Neighbourhood Policing Guarantee.</w:t>
      </w:r>
    </w:p>
    <w:p w14:paraId="298C1882" w14:textId="61E88C28" w:rsidR="00083DE2" w:rsidRDefault="00CC3D39" w:rsidP="00151106">
      <w:pPr>
        <w:pStyle w:val="PanelPara"/>
      </w:pPr>
      <w:r w:rsidRPr="00FF6886">
        <w:t>Following local and national investment to increase Police Officers in the county, the budget for 2025/26 and the MTFP are based on maintenance of an establishment of at least 1,500 Police Officers.</w:t>
      </w:r>
      <w:r>
        <w:t xml:space="preserve">  </w:t>
      </w:r>
      <w:r w:rsidR="00306286">
        <w:t xml:space="preserve">The budget </w:t>
      </w:r>
      <w:r>
        <w:t>also</w:t>
      </w:r>
      <w:r w:rsidR="00306286">
        <w:t xml:space="preserve"> allow</w:t>
      </w:r>
      <w:r>
        <w:t>s</w:t>
      </w:r>
      <w:r w:rsidR="00306286">
        <w:t xml:space="preserve"> </w:t>
      </w:r>
      <w:r w:rsidR="00592CA9">
        <w:t xml:space="preserve">for </w:t>
      </w:r>
      <w:r>
        <w:t>continuation of</w:t>
      </w:r>
      <w:r w:rsidR="00306286">
        <w:t xml:space="preserve"> key investments implemented last year</w:t>
      </w:r>
      <w:r>
        <w:t>, such as the uplift in officer training, call handlers and IT infrastructure</w:t>
      </w:r>
      <w:r w:rsidR="00151106">
        <w:t>.  In 2025/2</w:t>
      </w:r>
      <w:r w:rsidR="00592CA9">
        <w:t>6</w:t>
      </w:r>
      <w:r w:rsidR="00306286">
        <w:t>, the Chief Constable has access to a further</w:t>
      </w:r>
      <w:r w:rsidR="0073566D" w:rsidRPr="00B86341">
        <w:t xml:space="preserve"> </w:t>
      </w:r>
      <w:r w:rsidR="00E21842" w:rsidRPr="00B86341">
        <w:t xml:space="preserve">£1m for investments </w:t>
      </w:r>
      <w:r w:rsidR="00306286">
        <w:t xml:space="preserve">and innovation that aim to </w:t>
      </w:r>
      <w:r w:rsidR="00B8117D">
        <w:t xml:space="preserve">make the force fit to deliver the priorities of the Public Safety Plan </w:t>
      </w:r>
      <w:r w:rsidR="0073566D" w:rsidRPr="00B86341">
        <w:t>includ</w:t>
      </w:r>
      <w:r w:rsidR="00B8117D">
        <w:t>ing</w:t>
      </w:r>
      <w:r w:rsidR="0073566D" w:rsidRPr="00B86341">
        <w:t xml:space="preserve">: </w:t>
      </w:r>
    </w:p>
    <w:p w14:paraId="0DF83988" w14:textId="46C60D0A" w:rsidR="00B8117D" w:rsidRDefault="00646F63" w:rsidP="00B8117D">
      <w:pPr>
        <w:pStyle w:val="PanelPara"/>
        <w:numPr>
          <w:ilvl w:val="1"/>
          <w:numId w:val="6"/>
        </w:numPr>
      </w:pPr>
      <w:r w:rsidRPr="00646F63">
        <w:rPr>
          <w:b/>
          <w:bCs/>
        </w:rPr>
        <w:lastRenderedPageBreak/>
        <w:t>Police Staff Investigators</w:t>
      </w:r>
      <w:r>
        <w:t xml:space="preserve"> – x20 additional investigative staff, embedding skilled resources into local response teams, which will address a key improvement area identified by the inspectorate (HMICFRS) and improve quality of service to the public.</w:t>
      </w:r>
      <w:r w:rsidRPr="00646F63">
        <w:t xml:space="preserve"> </w:t>
      </w:r>
      <w:r>
        <w:t xml:space="preserve"> D</w:t>
      </w:r>
      <w:r w:rsidRPr="00646F63">
        <w:t xml:space="preserve">edicated investigative support </w:t>
      </w:r>
      <w:r>
        <w:t>will be able to</w:t>
      </w:r>
      <w:r w:rsidRPr="00646F63">
        <w:t xml:space="preserve"> progress cases when officers are not at work and at times better suited to victims </w:t>
      </w:r>
      <w:r>
        <w:t>and will</w:t>
      </w:r>
      <w:r w:rsidRPr="00646F63">
        <w:t xml:space="preserve"> have wide</w:t>
      </w:r>
      <w:r>
        <w:t>-</w:t>
      </w:r>
      <w:r w:rsidRPr="00646F63">
        <w:t xml:space="preserve">ranging benefits to the progress of cases, </w:t>
      </w:r>
      <w:r>
        <w:t xml:space="preserve">the </w:t>
      </w:r>
      <w:r w:rsidRPr="00646F63">
        <w:t>wellbeing of officers and victims</w:t>
      </w:r>
      <w:r>
        <w:t>/</w:t>
      </w:r>
      <w:r w:rsidRPr="00646F63">
        <w:t>witnesses.</w:t>
      </w:r>
    </w:p>
    <w:p w14:paraId="0F030258" w14:textId="602CF327" w:rsidR="00646F63" w:rsidRDefault="00AE5B5E" w:rsidP="00B8117D">
      <w:pPr>
        <w:pStyle w:val="PanelPara"/>
        <w:numPr>
          <w:ilvl w:val="1"/>
          <w:numId w:val="6"/>
        </w:numPr>
      </w:pPr>
      <w:r w:rsidRPr="00AE5B5E">
        <w:rPr>
          <w:b/>
          <w:bCs/>
        </w:rPr>
        <w:t>Digital Hub Technical Manager</w:t>
      </w:r>
      <w:r w:rsidRPr="00AE5B5E">
        <w:t xml:space="preserve"> </w:t>
      </w:r>
      <w:r>
        <w:t>–</w:t>
      </w:r>
      <w:r w:rsidRPr="00AE5B5E">
        <w:t xml:space="preserve"> </w:t>
      </w:r>
      <w:r>
        <w:t xml:space="preserve">to </w:t>
      </w:r>
      <w:r w:rsidRPr="00AE5B5E">
        <w:t xml:space="preserve">oversee the implementation of accredited practices </w:t>
      </w:r>
      <w:r>
        <w:t>so that digital forensic activities are compliant, efficient and effective in a world where there is increasingly a digital element to almost all crime types.</w:t>
      </w:r>
    </w:p>
    <w:p w14:paraId="5997FFAA" w14:textId="52339ECD" w:rsidR="006F70B5" w:rsidRDefault="00AE5B5E" w:rsidP="006F70B5">
      <w:pPr>
        <w:pStyle w:val="PanelPara"/>
        <w:numPr>
          <w:ilvl w:val="1"/>
          <w:numId w:val="6"/>
        </w:numPr>
      </w:pPr>
      <w:r w:rsidRPr="00AE5B5E">
        <w:rPr>
          <w:b/>
          <w:bCs/>
        </w:rPr>
        <w:t>Problem Solving and Prevention</w:t>
      </w:r>
      <w:r>
        <w:t xml:space="preserve"> – </w:t>
      </w:r>
      <w:r w:rsidR="006F70B5">
        <w:t xml:space="preserve">This includes analytical resources, problem-solving co-ordinators and youth engagement crime prevention specialists.  </w:t>
      </w:r>
      <w:r w:rsidRPr="00AE5B5E">
        <w:t xml:space="preserve">The resources will address demand reduction </w:t>
      </w:r>
      <w:r w:rsidR="006F70B5">
        <w:t>by</w:t>
      </w:r>
      <w:r w:rsidRPr="00AE5B5E">
        <w:t xml:space="preserve"> understanding both the people and places that account for disproportionate levels of victimisation or offending and putting in place targeted interventions to reduce demand and/or risk.</w:t>
      </w:r>
      <w:r w:rsidR="006F70B5">
        <w:t xml:space="preserve">  This will include identifying physical settings such as schools and care homes linked to high demand and harm.</w:t>
      </w:r>
    </w:p>
    <w:p w14:paraId="7D6EFC92" w14:textId="4E69994A" w:rsidR="006F70B5" w:rsidRDefault="006F70B5" w:rsidP="006F70B5">
      <w:pPr>
        <w:pStyle w:val="PanelPara"/>
        <w:numPr>
          <w:ilvl w:val="1"/>
          <w:numId w:val="6"/>
        </w:numPr>
      </w:pPr>
      <w:r>
        <w:rPr>
          <w:b/>
          <w:bCs/>
        </w:rPr>
        <w:t xml:space="preserve">Vetting </w:t>
      </w:r>
      <w:r>
        <w:t xml:space="preserve">– </w:t>
      </w:r>
      <w:r w:rsidRPr="006F70B5">
        <w:t xml:space="preserve">An uplift in staffing will seek to improve performance in all areas of vetting in accordance with </w:t>
      </w:r>
      <w:r>
        <w:t>proper practice</w:t>
      </w:r>
      <w:r w:rsidRPr="006F70B5">
        <w:t xml:space="preserve">, </w:t>
      </w:r>
      <w:r>
        <w:t>national</w:t>
      </w:r>
      <w:r w:rsidRPr="006F70B5">
        <w:t xml:space="preserve"> requirements and </w:t>
      </w:r>
      <w:r>
        <w:t>related</w:t>
      </w:r>
      <w:r w:rsidRPr="006F70B5">
        <w:t xml:space="preserve"> recommendations from the Angiolini enquiry</w:t>
      </w:r>
      <w:r>
        <w:t>.  It is vital that checks are robust and timely, and that steps are taken to repair public confidence in the workforce.</w:t>
      </w:r>
    </w:p>
    <w:p w14:paraId="2D70065B" w14:textId="18C263FC" w:rsidR="006F70B5" w:rsidRPr="00B86341" w:rsidRDefault="006F70B5" w:rsidP="006F70B5">
      <w:pPr>
        <w:pStyle w:val="PanelPara"/>
        <w:numPr>
          <w:ilvl w:val="1"/>
          <w:numId w:val="6"/>
        </w:numPr>
      </w:pPr>
      <w:r>
        <w:rPr>
          <w:b/>
          <w:bCs/>
        </w:rPr>
        <w:t xml:space="preserve">Occupational Health &amp; Wellbeing </w:t>
      </w:r>
      <w:r>
        <w:t xml:space="preserve">– An increase in resources to provide better wellbeing support for officers/staff, clinical intervention, </w:t>
      </w:r>
      <w:r w:rsidR="00EB423C">
        <w:t xml:space="preserve">dedicated </w:t>
      </w:r>
      <w:r>
        <w:t>support for neurodiversity and IT systems that support this.</w:t>
      </w:r>
    </w:p>
    <w:p w14:paraId="69D82C5D" w14:textId="6FCE27B4" w:rsidR="0031016E" w:rsidRPr="00C516B1" w:rsidRDefault="00CB3FFC" w:rsidP="001722C3">
      <w:pPr>
        <w:pStyle w:val="PanelPara"/>
      </w:pPr>
      <w:r w:rsidRPr="00C516B1">
        <w:t xml:space="preserve">The PFCC has always endeavoured to ensure that the cost of staffing the OPFCC is </w:t>
      </w:r>
      <w:r w:rsidR="0081696D" w:rsidRPr="00C516B1">
        <w:t>no more than</w:t>
      </w:r>
      <w:r w:rsidRPr="00C516B1">
        <w:t xml:space="preserve"> 1% of the </w:t>
      </w:r>
      <w:r w:rsidR="002F0B6B" w:rsidRPr="00C516B1">
        <w:t xml:space="preserve">operational police </w:t>
      </w:r>
      <w:r w:rsidRPr="00C516B1">
        <w:t xml:space="preserve">budget. </w:t>
      </w:r>
      <w:r w:rsidR="000244FF" w:rsidRPr="00C516B1">
        <w:t xml:space="preserve"> </w:t>
      </w:r>
      <w:r w:rsidRPr="00C516B1">
        <w:t>In 202</w:t>
      </w:r>
      <w:r w:rsidR="00C516B1" w:rsidRPr="00C516B1">
        <w:t>5</w:t>
      </w:r>
      <w:r w:rsidRPr="00C516B1">
        <w:t>/2</w:t>
      </w:r>
      <w:r w:rsidR="00C516B1" w:rsidRPr="00C516B1">
        <w:t>6, running costs of the</w:t>
      </w:r>
      <w:r w:rsidRPr="00C516B1">
        <w:t xml:space="preserve"> OPFCC </w:t>
      </w:r>
      <w:r w:rsidR="004E111D" w:rsidRPr="00C516B1">
        <w:t>makes up</w:t>
      </w:r>
      <w:r w:rsidRPr="00C516B1">
        <w:t xml:space="preserve"> approximately 0.</w:t>
      </w:r>
      <w:r w:rsidR="004E111D" w:rsidRPr="00C516B1">
        <w:t>7</w:t>
      </w:r>
      <w:r w:rsidRPr="00C516B1">
        <w:t xml:space="preserve">% of the total </w:t>
      </w:r>
      <w:r w:rsidR="009E47D7" w:rsidRPr="00C516B1">
        <w:t xml:space="preserve">operational police </w:t>
      </w:r>
      <w:r w:rsidRPr="00C516B1">
        <w:t>budget for the year.</w:t>
      </w:r>
    </w:p>
    <w:p w14:paraId="134D8ADD" w14:textId="4C3BB044" w:rsidR="002E5EBA" w:rsidRPr="00C516B1" w:rsidRDefault="0033266D" w:rsidP="001722C3">
      <w:pPr>
        <w:pStyle w:val="PanelPara"/>
      </w:pPr>
      <w:r w:rsidRPr="00C516B1">
        <w:t xml:space="preserve">The </w:t>
      </w:r>
      <w:r w:rsidR="00C516B1" w:rsidRPr="00C516B1">
        <w:t>s</w:t>
      </w:r>
      <w:r w:rsidR="001C762E" w:rsidRPr="00C516B1">
        <w:t xml:space="preserve">151 Officer </w:t>
      </w:r>
      <w:r w:rsidRPr="00C516B1">
        <w:t>has reviewed the adequacy and level of reserves to ensure that funds are still available to support investment in innovative solutions and ensure the level is adequate to meet one</w:t>
      </w:r>
      <w:r w:rsidR="003F410A" w:rsidRPr="00C516B1">
        <w:t>-</w:t>
      </w:r>
      <w:r w:rsidRPr="00C516B1">
        <w:t>off short term funding shortfalls if savings and efficiencies are not identified.</w:t>
      </w:r>
    </w:p>
    <w:p w14:paraId="7074C81A" w14:textId="759D900B" w:rsidR="0081696D" w:rsidRPr="00C516B1" w:rsidRDefault="001C762E" w:rsidP="001722C3">
      <w:pPr>
        <w:pStyle w:val="PanelPara"/>
      </w:pPr>
      <w:bookmarkStart w:id="4" w:name="_Hlk156379198"/>
      <w:r w:rsidRPr="00C516B1">
        <w:t>The PFCC requires both</w:t>
      </w:r>
      <w:r w:rsidR="00355D7E">
        <w:t xml:space="preserve"> police and fire</w:t>
      </w:r>
      <w:r w:rsidRPr="00C516B1">
        <w:t xml:space="preserve"> services to actively seek opportunities to work together to deliver more efficient and effective public services and in 202</w:t>
      </w:r>
      <w:r w:rsidR="00C516B1" w:rsidRPr="00C516B1">
        <w:t>5</w:t>
      </w:r>
      <w:r w:rsidRPr="00C516B1">
        <w:t>/2</w:t>
      </w:r>
      <w:r w:rsidR="00C516B1" w:rsidRPr="00C516B1">
        <w:t>6</w:t>
      </w:r>
      <w:r w:rsidRPr="00C516B1">
        <w:t xml:space="preserve"> it is intended that opportunities bring together further </w:t>
      </w:r>
      <w:r w:rsidR="00C516B1" w:rsidRPr="00C516B1">
        <w:t>functions</w:t>
      </w:r>
      <w:r w:rsidRPr="00C516B1">
        <w:t xml:space="preserve"> will</w:t>
      </w:r>
      <w:r w:rsidR="00C516B1" w:rsidRPr="00C516B1">
        <w:t xml:space="preserve"> continue to</w:t>
      </w:r>
      <w:r w:rsidRPr="00C516B1">
        <w:t xml:space="preserve"> be explored</w:t>
      </w:r>
      <w:r w:rsidR="0081696D" w:rsidRPr="00C516B1">
        <w:t xml:space="preserve">, and that existing shared arrangements are regularly reviewed and optimised. </w:t>
      </w:r>
      <w:r w:rsidR="00151106">
        <w:t xml:space="preserve"> An Enabling Services Board, attended by both Chiefs is in place to monitor joint arrangements and to identify further opportunities for collaboration.</w:t>
      </w:r>
    </w:p>
    <w:bookmarkEnd w:id="4"/>
    <w:p w14:paraId="2E89B83A" w14:textId="1087E10B" w:rsidR="002E5EBA" w:rsidRPr="00C516B1" w:rsidRDefault="002E5EBA" w:rsidP="001722C3">
      <w:pPr>
        <w:pStyle w:val="PanelPara"/>
      </w:pPr>
      <w:r w:rsidRPr="00C516B1">
        <w:t xml:space="preserve">The PFCC has been briefed on the current and emerging operational and demand challenges and these have informed discussion on the budget allocation to the </w:t>
      </w:r>
      <w:r w:rsidR="009E47D7" w:rsidRPr="00C516B1">
        <w:t>Chief Constable</w:t>
      </w:r>
      <w:r w:rsidRPr="00C516B1">
        <w:t xml:space="preserve"> for </w:t>
      </w:r>
      <w:r w:rsidR="00220144" w:rsidRPr="00C516B1">
        <w:t>202</w:t>
      </w:r>
      <w:r w:rsidR="00C516B1" w:rsidRPr="00C516B1">
        <w:t>5</w:t>
      </w:r>
      <w:r w:rsidR="00220144" w:rsidRPr="00C516B1">
        <w:t>/2</w:t>
      </w:r>
      <w:r w:rsidR="00C516B1" w:rsidRPr="00C516B1">
        <w:t>6</w:t>
      </w:r>
      <w:r w:rsidRPr="00C516B1">
        <w:t xml:space="preserve"> and future years.  </w:t>
      </w:r>
    </w:p>
    <w:p w14:paraId="4A9A9901" w14:textId="77777777" w:rsidR="00DC1ECF" w:rsidRDefault="00001C7E" w:rsidP="00DC1ECF">
      <w:pPr>
        <w:pStyle w:val="PanelPara"/>
      </w:pPr>
      <w:r w:rsidRPr="00C516B1">
        <w:t xml:space="preserve">The PFCC </w:t>
      </w:r>
      <w:r w:rsidR="001C762E" w:rsidRPr="00C516B1">
        <w:t>believes</w:t>
      </w:r>
      <w:r w:rsidR="00395E90" w:rsidRPr="00C516B1">
        <w:t xml:space="preserve"> </w:t>
      </w:r>
      <w:r w:rsidRPr="00C516B1">
        <w:t xml:space="preserve">that </w:t>
      </w:r>
      <w:r w:rsidR="00395E90" w:rsidRPr="00C516B1">
        <w:t xml:space="preserve">Northamptonshire is not served well by the </w:t>
      </w:r>
      <w:r w:rsidRPr="00C516B1">
        <w:t>current grant funding formula</w:t>
      </w:r>
      <w:r w:rsidR="00395E90" w:rsidRPr="00C516B1">
        <w:t xml:space="preserve">; that the county is </w:t>
      </w:r>
      <w:r w:rsidR="007F0E17" w:rsidRPr="00C516B1">
        <w:t>not fairly funded</w:t>
      </w:r>
      <w:r w:rsidRPr="00C516B1">
        <w:t xml:space="preserve"> in comparison to both regional and national peers</w:t>
      </w:r>
      <w:r w:rsidR="00395E90" w:rsidRPr="00C516B1">
        <w:t xml:space="preserve"> and that local residents should not pay more for their services than other counties. </w:t>
      </w:r>
      <w:r w:rsidR="0081696D" w:rsidRPr="00C516B1">
        <w:t xml:space="preserve"> </w:t>
      </w:r>
      <w:r w:rsidR="00CF2932" w:rsidRPr="00C516B1">
        <w:t>Every year the formula is not update</w:t>
      </w:r>
      <w:r w:rsidR="003F410A" w:rsidRPr="00C516B1">
        <w:t>d</w:t>
      </w:r>
      <w:r w:rsidR="0081696D" w:rsidRPr="00C516B1">
        <w:t xml:space="preserve">, </w:t>
      </w:r>
      <w:r w:rsidR="00CF2932" w:rsidRPr="00C516B1">
        <w:t>Northamptonshire is detrimentally affected.</w:t>
      </w:r>
    </w:p>
    <w:p w14:paraId="3EF819AF" w14:textId="77777777" w:rsidR="001D0E11" w:rsidRPr="00DC1ECF" w:rsidRDefault="001D0E11" w:rsidP="00DC1ECF">
      <w:pPr>
        <w:spacing w:line="240" w:lineRule="auto"/>
        <w:jc w:val="both"/>
        <w:rPr>
          <w:rFonts w:asciiTheme="minorHAnsi" w:hAnsiTheme="minorHAnsi" w:cstheme="minorHAnsi"/>
          <w:b/>
          <w:sz w:val="24"/>
          <w:szCs w:val="24"/>
          <w:highlight w:val="yellow"/>
        </w:rPr>
      </w:pPr>
    </w:p>
    <w:p w14:paraId="2D8A85D7" w14:textId="1E87E065" w:rsidR="00DC1ECF" w:rsidRPr="00EA1F71" w:rsidRDefault="00DC1ECF" w:rsidP="00DC1ECF">
      <w:pPr>
        <w:pStyle w:val="PanelHeading"/>
      </w:pPr>
      <w:bookmarkStart w:id="5" w:name="_Hlk187160577"/>
      <w:r w:rsidRPr="00EA1F71">
        <w:t>PRECEPT PROPOSAL</w:t>
      </w:r>
    </w:p>
    <w:p w14:paraId="363D5F46" w14:textId="390FBC16" w:rsidR="00DC1ECF" w:rsidRPr="00DC1ECF" w:rsidRDefault="00DC1ECF" w:rsidP="00DC1ECF">
      <w:pPr>
        <w:pStyle w:val="PanelPara"/>
        <w:rPr>
          <w:b/>
          <w:bCs/>
        </w:rPr>
      </w:pPr>
      <w:r w:rsidRPr="00DC1ECF">
        <w:rPr>
          <w:b/>
          <w:bCs/>
        </w:rPr>
        <w:t xml:space="preserve">After careful consideration of the factors </w:t>
      </w:r>
      <w:r>
        <w:rPr>
          <w:b/>
          <w:bCs/>
        </w:rPr>
        <w:t>outlined in</w:t>
      </w:r>
      <w:r w:rsidRPr="00DC1ECF">
        <w:rPr>
          <w:b/>
          <w:bCs/>
        </w:rPr>
        <w:t xml:space="preserve"> this report, the PFCC proposes a precept increase of £14 a year (27 pence per week) to £320.04 for a Band D property.  This will enable Police to maintain the investment in 1,500 police officers, maintain an adequate level of reserves and deliver against the new Public Safety Plan. </w:t>
      </w:r>
    </w:p>
    <w:p w14:paraId="6B7CD5EC" w14:textId="77777777" w:rsidR="00DC1ECF" w:rsidRPr="00EA1F71" w:rsidRDefault="00DC1ECF" w:rsidP="00DC1ECF">
      <w:pPr>
        <w:pStyle w:val="PanelPara"/>
      </w:pPr>
      <w:r w:rsidRPr="00EA1F71">
        <w:t xml:space="preserve">The PFCC appreciates the impact on the taxpayer. </w:t>
      </w:r>
      <w:r>
        <w:t xml:space="preserve"> </w:t>
      </w:r>
      <w:r w:rsidRPr="00EA1F71">
        <w:t xml:space="preserve">Whilst this is a pressure on households, the PFCC needs to ensure that policing has the resources it needs to meet the current and future spending challenges, but also reflects the current financial climate and the views of those who took part in the precept survey. </w:t>
      </w:r>
    </w:p>
    <w:p w14:paraId="2F27A23E" w14:textId="77777777" w:rsidR="00DC1ECF" w:rsidRPr="00EA1F71" w:rsidRDefault="00DC1ECF" w:rsidP="00DC1ECF">
      <w:pPr>
        <w:pStyle w:val="PanelPara"/>
      </w:pPr>
      <w:r w:rsidRPr="00EA1F71">
        <w:t>The PFCC is grateful to all those who took part in the survey and their willingness to pay more in order to safeguard and develop policing in the county and will continue to push the government for a fairer funding position for Northamptonshire.</w:t>
      </w:r>
    </w:p>
    <w:bookmarkEnd w:id="5"/>
    <w:p w14:paraId="7567F7AA" w14:textId="115D710A" w:rsidR="006400EB" w:rsidRPr="00A81E04" w:rsidRDefault="006400EB">
      <w:pPr>
        <w:spacing w:line="240" w:lineRule="auto"/>
        <w:rPr>
          <w:rFonts w:asciiTheme="minorHAnsi" w:hAnsiTheme="minorHAnsi" w:cstheme="minorHAnsi"/>
          <w:b/>
          <w:sz w:val="24"/>
          <w:szCs w:val="24"/>
          <w:highlight w:val="yellow"/>
        </w:rPr>
      </w:pPr>
    </w:p>
    <w:p w14:paraId="2634287F" w14:textId="5C5D2650" w:rsidR="00B22494" w:rsidRPr="00B22494" w:rsidRDefault="00FC4407" w:rsidP="009B0902">
      <w:pPr>
        <w:pStyle w:val="PanelHeading"/>
      </w:pPr>
      <w:bookmarkStart w:id="6" w:name="_Hlk187160795"/>
      <w:r w:rsidRPr="00B22494">
        <w:t>PUBLIC SAFETY PLAN – ‘SAFE AND SOUND’</w:t>
      </w:r>
    </w:p>
    <w:p w14:paraId="4AD39428" w14:textId="10D81567" w:rsidR="00B22494" w:rsidRDefault="00B22494" w:rsidP="00B22494">
      <w:pPr>
        <w:pStyle w:val="PanelPara"/>
      </w:pPr>
      <w:r>
        <w:t>A new 5-year strategic plan has been developed by the PFCC to set out priorities for how police and fire services keep our communities safe.  This followed significant engagement across the county that the PFCC has called the ‘Big Conversation’ and sets out three missions:</w:t>
      </w:r>
    </w:p>
    <w:p w14:paraId="320B14AA" w14:textId="6E248D54" w:rsidR="00B22494" w:rsidRDefault="00B22494" w:rsidP="00CC0A00">
      <w:pPr>
        <w:pStyle w:val="PanelPara"/>
        <w:numPr>
          <w:ilvl w:val="1"/>
          <w:numId w:val="6"/>
        </w:numPr>
      </w:pPr>
      <w:r>
        <w:t>Visible and Accessible Community Services</w:t>
      </w:r>
    </w:p>
    <w:p w14:paraId="26979FD5" w14:textId="77777777" w:rsidR="00B22494" w:rsidRDefault="00B22494" w:rsidP="00CC0A00">
      <w:pPr>
        <w:pStyle w:val="PanelPara"/>
        <w:numPr>
          <w:ilvl w:val="1"/>
          <w:numId w:val="6"/>
        </w:numPr>
      </w:pPr>
      <w:r>
        <w:t>Professionalism and Standards</w:t>
      </w:r>
    </w:p>
    <w:p w14:paraId="31583055" w14:textId="7BF2A457" w:rsidR="00B22494" w:rsidRPr="00B22494" w:rsidRDefault="00B22494" w:rsidP="00CC0A00">
      <w:pPr>
        <w:pStyle w:val="PanelPara"/>
        <w:numPr>
          <w:ilvl w:val="1"/>
          <w:numId w:val="6"/>
        </w:numPr>
      </w:pPr>
      <w:r>
        <w:t>Stronger Public Safety Partnerships</w:t>
      </w:r>
    </w:p>
    <w:p w14:paraId="759353FA" w14:textId="5A737E03" w:rsidR="00B22494" w:rsidRPr="00B22494" w:rsidRDefault="00B22494" w:rsidP="00B22494">
      <w:pPr>
        <w:pStyle w:val="PanelPara"/>
      </w:pPr>
      <w:r w:rsidRPr="00B22494">
        <w:t>The PFCC said:</w:t>
      </w:r>
    </w:p>
    <w:p w14:paraId="31390BAF" w14:textId="341DDF96" w:rsidR="00B22494" w:rsidRPr="00B22494" w:rsidRDefault="00B22494" w:rsidP="00B22494">
      <w:pPr>
        <w:pStyle w:val="PanelPara"/>
        <w:numPr>
          <w:ilvl w:val="0"/>
          <w:numId w:val="0"/>
        </w:numPr>
        <w:ind w:left="567"/>
        <w:rPr>
          <w:i/>
          <w:iCs/>
          <w:lang w:eastAsia="en-GB"/>
        </w:rPr>
      </w:pPr>
      <w:r w:rsidRPr="00B22494">
        <w:rPr>
          <w:i/>
          <w:iCs/>
          <w:lang w:eastAsia="en-GB"/>
        </w:rPr>
        <w:t>“The Big Conversation told me very clearly that people just want to feel safer. They want to know that police, fire, and all the public safety partners will be there when they need them.</w:t>
      </w:r>
    </w:p>
    <w:p w14:paraId="7481FDCE" w14:textId="79175887" w:rsidR="00B22494" w:rsidRPr="00B22494" w:rsidRDefault="00B22494" w:rsidP="00B22494">
      <w:pPr>
        <w:pStyle w:val="PanelPara"/>
        <w:numPr>
          <w:ilvl w:val="0"/>
          <w:numId w:val="0"/>
        </w:numPr>
        <w:ind w:left="567"/>
        <w:rPr>
          <w:i/>
          <w:iCs/>
          <w:lang w:eastAsia="en-GB"/>
        </w:rPr>
      </w:pPr>
      <w:r w:rsidRPr="00B22494">
        <w:rPr>
          <w:i/>
          <w:iCs/>
          <w:lang w:eastAsia="en-GB"/>
        </w:rPr>
        <w:t>Trust and confidence is such a big issue for the emergency services, and people want to know that their local services will listen to their concerns and take them seriously, and always work to the highest standards.</w:t>
      </w:r>
    </w:p>
    <w:p w14:paraId="39F2C1BF" w14:textId="0FAC277C" w:rsidR="00B22494" w:rsidRPr="00B22494" w:rsidRDefault="00B22494" w:rsidP="00B22494">
      <w:pPr>
        <w:pStyle w:val="PanelPara"/>
        <w:numPr>
          <w:ilvl w:val="0"/>
          <w:numId w:val="0"/>
        </w:numPr>
        <w:ind w:left="567"/>
        <w:rPr>
          <w:i/>
          <w:iCs/>
          <w:lang w:eastAsia="en-GB"/>
        </w:rPr>
      </w:pPr>
      <w:r w:rsidRPr="00B22494">
        <w:rPr>
          <w:i/>
          <w:iCs/>
          <w:lang w:eastAsia="en-GB"/>
        </w:rPr>
        <w:t>That’s why this strategic plan prioritises visible and accessible local policing, fire and rescue professionals who are fully engaged in their local communities and helping people to protect themselves from risk, improved standards across the board, and partners working together with just one aim, a safe and sound Northamptonshire.”</w:t>
      </w:r>
    </w:p>
    <w:p w14:paraId="18CBD09D" w14:textId="77777777" w:rsidR="00146AEC" w:rsidRPr="00526D9C" w:rsidRDefault="00146AEC" w:rsidP="00146AEC">
      <w:pPr>
        <w:pStyle w:val="PanelPara"/>
      </w:pPr>
      <w:r w:rsidRPr="00526D9C">
        <w:t>The 2025/26 budget has been built to support the Plan:</w:t>
      </w:r>
    </w:p>
    <w:p w14:paraId="05869D17" w14:textId="208EC396" w:rsidR="00B22494" w:rsidRPr="00526D9C" w:rsidRDefault="00146AEC" w:rsidP="00146AEC">
      <w:pPr>
        <w:pStyle w:val="PanelPara"/>
      </w:pPr>
      <w:r w:rsidRPr="00526D9C">
        <w:rPr>
          <w:b/>
          <w:bCs/>
        </w:rPr>
        <w:t>Visible and Accessible Community Services</w:t>
      </w:r>
      <w:r w:rsidRPr="00526D9C">
        <w:t xml:space="preserve"> –</w:t>
      </w:r>
      <w:r w:rsidR="00526D9C">
        <w:t xml:space="preserve"> </w:t>
      </w:r>
      <w:r w:rsidR="00B22494" w:rsidRPr="00526D9C">
        <w:t xml:space="preserve">this means building on the good work that has been done to focus on neighbourhood policing and community engagement. </w:t>
      </w:r>
      <w:r w:rsidRPr="00526D9C">
        <w:t xml:space="preserve"> </w:t>
      </w:r>
      <w:r w:rsidR="00B22494" w:rsidRPr="00526D9C">
        <w:t xml:space="preserve">Greater accessibility means being visible in neighbourhoods so that people feel safe, and communities feel cared for and </w:t>
      </w:r>
      <w:r w:rsidR="00526D9C">
        <w:t>the PFCC</w:t>
      </w:r>
      <w:r w:rsidR="00B22494" w:rsidRPr="00526D9C">
        <w:t xml:space="preserve"> will work with police leaders to ensure </w:t>
      </w:r>
      <w:r w:rsidR="00526D9C">
        <w:t>provision of</w:t>
      </w:r>
      <w:r w:rsidR="00B22494" w:rsidRPr="00526D9C">
        <w:t xml:space="preserve"> a full spectrum of opportunities for meaningful community engagement. </w:t>
      </w:r>
      <w:r w:rsidR="00E11627" w:rsidRPr="00526D9C">
        <w:t xml:space="preserve"> </w:t>
      </w:r>
      <w:r w:rsidR="00B22494" w:rsidRPr="00526D9C">
        <w:t xml:space="preserve">Police </w:t>
      </w:r>
      <w:r w:rsidR="00E11627" w:rsidRPr="00526D9C">
        <w:t>officers</w:t>
      </w:r>
      <w:r w:rsidR="00B22494" w:rsidRPr="00526D9C">
        <w:t xml:space="preserve"> and sta</w:t>
      </w:r>
      <w:r w:rsidR="00E11627" w:rsidRPr="00526D9C">
        <w:t>ff</w:t>
      </w:r>
      <w:r w:rsidR="00B22494" w:rsidRPr="00526D9C">
        <w:t xml:space="preserve"> should also be increasingly accessible through video appointments, online reporting and other routes for </w:t>
      </w:r>
      <w:r w:rsidR="00B22494" w:rsidRPr="00526D9C">
        <w:lastRenderedPageBreak/>
        <w:t xml:space="preserve">those whose preference is for </w:t>
      </w:r>
      <w:r w:rsidR="00966F7F" w:rsidRPr="00526D9C">
        <w:t>technologically</w:t>
      </w:r>
      <w:r w:rsidR="00966F7F">
        <w:t xml:space="preserve"> enabled</w:t>
      </w:r>
      <w:r w:rsidR="00B22494" w:rsidRPr="00526D9C">
        <w:t xml:space="preserve"> contact. </w:t>
      </w:r>
      <w:r w:rsidR="00E11627" w:rsidRPr="00526D9C">
        <w:t xml:space="preserve"> </w:t>
      </w:r>
      <w:r w:rsidR="00B22494" w:rsidRPr="00526D9C">
        <w:t>Great local policing can improve quality of life and feelings of safety for everyone.</w:t>
      </w:r>
    </w:p>
    <w:p w14:paraId="5C74F574" w14:textId="77777777" w:rsidR="00E11627" w:rsidRPr="00526D9C" w:rsidRDefault="00E11627" w:rsidP="00E11627">
      <w:pPr>
        <w:pStyle w:val="PanelPara"/>
        <w:numPr>
          <w:ilvl w:val="0"/>
          <w:numId w:val="0"/>
        </w:numPr>
        <w:ind w:left="567"/>
      </w:pPr>
      <w:r w:rsidRPr="00526D9C">
        <w:t>The precept proposal will enable:</w:t>
      </w:r>
    </w:p>
    <w:p w14:paraId="67CEC735" w14:textId="17EBE25F" w:rsidR="00E11627" w:rsidRPr="00526D9C" w:rsidRDefault="00E11627" w:rsidP="00CC0A00">
      <w:pPr>
        <w:pStyle w:val="PanelPara"/>
        <w:numPr>
          <w:ilvl w:val="1"/>
          <w:numId w:val="6"/>
        </w:numPr>
      </w:pPr>
      <w:r w:rsidRPr="00526D9C">
        <w:t>Maintenance of officers numbers and a programme of recruitment that takes positive action to improve diversity and helps the workforce reflect the communities it serves.</w:t>
      </w:r>
    </w:p>
    <w:p w14:paraId="1F0BEED9" w14:textId="77777777" w:rsidR="00E11627" w:rsidRPr="00526D9C" w:rsidRDefault="00E11627" w:rsidP="00CC0A00">
      <w:pPr>
        <w:pStyle w:val="PanelPara"/>
        <w:numPr>
          <w:ilvl w:val="1"/>
          <w:numId w:val="6"/>
        </w:numPr>
      </w:pPr>
      <w:r w:rsidRPr="00526D9C">
        <w:t>Ongoing funding of Police Community Support Officers and recruitment into vacant posts.</w:t>
      </w:r>
    </w:p>
    <w:p w14:paraId="008C74B0" w14:textId="220832DE" w:rsidR="00E11627" w:rsidRPr="00526D9C" w:rsidRDefault="00E11627" w:rsidP="00CC0A00">
      <w:pPr>
        <w:pStyle w:val="PanelPara"/>
        <w:numPr>
          <w:ilvl w:val="1"/>
          <w:numId w:val="6"/>
        </w:numPr>
      </w:pPr>
      <w:r w:rsidRPr="00526D9C">
        <w:t>Ongoing funding of call handlers and the latest technologies that support the best methods of contact.</w:t>
      </w:r>
    </w:p>
    <w:p w14:paraId="6ADDC1BE" w14:textId="37DD23C3" w:rsidR="00526D9C" w:rsidRDefault="00E11627" w:rsidP="00CC0A00">
      <w:pPr>
        <w:pStyle w:val="PanelPara"/>
        <w:numPr>
          <w:ilvl w:val="1"/>
          <w:numId w:val="6"/>
        </w:numPr>
      </w:pPr>
      <w:r w:rsidRPr="00526D9C">
        <w:t>A capital Estates programme that provides premises</w:t>
      </w:r>
      <w:r w:rsidR="00526D9C" w:rsidRPr="00526D9C">
        <w:t xml:space="preserve"> that are fit for purpose and </w:t>
      </w:r>
      <w:r w:rsidR="00B366DB">
        <w:t>accessible</w:t>
      </w:r>
      <w:r w:rsidR="00526D9C" w:rsidRPr="00526D9C">
        <w:t>.</w:t>
      </w:r>
    </w:p>
    <w:p w14:paraId="3FC362B7" w14:textId="403B5765" w:rsidR="00526D9C" w:rsidRDefault="00526D9C" w:rsidP="00526D9C">
      <w:pPr>
        <w:pStyle w:val="PanelPara"/>
      </w:pPr>
      <w:r w:rsidRPr="00526D9C">
        <w:rPr>
          <w:b/>
          <w:bCs/>
        </w:rPr>
        <w:t>Professionalism and Standards</w:t>
      </w:r>
      <w:r>
        <w:t xml:space="preserve"> – this means building on the steps that have been taken to improve vetting and supporting officers and staff to challenge each other to be their best and root out unacceptable behaviour.  The PFCC will work with police leaders to implement the findings of the recent vetting review, which seeks to raise the bar on integrity and make changes to local and national systems.  There will also be a focus on the national race action plan and learning from and responding to important reports such as the Angiolini Inquiry which has turned its attention to police culture and women’s safety. </w:t>
      </w:r>
    </w:p>
    <w:p w14:paraId="485683FE" w14:textId="097B5182" w:rsidR="00526D9C" w:rsidRPr="00526D9C" w:rsidRDefault="00526D9C" w:rsidP="00526D9C">
      <w:pPr>
        <w:pStyle w:val="PanelPara"/>
        <w:numPr>
          <w:ilvl w:val="0"/>
          <w:numId w:val="0"/>
        </w:numPr>
        <w:ind w:left="567"/>
      </w:pPr>
      <w:r>
        <w:t>This is about protecting everyone in the policing family so that people are safe and can thrive at work.  The Chief Constable has already taken action to improve police investigations, in response to inspection findings.  The PFCC welcomes this and will want to see operational plans that ensure engagement with communit</w:t>
      </w:r>
      <w:r w:rsidR="00571831">
        <w:t>ies</w:t>
      </w:r>
      <w:r>
        <w:t xml:space="preserve"> is routinely positive, with staff supported to do the basics really well.</w:t>
      </w:r>
    </w:p>
    <w:p w14:paraId="28D8F3BA" w14:textId="77777777" w:rsidR="00571831" w:rsidRPr="00526D9C" w:rsidRDefault="00571831" w:rsidP="00571831">
      <w:pPr>
        <w:pStyle w:val="PanelPara"/>
        <w:numPr>
          <w:ilvl w:val="0"/>
          <w:numId w:val="0"/>
        </w:numPr>
        <w:ind w:left="567"/>
      </w:pPr>
      <w:r w:rsidRPr="00526D9C">
        <w:t>The precept proposal will enable:</w:t>
      </w:r>
    </w:p>
    <w:p w14:paraId="0CC2F3F9" w14:textId="2ABBF9B6" w:rsidR="00526D9C" w:rsidRDefault="00571831" w:rsidP="00CC0A00">
      <w:pPr>
        <w:pStyle w:val="PanelPara"/>
        <w:numPr>
          <w:ilvl w:val="1"/>
          <w:numId w:val="6"/>
        </w:numPr>
      </w:pPr>
      <w:r>
        <w:t>Investment in additional resources to carry out vetting and funding to enable innovative and efficient vetting processes.</w:t>
      </w:r>
    </w:p>
    <w:p w14:paraId="048BBD91" w14:textId="2C7997B0" w:rsidR="00571831" w:rsidRDefault="00571831" w:rsidP="00CC0A00">
      <w:pPr>
        <w:pStyle w:val="PanelPara"/>
        <w:numPr>
          <w:ilvl w:val="1"/>
          <w:numId w:val="6"/>
        </w:numPr>
      </w:pPr>
      <w:r>
        <w:t>Additional investments in the Customer Services Team in the OPFCC to handle complaints and issues from members of the public promptly and carry out investigations independently and efficiently.</w:t>
      </w:r>
    </w:p>
    <w:p w14:paraId="6446EBE0" w14:textId="77777777" w:rsidR="00F34934" w:rsidRDefault="00F34934" w:rsidP="00B31C09">
      <w:pPr>
        <w:pStyle w:val="PanelPara"/>
      </w:pPr>
      <w:r w:rsidRPr="00F34934">
        <w:rPr>
          <w:b/>
          <w:bCs/>
        </w:rPr>
        <w:t>Stronger Public Safety Partnerships</w:t>
      </w:r>
      <w:r>
        <w:t xml:space="preserve"> – this means resetting the accountability relationship that service leaders have with the PFCC and to provide clearer support and challenge in driving performance improvement.  The OPFCC’s role in managing complaints and customer service will be deepened so that there can be even more learning from the community’s experience of police and fire.</w:t>
      </w:r>
    </w:p>
    <w:p w14:paraId="2DC1247C" w14:textId="6487900F" w:rsidR="00F34934" w:rsidRDefault="00F34934" w:rsidP="00F34934">
      <w:pPr>
        <w:pStyle w:val="PanelPara"/>
        <w:numPr>
          <w:ilvl w:val="0"/>
          <w:numId w:val="0"/>
        </w:numPr>
        <w:ind w:left="567"/>
      </w:pPr>
      <w:r>
        <w:t xml:space="preserve">The OPFCC will also focus on diligent, financially sound management of our assets and will use transparency and audit to gain assurance that public money is spent wisely. </w:t>
      </w:r>
    </w:p>
    <w:p w14:paraId="7F32841E" w14:textId="4584DFE3" w:rsidR="00F34934" w:rsidRDefault="00F34934" w:rsidP="00B366DB">
      <w:pPr>
        <w:pStyle w:val="PanelPara"/>
        <w:numPr>
          <w:ilvl w:val="0"/>
          <w:numId w:val="0"/>
        </w:numPr>
        <w:ind w:left="567"/>
      </w:pPr>
      <w:r>
        <w:t xml:space="preserve">Whilst I am very clear that they must remain two distinct operationally independent services, I will also challenge the Chief Officers to maximise the scope for collaboration with each other and partnerships with the full range of bodies who can impact public safety. </w:t>
      </w:r>
      <w:r>
        <w:lastRenderedPageBreak/>
        <w:t>Northamptonshire has been at the leading edge of emergency service collaboration, and I want to explore how we can work even more e</w:t>
      </w:r>
      <w:r w:rsidR="00B366DB">
        <w:t>ffi</w:t>
      </w:r>
      <w:r>
        <w:t xml:space="preserve">ciently together, as well as better serving the vulnerable in areas such a modern slavery or domestic abuse. </w:t>
      </w:r>
    </w:p>
    <w:p w14:paraId="1D246ED1" w14:textId="39B1C88E" w:rsidR="00571831" w:rsidRDefault="00F34934" w:rsidP="00B366DB">
      <w:pPr>
        <w:pStyle w:val="PanelPara"/>
        <w:numPr>
          <w:ilvl w:val="0"/>
          <w:numId w:val="0"/>
        </w:numPr>
        <w:ind w:left="567"/>
      </w:pPr>
      <w:r>
        <w:t>I want to see our emergency services involved in great collaborative work at the local level through parishes and local area partnerships. And when it comes to our estate, I want to see high quality, modern facilities for our st</w:t>
      </w:r>
      <w:r w:rsidR="00B366DB">
        <w:t>aff</w:t>
      </w:r>
      <w:r>
        <w:t xml:space="preserve"> that are accessible to the public, where possible, or which play an active role in the</w:t>
      </w:r>
      <w:r w:rsidR="00B366DB">
        <w:t xml:space="preserve"> </w:t>
      </w:r>
      <w:r>
        <w:t>community</w:t>
      </w:r>
      <w:r w:rsidR="00B366DB">
        <w:t>.</w:t>
      </w:r>
    </w:p>
    <w:p w14:paraId="3BF818F6" w14:textId="77777777" w:rsidR="00B366DB" w:rsidRPr="00526D9C" w:rsidRDefault="00B366DB" w:rsidP="00B366DB">
      <w:pPr>
        <w:pStyle w:val="PanelPara"/>
        <w:numPr>
          <w:ilvl w:val="0"/>
          <w:numId w:val="0"/>
        </w:numPr>
        <w:ind w:left="567"/>
      </w:pPr>
      <w:r w:rsidRPr="00526D9C">
        <w:t>The precept proposal will enable:</w:t>
      </w:r>
    </w:p>
    <w:p w14:paraId="5B862391" w14:textId="68A5D580" w:rsidR="0054520F" w:rsidRDefault="0054520F" w:rsidP="0054520F">
      <w:pPr>
        <w:pStyle w:val="PanelPara"/>
        <w:numPr>
          <w:ilvl w:val="1"/>
          <w:numId w:val="6"/>
        </w:numPr>
      </w:pPr>
      <w:r>
        <w:t>As above, additional investments in the Customer Services Team in the OPFCC to enhance learning from community complaints and feedback.</w:t>
      </w:r>
    </w:p>
    <w:p w14:paraId="0D27691C" w14:textId="17FCE266" w:rsidR="00B366DB" w:rsidRDefault="00B366DB" w:rsidP="00CC0A00">
      <w:pPr>
        <w:pStyle w:val="PanelPara"/>
        <w:numPr>
          <w:ilvl w:val="1"/>
          <w:numId w:val="6"/>
        </w:numPr>
      </w:pPr>
      <w:r>
        <w:t>Continued funding and investment in a programme of internal audit and the Joint Independent Audit Committee.</w:t>
      </w:r>
    </w:p>
    <w:p w14:paraId="0D1B7C71" w14:textId="3DAEE45D" w:rsidR="00B366DB" w:rsidRPr="00526D9C" w:rsidRDefault="00B366DB" w:rsidP="00CC0A00">
      <w:pPr>
        <w:pStyle w:val="PanelPara"/>
        <w:numPr>
          <w:ilvl w:val="1"/>
          <w:numId w:val="6"/>
        </w:numPr>
      </w:pPr>
      <w:r>
        <w:t xml:space="preserve">Continued investment in Enabling Services across Police and Fire.  </w:t>
      </w:r>
      <w:r w:rsidR="00361AE9">
        <w:t>This</w:t>
      </w:r>
      <w:r>
        <w:t xml:space="preserve"> includes resources in the Commercial Team that </w:t>
      </w:r>
      <w:r w:rsidR="00361AE9">
        <w:t>focusses on more than just compliant procurement – they also deliver on sustainability, social value and value-for-money.</w:t>
      </w:r>
    </w:p>
    <w:bookmarkEnd w:id="6"/>
    <w:p w14:paraId="7197063A" w14:textId="7609E2D7" w:rsidR="007B2C90" w:rsidRDefault="007B2C90">
      <w:pPr>
        <w:spacing w:line="240" w:lineRule="auto"/>
        <w:rPr>
          <w:rFonts w:asciiTheme="minorHAnsi" w:hAnsiTheme="minorHAnsi" w:cstheme="minorHAnsi"/>
          <w:b/>
          <w:sz w:val="24"/>
          <w:szCs w:val="24"/>
        </w:rPr>
      </w:pPr>
    </w:p>
    <w:p w14:paraId="55B5123C" w14:textId="56F4F741" w:rsidR="00A16B65" w:rsidRDefault="00FC4407" w:rsidP="00141D16">
      <w:pPr>
        <w:pStyle w:val="PanelHeading"/>
      </w:pPr>
      <w:r>
        <w:t xml:space="preserve">PROVISIONAL </w:t>
      </w:r>
      <w:r w:rsidRPr="00C23A89">
        <w:t>POLICE GRANT SETTLEMENT</w:t>
      </w:r>
      <w:r>
        <w:t xml:space="preserve"> 2025/26</w:t>
      </w:r>
    </w:p>
    <w:p w14:paraId="2ACEF4ED" w14:textId="6C2733A4" w:rsidR="007B2C90" w:rsidRPr="00C23A89" w:rsidRDefault="007B2C90" w:rsidP="007B2C90">
      <w:pPr>
        <w:pStyle w:val="PanelPara"/>
      </w:pPr>
      <w:r>
        <w:t>A breakdown of anticipated grant funding and proposed precept funding compared to the previous year for Northamptonshire is as follows:</w:t>
      </w:r>
    </w:p>
    <w:tbl>
      <w:tblPr>
        <w:tblW w:w="6200" w:type="dxa"/>
        <w:tblInd w:w="562" w:type="dxa"/>
        <w:tblLook w:val="04A0" w:firstRow="1" w:lastRow="0" w:firstColumn="1" w:lastColumn="0" w:noHBand="0" w:noVBand="1"/>
      </w:tblPr>
      <w:tblGrid>
        <w:gridCol w:w="1240"/>
        <w:gridCol w:w="3720"/>
        <w:gridCol w:w="1240"/>
      </w:tblGrid>
      <w:tr w:rsidR="00AE75DF" w:rsidRPr="00AE75DF" w14:paraId="7A9C076B" w14:textId="77777777" w:rsidTr="00AE75DF">
        <w:trPr>
          <w:trHeight w:val="630"/>
        </w:trPr>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7B0B9E" w14:textId="77777777" w:rsidR="00AE75DF" w:rsidRPr="00AE75DF" w:rsidRDefault="00AE75DF" w:rsidP="00AE75DF">
            <w:pPr>
              <w:spacing w:line="240" w:lineRule="auto"/>
              <w:jc w:val="center"/>
              <w:rPr>
                <w:rFonts w:eastAsia="Times New Roman" w:cs="Calibri"/>
                <w:b/>
                <w:bCs/>
                <w:color w:val="000000"/>
                <w:sz w:val="24"/>
                <w:szCs w:val="24"/>
                <w:lang w:eastAsia="en-GB"/>
              </w:rPr>
            </w:pPr>
            <w:r w:rsidRPr="00AE75DF">
              <w:rPr>
                <w:rFonts w:eastAsia="Times New Roman" w:cs="Calibri"/>
                <w:b/>
                <w:bCs/>
                <w:color w:val="000000"/>
                <w:sz w:val="24"/>
                <w:szCs w:val="24"/>
                <w:lang w:eastAsia="en-GB"/>
              </w:rPr>
              <w:t>2024/25</w:t>
            </w:r>
            <w:r w:rsidRPr="00AE75DF">
              <w:rPr>
                <w:rFonts w:eastAsia="Times New Roman" w:cs="Calibri"/>
                <w:b/>
                <w:bCs/>
                <w:color w:val="000000"/>
                <w:sz w:val="24"/>
                <w:szCs w:val="24"/>
                <w:lang w:eastAsia="en-GB"/>
              </w:rPr>
              <w:br/>
              <w:t>£m</w:t>
            </w:r>
          </w:p>
        </w:tc>
        <w:tc>
          <w:tcPr>
            <w:tcW w:w="3720" w:type="dxa"/>
            <w:tcBorders>
              <w:top w:val="single" w:sz="4" w:space="0" w:color="auto"/>
              <w:left w:val="nil"/>
              <w:bottom w:val="single" w:sz="4" w:space="0" w:color="auto"/>
              <w:right w:val="single" w:sz="4" w:space="0" w:color="auto"/>
            </w:tcBorders>
            <w:shd w:val="clear" w:color="000000" w:fill="FFFFFF"/>
            <w:noWrap/>
            <w:vAlign w:val="center"/>
            <w:hideMark/>
          </w:tcPr>
          <w:p w14:paraId="7C7980FD" w14:textId="77777777" w:rsidR="00AE75DF" w:rsidRPr="00AE75DF" w:rsidRDefault="00AE75DF" w:rsidP="00AE75DF">
            <w:pPr>
              <w:spacing w:line="240" w:lineRule="auto"/>
              <w:rPr>
                <w:rFonts w:eastAsia="Times New Roman" w:cs="Calibri"/>
                <w:b/>
                <w:bCs/>
                <w:color w:val="000000"/>
                <w:sz w:val="24"/>
                <w:szCs w:val="24"/>
                <w:lang w:eastAsia="en-GB"/>
              </w:rPr>
            </w:pPr>
            <w:r w:rsidRPr="00AE75DF">
              <w:rPr>
                <w:rFonts w:eastAsia="Times New Roman" w:cs="Calibri"/>
                <w:b/>
                <w:bCs/>
                <w:color w:val="000000"/>
                <w:sz w:val="24"/>
                <w:szCs w:val="24"/>
                <w:lang w:eastAsia="en-GB"/>
              </w:rPr>
              <w:t>Funding</w:t>
            </w:r>
          </w:p>
        </w:tc>
        <w:tc>
          <w:tcPr>
            <w:tcW w:w="1240" w:type="dxa"/>
            <w:tcBorders>
              <w:top w:val="single" w:sz="4" w:space="0" w:color="auto"/>
              <w:left w:val="nil"/>
              <w:bottom w:val="single" w:sz="4" w:space="0" w:color="auto"/>
              <w:right w:val="single" w:sz="4" w:space="0" w:color="auto"/>
            </w:tcBorders>
            <w:shd w:val="clear" w:color="000000" w:fill="DDEBF7"/>
            <w:vAlign w:val="center"/>
            <w:hideMark/>
          </w:tcPr>
          <w:p w14:paraId="5C566CE2" w14:textId="77777777" w:rsidR="00AE75DF" w:rsidRPr="00AE75DF" w:rsidRDefault="00AE75DF" w:rsidP="00AE75DF">
            <w:pPr>
              <w:spacing w:line="240" w:lineRule="auto"/>
              <w:jc w:val="center"/>
              <w:rPr>
                <w:rFonts w:eastAsia="Times New Roman" w:cs="Calibri"/>
                <w:b/>
                <w:bCs/>
                <w:color w:val="000000"/>
                <w:sz w:val="24"/>
                <w:szCs w:val="24"/>
                <w:lang w:eastAsia="en-GB"/>
              </w:rPr>
            </w:pPr>
            <w:r w:rsidRPr="00AE75DF">
              <w:rPr>
                <w:rFonts w:eastAsia="Times New Roman" w:cs="Calibri"/>
                <w:b/>
                <w:bCs/>
                <w:color w:val="000000"/>
                <w:sz w:val="24"/>
                <w:szCs w:val="24"/>
                <w:lang w:eastAsia="en-GB"/>
              </w:rPr>
              <w:t>2025/26</w:t>
            </w:r>
            <w:r w:rsidRPr="00AE75DF">
              <w:rPr>
                <w:rFonts w:eastAsia="Times New Roman" w:cs="Calibri"/>
                <w:b/>
                <w:bCs/>
                <w:color w:val="000000"/>
                <w:sz w:val="24"/>
                <w:szCs w:val="24"/>
                <w:lang w:eastAsia="en-GB"/>
              </w:rPr>
              <w:br/>
              <w:t>£m</w:t>
            </w:r>
          </w:p>
        </w:tc>
      </w:tr>
      <w:tr w:rsidR="00AE75DF" w:rsidRPr="00AE75DF" w14:paraId="1F53FD53" w14:textId="77777777" w:rsidTr="00AE75DF">
        <w:trPr>
          <w:trHeight w:val="315"/>
        </w:trPr>
        <w:tc>
          <w:tcPr>
            <w:tcW w:w="1240" w:type="dxa"/>
            <w:tcBorders>
              <w:top w:val="nil"/>
              <w:left w:val="single" w:sz="4" w:space="0" w:color="auto"/>
              <w:bottom w:val="nil"/>
              <w:right w:val="single" w:sz="4" w:space="0" w:color="auto"/>
            </w:tcBorders>
            <w:shd w:val="clear" w:color="000000" w:fill="FFFFFF"/>
            <w:noWrap/>
            <w:vAlign w:val="bottom"/>
            <w:hideMark/>
          </w:tcPr>
          <w:p w14:paraId="4ED59499"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86.809</w:t>
            </w:r>
          </w:p>
        </w:tc>
        <w:tc>
          <w:tcPr>
            <w:tcW w:w="3720" w:type="dxa"/>
            <w:tcBorders>
              <w:top w:val="nil"/>
              <w:left w:val="nil"/>
              <w:bottom w:val="nil"/>
              <w:right w:val="single" w:sz="4" w:space="0" w:color="auto"/>
            </w:tcBorders>
            <w:shd w:val="clear" w:color="000000" w:fill="FFFFFF"/>
            <w:noWrap/>
            <w:vAlign w:val="bottom"/>
            <w:hideMark/>
          </w:tcPr>
          <w:p w14:paraId="72B28DD1" w14:textId="77777777" w:rsidR="00AE75DF" w:rsidRPr="00AE75DF" w:rsidRDefault="00AE75DF" w:rsidP="00AE75DF">
            <w:pPr>
              <w:spacing w:line="240" w:lineRule="auto"/>
              <w:rPr>
                <w:rFonts w:eastAsia="Times New Roman" w:cs="Calibri"/>
                <w:color w:val="000000"/>
                <w:sz w:val="24"/>
                <w:szCs w:val="24"/>
                <w:lang w:eastAsia="en-GB"/>
              </w:rPr>
            </w:pPr>
            <w:r w:rsidRPr="00AE75DF">
              <w:rPr>
                <w:rFonts w:eastAsia="Times New Roman" w:cs="Calibri"/>
                <w:color w:val="000000"/>
                <w:sz w:val="24"/>
                <w:szCs w:val="24"/>
                <w:lang w:eastAsia="en-GB"/>
              </w:rPr>
              <w:t>Core Police Grant</w:t>
            </w:r>
          </w:p>
        </w:tc>
        <w:tc>
          <w:tcPr>
            <w:tcW w:w="1240" w:type="dxa"/>
            <w:tcBorders>
              <w:top w:val="nil"/>
              <w:left w:val="nil"/>
              <w:bottom w:val="nil"/>
              <w:right w:val="single" w:sz="4" w:space="0" w:color="auto"/>
            </w:tcBorders>
            <w:shd w:val="clear" w:color="000000" w:fill="DDEBF7"/>
            <w:noWrap/>
            <w:vAlign w:val="bottom"/>
            <w:hideMark/>
          </w:tcPr>
          <w:p w14:paraId="46F77BC5"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90.042</w:t>
            </w:r>
          </w:p>
        </w:tc>
      </w:tr>
      <w:tr w:rsidR="00AE75DF" w:rsidRPr="00AE75DF" w14:paraId="5F82F958" w14:textId="77777777" w:rsidTr="00AE75DF">
        <w:trPr>
          <w:trHeight w:val="315"/>
        </w:trPr>
        <w:tc>
          <w:tcPr>
            <w:tcW w:w="1240" w:type="dxa"/>
            <w:tcBorders>
              <w:top w:val="nil"/>
              <w:left w:val="single" w:sz="4" w:space="0" w:color="auto"/>
              <w:bottom w:val="nil"/>
              <w:right w:val="single" w:sz="4" w:space="0" w:color="auto"/>
            </w:tcBorders>
            <w:shd w:val="clear" w:color="000000" w:fill="FFFFFF"/>
            <w:noWrap/>
            <w:vAlign w:val="bottom"/>
            <w:hideMark/>
          </w:tcPr>
          <w:p w14:paraId="742A1AF0"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4.054</w:t>
            </w:r>
          </w:p>
        </w:tc>
        <w:tc>
          <w:tcPr>
            <w:tcW w:w="3720" w:type="dxa"/>
            <w:tcBorders>
              <w:top w:val="nil"/>
              <w:left w:val="nil"/>
              <w:bottom w:val="nil"/>
              <w:right w:val="single" w:sz="4" w:space="0" w:color="auto"/>
            </w:tcBorders>
            <w:shd w:val="clear" w:color="000000" w:fill="FFFFFF"/>
            <w:noWrap/>
            <w:vAlign w:val="bottom"/>
            <w:hideMark/>
          </w:tcPr>
          <w:p w14:paraId="0E585576" w14:textId="77777777" w:rsidR="00AE75DF" w:rsidRPr="00AE75DF" w:rsidRDefault="00AE75DF" w:rsidP="00AE75DF">
            <w:pPr>
              <w:spacing w:line="240" w:lineRule="auto"/>
              <w:rPr>
                <w:rFonts w:eastAsia="Times New Roman" w:cs="Calibri"/>
                <w:color w:val="000000"/>
                <w:sz w:val="24"/>
                <w:szCs w:val="24"/>
                <w:lang w:eastAsia="en-GB"/>
              </w:rPr>
            </w:pPr>
            <w:r w:rsidRPr="00AE75DF">
              <w:rPr>
                <w:rFonts w:eastAsia="Times New Roman" w:cs="Calibri"/>
                <w:color w:val="000000"/>
                <w:sz w:val="24"/>
                <w:szCs w:val="24"/>
                <w:lang w:eastAsia="en-GB"/>
              </w:rPr>
              <w:t>Officer Maintenance (Uplift) Grant</w:t>
            </w:r>
          </w:p>
        </w:tc>
        <w:tc>
          <w:tcPr>
            <w:tcW w:w="1240" w:type="dxa"/>
            <w:tcBorders>
              <w:top w:val="nil"/>
              <w:left w:val="nil"/>
              <w:bottom w:val="nil"/>
              <w:right w:val="single" w:sz="4" w:space="0" w:color="auto"/>
            </w:tcBorders>
            <w:shd w:val="clear" w:color="000000" w:fill="DDEBF7"/>
            <w:noWrap/>
            <w:vAlign w:val="bottom"/>
            <w:hideMark/>
          </w:tcPr>
          <w:p w14:paraId="6DD35579"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3.338</w:t>
            </w:r>
          </w:p>
        </w:tc>
      </w:tr>
      <w:tr w:rsidR="00AE75DF" w:rsidRPr="00AE75DF" w14:paraId="3DE12CD5" w14:textId="77777777" w:rsidTr="00AE75DF">
        <w:trPr>
          <w:trHeight w:val="315"/>
        </w:trPr>
        <w:tc>
          <w:tcPr>
            <w:tcW w:w="1240" w:type="dxa"/>
            <w:tcBorders>
              <w:top w:val="nil"/>
              <w:left w:val="single" w:sz="4" w:space="0" w:color="auto"/>
              <w:bottom w:val="nil"/>
              <w:right w:val="single" w:sz="4" w:space="0" w:color="auto"/>
            </w:tcBorders>
            <w:shd w:val="clear" w:color="000000" w:fill="FFFFFF"/>
            <w:noWrap/>
            <w:vAlign w:val="bottom"/>
            <w:hideMark/>
          </w:tcPr>
          <w:p w14:paraId="3EA47E82"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1.008</w:t>
            </w:r>
          </w:p>
        </w:tc>
        <w:tc>
          <w:tcPr>
            <w:tcW w:w="3720" w:type="dxa"/>
            <w:tcBorders>
              <w:top w:val="nil"/>
              <w:left w:val="nil"/>
              <w:bottom w:val="nil"/>
              <w:right w:val="single" w:sz="4" w:space="0" w:color="auto"/>
            </w:tcBorders>
            <w:shd w:val="clear" w:color="000000" w:fill="FFFFFF"/>
            <w:noWrap/>
            <w:vAlign w:val="bottom"/>
            <w:hideMark/>
          </w:tcPr>
          <w:p w14:paraId="47961D63" w14:textId="77777777" w:rsidR="00AE75DF" w:rsidRPr="00AE75DF" w:rsidRDefault="00AE75DF" w:rsidP="00AE75DF">
            <w:pPr>
              <w:spacing w:line="240" w:lineRule="auto"/>
              <w:rPr>
                <w:rFonts w:eastAsia="Times New Roman" w:cs="Calibri"/>
                <w:color w:val="000000"/>
                <w:sz w:val="24"/>
                <w:szCs w:val="24"/>
                <w:lang w:eastAsia="en-GB"/>
              </w:rPr>
            </w:pPr>
            <w:r w:rsidRPr="00AE75DF">
              <w:rPr>
                <w:rFonts w:eastAsia="Times New Roman" w:cs="Calibri"/>
                <w:color w:val="000000"/>
                <w:sz w:val="24"/>
                <w:szCs w:val="24"/>
                <w:lang w:eastAsia="en-GB"/>
              </w:rPr>
              <w:t>Additional Officer Uplift Grant</w:t>
            </w:r>
          </w:p>
        </w:tc>
        <w:tc>
          <w:tcPr>
            <w:tcW w:w="1240" w:type="dxa"/>
            <w:tcBorders>
              <w:top w:val="nil"/>
              <w:left w:val="nil"/>
              <w:bottom w:val="nil"/>
              <w:right w:val="single" w:sz="4" w:space="0" w:color="auto"/>
            </w:tcBorders>
            <w:shd w:val="clear" w:color="000000" w:fill="DDEBF7"/>
            <w:noWrap/>
            <w:vAlign w:val="bottom"/>
            <w:hideMark/>
          </w:tcPr>
          <w:p w14:paraId="64F248D6"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1.633</w:t>
            </w:r>
          </w:p>
        </w:tc>
      </w:tr>
      <w:tr w:rsidR="00AE75DF" w:rsidRPr="00AE75DF" w14:paraId="22D1D8B3" w14:textId="77777777" w:rsidTr="00AE75DF">
        <w:trPr>
          <w:trHeight w:val="315"/>
        </w:trPr>
        <w:tc>
          <w:tcPr>
            <w:tcW w:w="1240" w:type="dxa"/>
            <w:tcBorders>
              <w:top w:val="nil"/>
              <w:left w:val="single" w:sz="4" w:space="0" w:color="auto"/>
              <w:bottom w:val="nil"/>
              <w:right w:val="single" w:sz="4" w:space="0" w:color="auto"/>
            </w:tcBorders>
            <w:shd w:val="clear" w:color="000000" w:fill="FFFFFF"/>
            <w:noWrap/>
            <w:vAlign w:val="bottom"/>
            <w:hideMark/>
          </w:tcPr>
          <w:p w14:paraId="0281C139"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6.644</w:t>
            </w:r>
          </w:p>
        </w:tc>
        <w:tc>
          <w:tcPr>
            <w:tcW w:w="3720" w:type="dxa"/>
            <w:tcBorders>
              <w:top w:val="nil"/>
              <w:left w:val="nil"/>
              <w:bottom w:val="nil"/>
              <w:right w:val="single" w:sz="4" w:space="0" w:color="auto"/>
            </w:tcBorders>
            <w:shd w:val="clear" w:color="000000" w:fill="FFFFFF"/>
            <w:noWrap/>
            <w:vAlign w:val="bottom"/>
            <w:hideMark/>
          </w:tcPr>
          <w:p w14:paraId="46DE5304" w14:textId="77777777" w:rsidR="00AE75DF" w:rsidRPr="00AE75DF" w:rsidRDefault="00AE75DF" w:rsidP="00AE75DF">
            <w:pPr>
              <w:spacing w:line="240" w:lineRule="auto"/>
              <w:rPr>
                <w:rFonts w:eastAsia="Times New Roman" w:cs="Calibri"/>
                <w:color w:val="000000"/>
                <w:sz w:val="24"/>
                <w:szCs w:val="24"/>
                <w:lang w:eastAsia="en-GB"/>
              </w:rPr>
            </w:pPr>
            <w:r w:rsidRPr="00AE75DF">
              <w:rPr>
                <w:rFonts w:eastAsia="Times New Roman" w:cs="Calibri"/>
                <w:color w:val="000000"/>
                <w:sz w:val="24"/>
                <w:szCs w:val="24"/>
                <w:lang w:eastAsia="en-GB"/>
              </w:rPr>
              <w:t>Legacy Grants</w:t>
            </w:r>
          </w:p>
        </w:tc>
        <w:tc>
          <w:tcPr>
            <w:tcW w:w="1240" w:type="dxa"/>
            <w:tcBorders>
              <w:top w:val="nil"/>
              <w:left w:val="nil"/>
              <w:bottom w:val="nil"/>
              <w:right w:val="single" w:sz="4" w:space="0" w:color="auto"/>
            </w:tcBorders>
            <w:shd w:val="clear" w:color="000000" w:fill="DDEBF7"/>
            <w:noWrap/>
            <w:vAlign w:val="bottom"/>
            <w:hideMark/>
          </w:tcPr>
          <w:p w14:paraId="5A2399D8"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6.644</w:t>
            </w:r>
          </w:p>
        </w:tc>
      </w:tr>
      <w:tr w:rsidR="00AE75DF" w:rsidRPr="00AE75DF" w14:paraId="20179549" w14:textId="77777777" w:rsidTr="00AE75DF">
        <w:trPr>
          <w:trHeight w:val="315"/>
        </w:trPr>
        <w:tc>
          <w:tcPr>
            <w:tcW w:w="1240" w:type="dxa"/>
            <w:tcBorders>
              <w:top w:val="nil"/>
              <w:left w:val="single" w:sz="4" w:space="0" w:color="auto"/>
              <w:bottom w:val="nil"/>
              <w:right w:val="single" w:sz="4" w:space="0" w:color="auto"/>
            </w:tcBorders>
            <w:shd w:val="clear" w:color="000000" w:fill="FFFFFF"/>
            <w:noWrap/>
            <w:vAlign w:val="bottom"/>
            <w:hideMark/>
          </w:tcPr>
          <w:p w14:paraId="67730DB6"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4.079</w:t>
            </w:r>
          </w:p>
        </w:tc>
        <w:tc>
          <w:tcPr>
            <w:tcW w:w="3720" w:type="dxa"/>
            <w:tcBorders>
              <w:top w:val="nil"/>
              <w:left w:val="nil"/>
              <w:bottom w:val="nil"/>
              <w:right w:val="single" w:sz="4" w:space="0" w:color="auto"/>
            </w:tcBorders>
            <w:shd w:val="clear" w:color="000000" w:fill="FFFFFF"/>
            <w:noWrap/>
            <w:vAlign w:val="bottom"/>
            <w:hideMark/>
          </w:tcPr>
          <w:p w14:paraId="43E1F248" w14:textId="77777777" w:rsidR="00AE75DF" w:rsidRPr="00AE75DF" w:rsidRDefault="00AE75DF" w:rsidP="00AE75DF">
            <w:pPr>
              <w:spacing w:line="240" w:lineRule="auto"/>
              <w:rPr>
                <w:rFonts w:eastAsia="Times New Roman" w:cs="Calibri"/>
                <w:color w:val="000000"/>
                <w:sz w:val="24"/>
                <w:szCs w:val="24"/>
                <w:lang w:eastAsia="en-GB"/>
              </w:rPr>
            </w:pPr>
            <w:r w:rsidRPr="00AE75DF">
              <w:rPr>
                <w:rFonts w:eastAsia="Times New Roman" w:cs="Calibri"/>
                <w:color w:val="000000"/>
                <w:sz w:val="24"/>
                <w:szCs w:val="24"/>
                <w:lang w:eastAsia="en-GB"/>
              </w:rPr>
              <w:t>Pension Grant</w:t>
            </w:r>
          </w:p>
        </w:tc>
        <w:tc>
          <w:tcPr>
            <w:tcW w:w="1240" w:type="dxa"/>
            <w:tcBorders>
              <w:top w:val="nil"/>
              <w:left w:val="nil"/>
              <w:bottom w:val="nil"/>
              <w:right w:val="single" w:sz="4" w:space="0" w:color="auto"/>
            </w:tcBorders>
            <w:shd w:val="clear" w:color="000000" w:fill="DDEBF7"/>
            <w:noWrap/>
            <w:vAlign w:val="bottom"/>
            <w:hideMark/>
          </w:tcPr>
          <w:p w14:paraId="4E1894F7"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3.824</w:t>
            </w:r>
          </w:p>
        </w:tc>
      </w:tr>
      <w:tr w:rsidR="00AE75DF" w:rsidRPr="00AE75DF" w14:paraId="41D6FC61" w14:textId="77777777" w:rsidTr="00AE75DF">
        <w:trPr>
          <w:trHeight w:val="315"/>
        </w:trPr>
        <w:tc>
          <w:tcPr>
            <w:tcW w:w="1240" w:type="dxa"/>
            <w:tcBorders>
              <w:top w:val="nil"/>
              <w:left w:val="single" w:sz="4" w:space="0" w:color="auto"/>
              <w:bottom w:val="nil"/>
              <w:right w:val="single" w:sz="4" w:space="0" w:color="auto"/>
            </w:tcBorders>
            <w:shd w:val="clear" w:color="000000" w:fill="FFFFFF"/>
            <w:noWrap/>
            <w:vAlign w:val="bottom"/>
            <w:hideMark/>
          </w:tcPr>
          <w:p w14:paraId="43C6C4EC"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w:t>
            </w:r>
          </w:p>
        </w:tc>
        <w:tc>
          <w:tcPr>
            <w:tcW w:w="3720" w:type="dxa"/>
            <w:tcBorders>
              <w:top w:val="nil"/>
              <w:left w:val="nil"/>
              <w:bottom w:val="nil"/>
              <w:right w:val="single" w:sz="4" w:space="0" w:color="auto"/>
            </w:tcBorders>
            <w:shd w:val="clear" w:color="000000" w:fill="FFFFFF"/>
            <w:noWrap/>
            <w:vAlign w:val="bottom"/>
            <w:hideMark/>
          </w:tcPr>
          <w:p w14:paraId="3B7D5C70" w14:textId="77777777" w:rsidR="00AE75DF" w:rsidRPr="00AE75DF" w:rsidRDefault="00AE75DF" w:rsidP="00AE75DF">
            <w:pPr>
              <w:spacing w:line="240" w:lineRule="auto"/>
              <w:rPr>
                <w:rFonts w:eastAsia="Times New Roman" w:cs="Calibri"/>
                <w:color w:val="000000"/>
                <w:sz w:val="24"/>
                <w:szCs w:val="24"/>
                <w:lang w:eastAsia="en-GB"/>
              </w:rPr>
            </w:pPr>
            <w:r w:rsidRPr="00AE75DF">
              <w:rPr>
                <w:rFonts w:eastAsia="Times New Roman" w:cs="Calibri"/>
                <w:color w:val="000000"/>
                <w:sz w:val="24"/>
                <w:szCs w:val="24"/>
                <w:lang w:eastAsia="en-GB"/>
              </w:rPr>
              <w:t>National Insurance Reimbursement</w:t>
            </w:r>
          </w:p>
        </w:tc>
        <w:tc>
          <w:tcPr>
            <w:tcW w:w="1240" w:type="dxa"/>
            <w:tcBorders>
              <w:top w:val="nil"/>
              <w:left w:val="nil"/>
              <w:bottom w:val="nil"/>
              <w:right w:val="single" w:sz="4" w:space="0" w:color="auto"/>
            </w:tcBorders>
            <w:shd w:val="clear" w:color="000000" w:fill="DDEBF7"/>
            <w:noWrap/>
            <w:vAlign w:val="bottom"/>
            <w:hideMark/>
          </w:tcPr>
          <w:p w14:paraId="53501232"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2.500</w:t>
            </w:r>
          </w:p>
        </w:tc>
      </w:tr>
      <w:tr w:rsidR="00AE75DF" w:rsidRPr="00AE75DF" w14:paraId="4B7C3A59" w14:textId="77777777" w:rsidTr="00AE75DF">
        <w:trPr>
          <w:trHeight w:val="315"/>
        </w:trPr>
        <w:tc>
          <w:tcPr>
            <w:tcW w:w="1240" w:type="dxa"/>
            <w:tcBorders>
              <w:top w:val="nil"/>
              <w:left w:val="single" w:sz="4" w:space="0" w:color="auto"/>
              <w:bottom w:val="nil"/>
              <w:right w:val="single" w:sz="4" w:space="0" w:color="auto"/>
            </w:tcBorders>
            <w:shd w:val="clear" w:color="000000" w:fill="FFFFFF"/>
            <w:noWrap/>
            <w:vAlign w:val="bottom"/>
            <w:hideMark/>
          </w:tcPr>
          <w:p w14:paraId="6F9CE483"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w:t>
            </w:r>
          </w:p>
        </w:tc>
        <w:tc>
          <w:tcPr>
            <w:tcW w:w="3720" w:type="dxa"/>
            <w:tcBorders>
              <w:top w:val="nil"/>
              <w:left w:val="nil"/>
              <w:bottom w:val="nil"/>
              <w:right w:val="single" w:sz="4" w:space="0" w:color="auto"/>
            </w:tcBorders>
            <w:shd w:val="clear" w:color="000000" w:fill="FFFFFF"/>
            <w:noWrap/>
            <w:vAlign w:val="bottom"/>
            <w:hideMark/>
          </w:tcPr>
          <w:p w14:paraId="70F7562B" w14:textId="77777777" w:rsidR="00AE75DF" w:rsidRPr="00AE75DF" w:rsidRDefault="00AE75DF" w:rsidP="00AE75DF">
            <w:pPr>
              <w:spacing w:line="240" w:lineRule="auto"/>
              <w:rPr>
                <w:rFonts w:eastAsia="Times New Roman" w:cs="Calibri"/>
                <w:color w:val="000000"/>
                <w:sz w:val="24"/>
                <w:szCs w:val="24"/>
                <w:lang w:eastAsia="en-GB"/>
              </w:rPr>
            </w:pPr>
            <w:r w:rsidRPr="00AE75DF">
              <w:rPr>
                <w:rFonts w:eastAsia="Times New Roman" w:cs="Calibri"/>
                <w:color w:val="000000"/>
                <w:sz w:val="24"/>
                <w:szCs w:val="24"/>
                <w:lang w:eastAsia="en-GB"/>
              </w:rPr>
              <w:t>Neighbourhood Policing Grant</w:t>
            </w:r>
          </w:p>
        </w:tc>
        <w:tc>
          <w:tcPr>
            <w:tcW w:w="1240" w:type="dxa"/>
            <w:tcBorders>
              <w:top w:val="nil"/>
              <w:left w:val="nil"/>
              <w:bottom w:val="nil"/>
              <w:right w:val="single" w:sz="4" w:space="0" w:color="auto"/>
            </w:tcBorders>
            <w:shd w:val="clear" w:color="000000" w:fill="DDEBF7"/>
            <w:noWrap/>
            <w:vAlign w:val="bottom"/>
            <w:hideMark/>
          </w:tcPr>
          <w:p w14:paraId="5BB1B511"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0.954</w:t>
            </w:r>
          </w:p>
        </w:tc>
      </w:tr>
      <w:tr w:rsidR="00AE75DF" w:rsidRPr="00AE75DF" w14:paraId="24FEB209" w14:textId="77777777" w:rsidTr="00AE75DF">
        <w:trPr>
          <w:trHeight w:val="315"/>
        </w:trPr>
        <w:tc>
          <w:tcPr>
            <w:tcW w:w="1240" w:type="dxa"/>
            <w:tcBorders>
              <w:top w:val="single" w:sz="4" w:space="0" w:color="auto"/>
              <w:left w:val="single" w:sz="4" w:space="0" w:color="auto"/>
              <w:bottom w:val="nil"/>
              <w:right w:val="single" w:sz="4" w:space="0" w:color="auto"/>
            </w:tcBorders>
            <w:shd w:val="clear" w:color="000000" w:fill="FFFFFF"/>
            <w:noWrap/>
            <w:vAlign w:val="bottom"/>
            <w:hideMark/>
          </w:tcPr>
          <w:p w14:paraId="77D734C1" w14:textId="77777777" w:rsidR="00AE75DF" w:rsidRPr="00AE75DF" w:rsidRDefault="00AE75DF" w:rsidP="00AE75DF">
            <w:pPr>
              <w:spacing w:line="240" w:lineRule="auto"/>
              <w:jc w:val="right"/>
              <w:rPr>
                <w:rFonts w:eastAsia="Times New Roman" w:cs="Calibri"/>
                <w:b/>
                <w:bCs/>
                <w:color w:val="000000"/>
                <w:sz w:val="24"/>
                <w:szCs w:val="24"/>
                <w:lang w:eastAsia="en-GB"/>
              </w:rPr>
            </w:pPr>
            <w:r w:rsidRPr="00AE75DF">
              <w:rPr>
                <w:rFonts w:eastAsia="Times New Roman" w:cs="Calibri"/>
                <w:b/>
                <w:bCs/>
                <w:color w:val="000000"/>
                <w:sz w:val="24"/>
                <w:szCs w:val="24"/>
                <w:lang w:eastAsia="en-GB"/>
              </w:rPr>
              <w:t>102.594</w:t>
            </w:r>
          </w:p>
        </w:tc>
        <w:tc>
          <w:tcPr>
            <w:tcW w:w="3720" w:type="dxa"/>
            <w:tcBorders>
              <w:top w:val="single" w:sz="4" w:space="0" w:color="auto"/>
              <w:left w:val="nil"/>
              <w:bottom w:val="nil"/>
              <w:right w:val="single" w:sz="4" w:space="0" w:color="auto"/>
            </w:tcBorders>
            <w:shd w:val="clear" w:color="000000" w:fill="FFFFFF"/>
            <w:noWrap/>
            <w:vAlign w:val="bottom"/>
            <w:hideMark/>
          </w:tcPr>
          <w:p w14:paraId="160FDACF" w14:textId="77777777" w:rsidR="00AE75DF" w:rsidRPr="00AE75DF" w:rsidRDefault="00AE75DF" w:rsidP="00AE75DF">
            <w:pPr>
              <w:spacing w:line="240" w:lineRule="auto"/>
              <w:rPr>
                <w:rFonts w:eastAsia="Times New Roman" w:cs="Calibri"/>
                <w:b/>
                <w:bCs/>
                <w:color w:val="000000"/>
                <w:sz w:val="24"/>
                <w:szCs w:val="24"/>
                <w:lang w:eastAsia="en-GB"/>
              </w:rPr>
            </w:pPr>
            <w:r w:rsidRPr="00AE75DF">
              <w:rPr>
                <w:rFonts w:eastAsia="Times New Roman" w:cs="Calibri"/>
                <w:b/>
                <w:bCs/>
                <w:color w:val="000000"/>
                <w:sz w:val="24"/>
                <w:szCs w:val="24"/>
                <w:lang w:eastAsia="en-GB"/>
              </w:rPr>
              <w:t>Total Grant Funding</w:t>
            </w:r>
          </w:p>
        </w:tc>
        <w:tc>
          <w:tcPr>
            <w:tcW w:w="1240" w:type="dxa"/>
            <w:tcBorders>
              <w:top w:val="single" w:sz="4" w:space="0" w:color="auto"/>
              <w:left w:val="nil"/>
              <w:bottom w:val="nil"/>
              <w:right w:val="single" w:sz="4" w:space="0" w:color="auto"/>
            </w:tcBorders>
            <w:shd w:val="clear" w:color="000000" w:fill="DDEBF7"/>
            <w:noWrap/>
            <w:vAlign w:val="bottom"/>
            <w:hideMark/>
          </w:tcPr>
          <w:p w14:paraId="7949F310" w14:textId="77777777" w:rsidR="00AE75DF" w:rsidRPr="00AE75DF" w:rsidRDefault="00AE75DF" w:rsidP="00AE75DF">
            <w:pPr>
              <w:spacing w:line="240" w:lineRule="auto"/>
              <w:jc w:val="right"/>
              <w:rPr>
                <w:rFonts w:eastAsia="Times New Roman" w:cs="Calibri"/>
                <w:b/>
                <w:bCs/>
                <w:color w:val="000000"/>
                <w:sz w:val="24"/>
                <w:szCs w:val="24"/>
                <w:lang w:eastAsia="en-GB"/>
              </w:rPr>
            </w:pPr>
            <w:r w:rsidRPr="00AE75DF">
              <w:rPr>
                <w:rFonts w:eastAsia="Times New Roman" w:cs="Calibri"/>
                <w:b/>
                <w:bCs/>
                <w:color w:val="000000"/>
                <w:sz w:val="24"/>
                <w:szCs w:val="24"/>
                <w:lang w:eastAsia="en-GB"/>
              </w:rPr>
              <w:t>108.936</w:t>
            </w:r>
          </w:p>
        </w:tc>
      </w:tr>
      <w:tr w:rsidR="00AE75DF" w:rsidRPr="00AE75DF" w14:paraId="110D292B" w14:textId="77777777" w:rsidTr="00AE75DF">
        <w:trPr>
          <w:trHeight w:val="315"/>
        </w:trPr>
        <w:tc>
          <w:tcPr>
            <w:tcW w:w="1240" w:type="dxa"/>
            <w:tcBorders>
              <w:top w:val="nil"/>
              <w:left w:val="single" w:sz="4" w:space="0" w:color="auto"/>
              <w:bottom w:val="nil"/>
              <w:right w:val="single" w:sz="4" w:space="0" w:color="auto"/>
            </w:tcBorders>
            <w:shd w:val="clear" w:color="auto" w:fill="auto"/>
            <w:noWrap/>
            <w:vAlign w:val="bottom"/>
            <w:hideMark/>
          </w:tcPr>
          <w:p w14:paraId="5A00DB9C" w14:textId="77777777" w:rsidR="00AE75DF" w:rsidRPr="00AE75DF" w:rsidRDefault="00AE75DF" w:rsidP="00AE75DF">
            <w:pPr>
              <w:spacing w:line="240" w:lineRule="auto"/>
              <w:rPr>
                <w:rFonts w:eastAsia="Times New Roman" w:cs="Calibri"/>
                <w:color w:val="000000"/>
                <w:sz w:val="24"/>
                <w:szCs w:val="24"/>
                <w:lang w:eastAsia="en-GB"/>
              </w:rPr>
            </w:pPr>
            <w:r w:rsidRPr="00AE75DF">
              <w:rPr>
                <w:rFonts w:eastAsia="Times New Roman" w:cs="Calibri"/>
                <w:color w:val="000000"/>
                <w:sz w:val="24"/>
                <w:szCs w:val="24"/>
                <w:lang w:eastAsia="en-GB"/>
              </w:rPr>
              <w:t> </w:t>
            </w:r>
          </w:p>
        </w:tc>
        <w:tc>
          <w:tcPr>
            <w:tcW w:w="3720" w:type="dxa"/>
            <w:tcBorders>
              <w:top w:val="nil"/>
              <w:left w:val="nil"/>
              <w:bottom w:val="nil"/>
              <w:right w:val="single" w:sz="4" w:space="0" w:color="auto"/>
            </w:tcBorders>
            <w:shd w:val="clear" w:color="auto" w:fill="auto"/>
            <w:noWrap/>
            <w:vAlign w:val="bottom"/>
            <w:hideMark/>
          </w:tcPr>
          <w:p w14:paraId="6DF5CF6E" w14:textId="77777777" w:rsidR="00AE75DF" w:rsidRPr="00AE75DF" w:rsidRDefault="00AE75DF" w:rsidP="00AE75DF">
            <w:pPr>
              <w:spacing w:line="240" w:lineRule="auto"/>
              <w:rPr>
                <w:rFonts w:eastAsia="Times New Roman" w:cs="Calibri"/>
                <w:color w:val="000000"/>
                <w:sz w:val="24"/>
                <w:szCs w:val="24"/>
                <w:lang w:eastAsia="en-GB"/>
              </w:rPr>
            </w:pPr>
            <w:r w:rsidRPr="00AE75DF">
              <w:rPr>
                <w:rFonts w:eastAsia="Times New Roman" w:cs="Calibri"/>
                <w:color w:val="000000"/>
                <w:sz w:val="24"/>
                <w:szCs w:val="24"/>
                <w:lang w:eastAsia="en-GB"/>
              </w:rPr>
              <w:t> </w:t>
            </w:r>
          </w:p>
        </w:tc>
        <w:tc>
          <w:tcPr>
            <w:tcW w:w="1240" w:type="dxa"/>
            <w:tcBorders>
              <w:top w:val="nil"/>
              <w:left w:val="nil"/>
              <w:bottom w:val="nil"/>
              <w:right w:val="single" w:sz="4" w:space="0" w:color="auto"/>
            </w:tcBorders>
            <w:shd w:val="clear" w:color="000000" w:fill="DDEBF7"/>
            <w:noWrap/>
            <w:vAlign w:val="bottom"/>
            <w:hideMark/>
          </w:tcPr>
          <w:p w14:paraId="0A238E0C" w14:textId="77777777" w:rsidR="00AE75DF" w:rsidRPr="00AE75DF" w:rsidRDefault="00AE75DF" w:rsidP="00AE75DF">
            <w:pPr>
              <w:spacing w:line="240" w:lineRule="auto"/>
              <w:rPr>
                <w:rFonts w:eastAsia="Times New Roman" w:cs="Calibri"/>
                <w:color w:val="000000"/>
                <w:sz w:val="24"/>
                <w:szCs w:val="24"/>
                <w:lang w:eastAsia="en-GB"/>
              </w:rPr>
            </w:pPr>
            <w:r w:rsidRPr="00AE75DF">
              <w:rPr>
                <w:rFonts w:eastAsia="Times New Roman" w:cs="Calibri"/>
                <w:color w:val="000000"/>
                <w:sz w:val="24"/>
                <w:szCs w:val="24"/>
                <w:lang w:eastAsia="en-GB"/>
              </w:rPr>
              <w:t> </w:t>
            </w:r>
          </w:p>
        </w:tc>
      </w:tr>
      <w:tr w:rsidR="00AE75DF" w:rsidRPr="00AE75DF" w14:paraId="33A549C3" w14:textId="77777777" w:rsidTr="00AE75DF">
        <w:trPr>
          <w:trHeight w:val="315"/>
        </w:trPr>
        <w:tc>
          <w:tcPr>
            <w:tcW w:w="1240" w:type="dxa"/>
            <w:tcBorders>
              <w:top w:val="nil"/>
              <w:left w:val="single" w:sz="4" w:space="0" w:color="auto"/>
              <w:bottom w:val="nil"/>
              <w:right w:val="single" w:sz="4" w:space="0" w:color="auto"/>
            </w:tcBorders>
            <w:shd w:val="clear" w:color="000000" w:fill="FFFFFF"/>
            <w:noWrap/>
            <w:vAlign w:val="bottom"/>
            <w:hideMark/>
          </w:tcPr>
          <w:p w14:paraId="40F1230C"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79.115</w:t>
            </w:r>
          </w:p>
        </w:tc>
        <w:tc>
          <w:tcPr>
            <w:tcW w:w="3720" w:type="dxa"/>
            <w:tcBorders>
              <w:top w:val="nil"/>
              <w:left w:val="nil"/>
              <w:bottom w:val="nil"/>
              <w:right w:val="single" w:sz="4" w:space="0" w:color="auto"/>
            </w:tcBorders>
            <w:shd w:val="clear" w:color="000000" w:fill="FFFFFF"/>
            <w:noWrap/>
            <w:vAlign w:val="bottom"/>
            <w:hideMark/>
          </w:tcPr>
          <w:p w14:paraId="7DDA67AF" w14:textId="77777777" w:rsidR="00AE75DF" w:rsidRPr="00AE75DF" w:rsidRDefault="00AE75DF" w:rsidP="00AE75DF">
            <w:pPr>
              <w:spacing w:line="240" w:lineRule="auto"/>
              <w:rPr>
                <w:rFonts w:eastAsia="Times New Roman" w:cs="Calibri"/>
                <w:color w:val="000000"/>
                <w:sz w:val="24"/>
                <w:szCs w:val="24"/>
                <w:lang w:eastAsia="en-GB"/>
              </w:rPr>
            </w:pPr>
            <w:r w:rsidRPr="00AE75DF">
              <w:rPr>
                <w:rFonts w:eastAsia="Times New Roman" w:cs="Calibri"/>
                <w:color w:val="000000"/>
                <w:sz w:val="24"/>
                <w:szCs w:val="24"/>
                <w:lang w:eastAsia="en-GB"/>
              </w:rPr>
              <w:t>Precept</w:t>
            </w:r>
          </w:p>
        </w:tc>
        <w:tc>
          <w:tcPr>
            <w:tcW w:w="1240" w:type="dxa"/>
            <w:tcBorders>
              <w:top w:val="nil"/>
              <w:left w:val="nil"/>
              <w:bottom w:val="nil"/>
              <w:right w:val="single" w:sz="4" w:space="0" w:color="auto"/>
            </w:tcBorders>
            <w:shd w:val="clear" w:color="000000" w:fill="DDEBF7"/>
            <w:noWrap/>
            <w:vAlign w:val="bottom"/>
            <w:hideMark/>
          </w:tcPr>
          <w:p w14:paraId="3EC8AD18"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84.406</w:t>
            </w:r>
          </w:p>
        </w:tc>
      </w:tr>
      <w:tr w:rsidR="00AE75DF" w:rsidRPr="00AE75DF" w14:paraId="4DF95696" w14:textId="77777777" w:rsidTr="00AE75DF">
        <w:trPr>
          <w:trHeight w:val="315"/>
        </w:trPr>
        <w:tc>
          <w:tcPr>
            <w:tcW w:w="1240" w:type="dxa"/>
            <w:tcBorders>
              <w:top w:val="nil"/>
              <w:left w:val="single" w:sz="4" w:space="0" w:color="auto"/>
              <w:bottom w:val="nil"/>
              <w:right w:val="single" w:sz="4" w:space="0" w:color="auto"/>
            </w:tcBorders>
            <w:shd w:val="clear" w:color="000000" w:fill="FFFFFF"/>
            <w:noWrap/>
            <w:vAlign w:val="bottom"/>
            <w:hideMark/>
          </w:tcPr>
          <w:p w14:paraId="670B81B9"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1.259</w:t>
            </w:r>
          </w:p>
        </w:tc>
        <w:tc>
          <w:tcPr>
            <w:tcW w:w="3720" w:type="dxa"/>
            <w:tcBorders>
              <w:top w:val="nil"/>
              <w:left w:val="nil"/>
              <w:bottom w:val="nil"/>
              <w:right w:val="single" w:sz="4" w:space="0" w:color="auto"/>
            </w:tcBorders>
            <w:shd w:val="clear" w:color="000000" w:fill="FFFFFF"/>
            <w:noWrap/>
            <w:vAlign w:val="bottom"/>
            <w:hideMark/>
          </w:tcPr>
          <w:p w14:paraId="3F7C85C7" w14:textId="77777777" w:rsidR="00AE75DF" w:rsidRPr="00AE75DF" w:rsidRDefault="00AE75DF" w:rsidP="00AE75DF">
            <w:pPr>
              <w:spacing w:line="240" w:lineRule="auto"/>
              <w:rPr>
                <w:rFonts w:eastAsia="Times New Roman" w:cs="Calibri"/>
                <w:color w:val="000000"/>
                <w:sz w:val="24"/>
                <w:szCs w:val="24"/>
                <w:lang w:eastAsia="en-GB"/>
              </w:rPr>
            </w:pPr>
            <w:r w:rsidRPr="00AE75DF">
              <w:rPr>
                <w:rFonts w:eastAsia="Times New Roman" w:cs="Calibri"/>
                <w:color w:val="000000"/>
                <w:sz w:val="24"/>
                <w:szCs w:val="24"/>
                <w:lang w:eastAsia="en-GB"/>
              </w:rPr>
              <w:t>Collection Fund Surplus</w:t>
            </w:r>
          </w:p>
        </w:tc>
        <w:tc>
          <w:tcPr>
            <w:tcW w:w="1240" w:type="dxa"/>
            <w:tcBorders>
              <w:top w:val="nil"/>
              <w:left w:val="nil"/>
              <w:bottom w:val="nil"/>
              <w:right w:val="single" w:sz="4" w:space="0" w:color="auto"/>
            </w:tcBorders>
            <w:shd w:val="clear" w:color="000000" w:fill="DDEBF7"/>
            <w:noWrap/>
            <w:vAlign w:val="bottom"/>
            <w:hideMark/>
          </w:tcPr>
          <w:p w14:paraId="2724E887"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0.851</w:t>
            </w:r>
          </w:p>
        </w:tc>
      </w:tr>
      <w:tr w:rsidR="00AE75DF" w:rsidRPr="00AE75DF" w14:paraId="2DC44615" w14:textId="77777777" w:rsidTr="00AE75DF">
        <w:trPr>
          <w:trHeight w:val="315"/>
        </w:trPr>
        <w:tc>
          <w:tcPr>
            <w:tcW w:w="1240" w:type="dxa"/>
            <w:tcBorders>
              <w:top w:val="single" w:sz="4" w:space="0" w:color="auto"/>
              <w:left w:val="single" w:sz="4" w:space="0" w:color="auto"/>
              <w:bottom w:val="nil"/>
              <w:right w:val="single" w:sz="4" w:space="0" w:color="auto"/>
            </w:tcBorders>
            <w:shd w:val="clear" w:color="000000" w:fill="FFFFFF"/>
            <w:noWrap/>
            <w:vAlign w:val="bottom"/>
            <w:hideMark/>
          </w:tcPr>
          <w:p w14:paraId="717BA6A2" w14:textId="77777777" w:rsidR="00AE75DF" w:rsidRPr="00AE75DF" w:rsidRDefault="00AE75DF" w:rsidP="00AE75DF">
            <w:pPr>
              <w:spacing w:line="240" w:lineRule="auto"/>
              <w:jc w:val="right"/>
              <w:rPr>
                <w:rFonts w:eastAsia="Times New Roman" w:cs="Calibri"/>
                <w:b/>
                <w:bCs/>
                <w:color w:val="000000"/>
                <w:sz w:val="24"/>
                <w:szCs w:val="24"/>
                <w:lang w:eastAsia="en-GB"/>
              </w:rPr>
            </w:pPr>
            <w:r w:rsidRPr="00AE75DF">
              <w:rPr>
                <w:rFonts w:eastAsia="Times New Roman" w:cs="Calibri"/>
                <w:b/>
                <w:bCs/>
                <w:color w:val="000000"/>
                <w:sz w:val="24"/>
                <w:szCs w:val="24"/>
                <w:lang w:eastAsia="en-GB"/>
              </w:rPr>
              <w:t>80.374</w:t>
            </w:r>
          </w:p>
        </w:tc>
        <w:tc>
          <w:tcPr>
            <w:tcW w:w="3720" w:type="dxa"/>
            <w:tcBorders>
              <w:top w:val="single" w:sz="4" w:space="0" w:color="auto"/>
              <w:left w:val="nil"/>
              <w:bottom w:val="nil"/>
              <w:right w:val="single" w:sz="4" w:space="0" w:color="auto"/>
            </w:tcBorders>
            <w:shd w:val="clear" w:color="000000" w:fill="FFFFFF"/>
            <w:noWrap/>
            <w:vAlign w:val="bottom"/>
            <w:hideMark/>
          </w:tcPr>
          <w:p w14:paraId="2FB49581" w14:textId="77777777" w:rsidR="00AE75DF" w:rsidRPr="00AE75DF" w:rsidRDefault="00AE75DF" w:rsidP="00AE75DF">
            <w:pPr>
              <w:spacing w:line="240" w:lineRule="auto"/>
              <w:rPr>
                <w:rFonts w:eastAsia="Times New Roman" w:cs="Calibri"/>
                <w:b/>
                <w:bCs/>
                <w:color w:val="000000"/>
                <w:sz w:val="24"/>
                <w:szCs w:val="24"/>
                <w:lang w:eastAsia="en-GB"/>
              </w:rPr>
            </w:pPr>
            <w:r w:rsidRPr="00AE75DF">
              <w:rPr>
                <w:rFonts w:eastAsia="Times New Roman" w:cs="Calibri"/>
                <w:b/>
                <w:bCs/>
                <w:color w:val="000000"/>
                <w:sz w:val="24"/>
                <w:szCs w:val="24"/>
                <w:lang w:eastAsia="en-GB"/>
              </w:rPr>
              <w:t>Total Precept and Collection Fund</w:t>
            </w:r>
          </w:p>
        </w:tc>
        <w:tc>
          <w:tcPr>
            <w:tcW w:w="1240" w:type="dxa"/>
            <w:tcBorders>
              <w:top w:val="single" w:sz="4" w:space="0" w:color="auto"/>
              <w:left w:val="nil"/>
              <w:bottom w:val="nil"/>
              <w:right w:val="single" w:sz="4" w:space="0" w:color="auto"/>
            </w:tcBorders>
            <w:shd w:val="clear" w:color="000000" w:fill="DDEBF7"/>
            <w:noWrap/>
            <w:vAlign w:val="bottom"/>
            <w:hideMark/>
          </w:tcPr>
          <w:p w14:paraId="3DD84B0F" w14:textId="77777777" w:rsidR="00AE75DF" w:rsidRPr="00AE75DF" w:rsidRDefault="00AE75DF" w:rsidP="00AE75DF">
            <w:pPr>
              <w:spacing w:line="240" w:lineRule="auto"/>
              <w:jc w:val="right"/>
              <w:rPr>
                <w:rFonts w:eastAsia="Times New Roman" w:cs="Calibri"/>
                <w:b/>
                <w:bCs/>
                <w:color w:val="000000"/>
                <w:sz w:val="24"/>
                <w:szCs w:val="24"/>
                <w:lang w:eastAsia="en-GB"/>
              </w:rPr>
            </w:pPr>
            <w:r w:rsidRPr="00AE75DF">
              <w:rPr>
                <w:rFonts w:eastAsia="Times New Roman" w:cs="Calibri"/>
                <w:b/>
                <w:bCs/>
                <w:color w:val="000000"/>
                <w:sz w:val="24"/>
                <w:szCs w:val="24"/>
                <w:lang w:eastAsia="en-GB"/>
              </w:rPr>
              <w:t>85.257</w:t>
            </w:r>
          </w:p>
        </w:tc>
      </w:tr>
      <w:tr w:rsidR="00AE75DF" w:rsidRPr="00AE75DF" w14:paraId="50B9BA72" w14:textId="77777777" w:rsidTr="00AE75DF">
        <w:trPr>
          <w:trHeight w:val="315"/>
        </w:trPr>
        <w:tc>
          <w:tcPr>
            <w:tcW w:w="1240" w:type="dxa"/>
            <w:tcBorders>
              <w:top w:val="nil"/>
              <w:left w:val="single" w:sz="4" w:space="0" w:color="auto"/>
              <w:bottom w:val="nil"/>
              <w:right w:val="single" w:sz="4" w:space="0" w:color="auto"/>
            </w:tcBorders>
            <w:shd w:val="clear" w:color="000000" w:fill="FFFFFF"/>
            <w:noWrap/>
            <w:vAlign w:val="bottom"/>
            <w:hideMark/>
          </w:tcPr>
          <w:p w14:paraId="5DC15FFB" w14:textId="77777777" w:rsidR="00AE75DF" w:rsidRPr="00AE75DF" w:rsidRDefault="00AE75DF" w:rsidP="00AE75DF">
            <w:pPr>
              <w:spacing w:line="240" w:lineRule="auto"/>
              <w:rPr>
                <w:rFonts w:eastAsia="Times New Roman" w:cs="Calibri"/>
                <w:color w:val="000000"/>
                <w:sz w:val="24"/>
                <w:szCs w:val="24"/>
                <w:lang w:eastAsia="en-GB"/>
              </w:rPr>
            </w:pPr>
            <w:r w:rsidRPr="00AE75DF">
              <w:rPr>
                <w:rFonts w:eastAsia="Times New Roman" w:cs="Calibri"/>
                <w:color w:val="000000"/>
                <w:sz w:val="24"/>
                <w:szCs w:val="24"/>
                <w:lang w:eastAsia="en-GB"/>
              </w:rPr>
              <w:t> </w:t>
            </w:r>
          </w:p>
        </w:tc>
        <w:tc>
          <w:tcPr>
            <w:tcW w:w="3720" w:type="dxa"/>
            <w:tcBorders>
              <w:top w:val="nil"/>
              <w:left w:val="nil"/>
              <w:bottom w:val="nil"/>
              <w:right w:val="single" w:sz="4" w:space="0" w:color="auto"/>
            </w:tcBorders>
            <w:shd w:val="clear" w:color="000000" w:fill="FFFFFF"/>
            <w:noWrap/>
            <w:vAlign w:val="bottom"/>
            <w:hideMark/>
          </w:tcPr>
          <w:p w14:paraId="5E8BFD8B" w14:textId="77777777" w:rsidR="00AE75DF" w:rsidRPr="00AE75DF" w:rsidRDefault="00AE75DF" w:rsidP="00AE75DF">
            <w:pPr>
              <w:spacing w:line="240" w:lineRule="auto"/>
              <w:rPr>
                <w:rFonts w:eastAsia="Times New Roman" w:cs="Calibri"/>
                <w:color w:val="000000"/>
                <w:sz w:val="24"/>
                <w:szCs w:val="24"/>
                <w:lang w:eastAsia="en-GB"/>
              </w:rPr>
            </w:pPr>
            <w:r w:rsidRPr="00AE75DF">
              <w:rPr>
                <w:rFonts w:eastAsia="Times New Roman" w:cs="Calibri"/>
                <w:color w:val="000000"/>
                <w:sz w:val="24"/>
                <w:szCs w:val="24"/>
                <w:lang w:eastAsia="en-GB"/>
              </w:rPr>
              <w:t> </w:t>
            </w:r>
          </w:p>
        </w:tc>
        <w:tc>
          <w:tcPr>
            <w:tcW w:w="1240" w:type="dxa"/>
            <w:tcBorders>
              <w:top w:val="nil"/>
              <w:left w:val="nil"/>
              <w:bottom w:val="nil"/>
              <w:right w:val="single" w:sz="4" w:space="0" w:color="auto"/>
            </w:tcBorders>
            <w:shd w:val="clear" w:color="000000" w:fill="DDEBF7"/>
            <w:noWrap/>
            <w:vAlign w:val="bottom"/>
            <w:hideMark/>
          </w:tcPr>
          <w:p w14:paraId="3B8AA3C6" w14:textId="77777777" w:rsidR="00AE75DF" w:rsidRPr="00AE75DF" w:rsidRDefault="00AE75DF" w:rsidP="00AE75DF">
            <w:pPr>
              <w:spacing w:line="240" w:lineRule="auto"/>
              <w:rPr>
                <w:rFonts w:eastAsia="Times New Roman" w:cs="Calibri"/>
                <w:color w:val="000000"/>
                <w:sz w:val="24"/>
                <w:szCs w:val="24"/>
                <w:lang w:eastAsia="en-GB"/>
              </w:rPr>
            </w:pPr>
            <w:r w:rsidRPr="00AE75DF">
              <w:rPr>
                <w:rFonts w:eastAsia="Times New Roman" w:cs="Calibri"/>
                <w:color w:val="000000"/>
                <w:sz w:val="24"/>
                <w:szCs w:val="24"/>
                <w:lang w:eastAsia="en-GB"/>
              </w:rPr>
              <w:t> </w:t>
            </w:r>
          </w:p>
        </w:tc>
      </w:tr>
      <w:tr w:rsidR="00AE75DF" w:rsidRPr="00AE75DF" w14:paraId="6890A87A" w14:textId="77777777" w:rsidTr="00AE75DF">
        <w:trPr>
          <w:trHeight w:val="315"/>
        </w:trPr>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328740" w14:textId="77777777" w:rsidR="00AE75DF" w:rsidRPr="00AE75DF" w:rsidRDefault="00AE75DF" w:rsidP="00AE75DF">
            <w:pPr>
              <w:spacing w:line="240" w:lineRule="auto"/>
              <w:jc w:val="right"/>
              <w:rPr>
                <w:rFonts w:eastAsia="Times New Roman" w:cs="Calibri"/>
                <w:b/>
                <w:bCs/>
                <w:color w:val="000000"/>
                <w:sz w:val="24"/>
                <w:szCs w:val="24"/>
                <w:lang w:eastAsia="en-GB"/>
              </w:rPr>
            </w:pPr>
            <w:r w:rsidRPr="00AE75DF">
              <w:rPr>
                <w:rFonts w:eastAsia="Times New Roman" w:cs="Calibri"/>
                <w:b/>
                <w:bCs/>
                <w:color w:val="000000"/>
                <w:sz w:val="24"/>
                <w:szCs w:val="24"/>
                <w:lang w:eastAsia="en-GB"/>
              </w:rPr>
              <w:t>182.968</w:t>
            </w:r>
          </w:p>
        </w:tc>
        <w:tc>
          <w:tcPr>
            <w:tcW w:w="3720" w:type="dxa"/>
            <w:tcBorders>
              <w:top w:val="single" w:sz="4" w:space="0" w:color="auto"/>
              <w:left w:val="nil"/>
              <w:bottom w:val="single" w:sz="4" w:space="0" w:color="auto"/>
              <w:right w:val="single" w:sz="4" w:space="0" w:color="auto"/>
            </w:tcBorders>
            <w:shd w:val="clear" w:color="000000" w:fill="FFFFFF"/>
            <w:noWrap/>
            <w:vAlign w:val="bottom"/>
            <w:hideMark/>
          </w:tcPr>
          <w:p w14:paraId="2D7B61F1" w14:textId="77777777" w:rsidR="00AE75DF" w:rsidRPr="00AE75DF" w:rsidRDefault="00AE75DF" w:rsidP="00AE75DF">
            <w:pPr>
              <w:spacing w:line="240" w:lineRule="auto"/>
              <w:rPr>
                <w:rFonts w:eastAsia="Times New Roman" w:cs="Calibri"/>
                <w:b/>
                <w:bCs/>
                <w:color w:val="000000"/>
                <w:sz w:val="24"/>
                <w:szCs w:val="24"/>
                <w:lang w:eastAsia="en-GB"/>
              </w:rPr>
            </w:pPr>
            <w:r w:rsidRPr="00AE75DF">
              <w:rPr>
                <w:rFonts w:eastAsia="Times New Roman" w:cs="Calibri"/>
                <w:b/>
                <w:bCs/>
                <w:color w:val="000000"/>
                <w:sz w:val="24"/>
                <w:szCs w:val="24"/>
                <w:lang w:eastAsia="en-GB"/>
              </w:rPr>
              <w:t>TOTAL FUNDING</w:t>
            </w:r>
          </w:p>
        </w:tc>
        <w:tc>
          <w:tcPr>
            <w:tcW w:w="1240" w:type="dxa"/>
            <w:tcBorders>
              <w:top w:val="single" w:sz="4" w:space="0" w:color="auto"/>
              <w:left w:val="nil"/>
              <w:bottom w:val="single" w:sz="4" w:space="0" w:color="auto"/>
              <w:right w:val="single" w:sz="4" w:space="0" w:color="auto"/>
            </w:tcBorders>
            <w:shd w:val="clear" w:color="000000" w:fill="DDEBF7"/>
            <w:noWrap/>
            <w:vAlign w:val="bottom"/>
            <w:hideMark/>
          </w:tcPr>
          <w:p w14:paraId="71691D29" w14:textId="77777777" w:rsidR="00AE75DF" w:rsidRPr="00AE75DF" w:rsidRDefault="00AE75DF" w:rsidP="00AE75DF">
            <w:pPr>
              <w:spacing w:line="240" w:lineRule="auto"/>
              <w:jc w:val="right"/>
              <w:rPr>
                <w:rFonts w:eastAsia="Times New Roman" w:cs="Calibri"/>
                <w:b/>
                <w:bCs/>
                <w:color w:val="000000"/>
                <w:sz w:val="24"/>
                <w:szCs w:val="24"/>
                <w:lang w:eastAsia="en-GB"/>
              </w:rPr>
            </w:pPr>
            <w:r w:rsidRPr="00AE75DF">
              <w:rPr>
                <w:rFonts w:eastAsia="Times New Roman" w:cs="Calibri"/>
                <w:b/>
                <w:bCs/>
                <w:color w:val="000000"/>
                <w:sz w:val="24"/>
                <w:szCs w:val="24"/>
                <w:lang w:eastAsia="en-GB"/>
              </w:rPr>
              <w:t>194.193</w:t>
            </w:r>
          </w:p>
        </w:tc>
      </w:tr>
    </w:tbl>
    <w:p w14:paraId="19BF820E" w14:textId="77777777" w:rsidR="007B2C90" w:rsidRDefault="007B2C90" w:rsidP="00AE75DF">
      <w:pPr>
        <w:pStyle w:val="PanelPara"/>
        <w:numPr>
          <w:ilvl w:val="0"/>
          <w:numId w:val="0"/>
        </w:numPr>
      </w:pPr>
    </w:p>
    <w:p w14:paraId="30717DB4" w14:textId="17FC0BAA" w:rsidR="00A47C0C" w:rsidRPr="00A47C0C" w:rsidRDefault="007B2C90" w:rsidP="003F04BB">
      <w:pPr>
        <w:pStyle w:val="PanelPara"/>
      </w:pPr>
      <w:r>
        <w:t>T</w:t>
      </w:r>
      <w:r w:rsidR="0064685E" w:rsidRPr="00C23A89">
        <w:t xml:space="preserve">he </w:t>
      </w:r>
      <w:r>
        <w:t>N</w:t>
      </w:r>
      <w:r w:rsidR="0064685E" w:rsidRPr="00C23A89">
        <w:t xml:space="preserve">ational </w:t>
      </w:r>
      <w:r w:rsidR="00F93560" w:rsidRPr="00C23A89">
        <w:t>Technical Support Team</w:t>
      </w:r>
      <w:r w:rsidR="0064685E" w:rsidRPr="00C23A89">
        <w:t xml:space="preserve"> provided a detailed briefing </w:t>
      </w:r>
      <w:r w:rsidR="00DD75A9" w:rsidRPr="00C23A89">
        <w:t>as follows</w:t>
      </w:r>
      <w:r w:rsidR="0064685E" w:rsidRPr="00C23A89">
        <w:t>:</w:t>
      </w:r>
    </w:p>
    <w:p w14:paraId="0CF024C8" w14:textId="0187F222" w:rsidR="00A47C0C" w:rsidRPr="003F04BB" w:rsidRDefault="00A47C0C" w:rsidP="00A47C0C">
      <w:pPr>
        <w:pStyle w:val="PanelPara"/>
        <w:rPr>
          <w:i/>
          <w:iCs/>
          <w:lang w:eastAsia="en-GB"/>
        </w:rPr>
      </w:pPr>
      <w:r w:rsidRPr="003F04BB">
        <w:rPr>
          <w:i/>
          <w:iCs/>
          <w:lang w:eastAsia="en-GB"/>
        </w:rPr>
        <w:t>The 2025</w:t>
      </w:r>
      <w:r w:rsidR="0054520F">
        <w:rPr>
          <w:i/>
          <w:iCs/>
          <w:lang w:eastAsia="en-GB"/>
        </w:rPr>
        <w:t>/</w:t>
      </w:r>
      <w:r w:rsidRPr="003F04BB">
        <w:rPr>
          <w:i/>
          <w:iCs/>
          <w:lang w:eastAsia="en-GB"/>
        </w:rPr>
        <w:t xml:space="preserve">26 Provisional Settlement was announced on 17 December in a written ministerial statement by the Minister of State for Crime, Policing and Fire, Dame Diana Johnson. </w:t>
      </w:r>
    </w:p>
    <w:p w14:paraId="5F3ACAF5" w14:textId="323B0E10" w:rsidR="00A47C0C" w:rsidRPr="003F04BB" w:rsidRDefault="00A47C0C" w:rsidP="00A47C0C">
      <w:pPr>
        <w:pStyle w:val="PanelPara"/>
        <w:numPr>
          <w:ilvl w:val="0"/>
          <w:numId w:val="0"/>
        </w:numPr>
        <w:ind w:left="567"/>
        <w:rPr>
          <w:i/>
          <w:iCs/>
          <w:lang w:eastAsia="en-GB"/>
        </w:rPr>
      </w:pPr>
      <w:r w:rsidRPr="003F04BB">
        <w:rPr>
          <w:i/>
          <w:iCs/>
          <w:lang w:eastAsia="en-GB"/>
        </w:rPr>
        <w:lastRenderedPageBreak/>
        <w:t>The Minister said “I am pleased to announce that, for 2025</w:t>
      </w:r>
      <w:r w:rsidR="0054520F">
        <w:rPr>
          <w:i/>
          <w:iCs/>
          <w:lang w:eastAsia="en-GB"/>
        </w:rPr>
        <w:t>/</w:t>
      </w:r>
      <w:r w:rsidRPr="003F04BB">
        <w:rPr>
          <w:i/>
          <w:iCs/>
          <w:lang w:eastAsia="en-GB"/>
        </w:rPr>
        <w:t>26, funding to police forces will total up to £17.4 billion, an increase of up to £986.9 million when compared to the 2024</w:t>
      </w:r>
      <w:r w:rsidR="00627ED0">
        <w:rPr>
          <w:i/>
          <w:iCs/>
          <w:lang w:eastAsia="en-GB"/>
        </w:rPr>
        <w:t>/</w:t>
      </w:r>
      <w:r w:rsidRPr="003F04BB">
        <w:rPr>
          <w:i/>
          <w:iCs/>
          <w:lang w:eastAsia="en-GB"/>
        </w:rPr>
        <w:t>25 police funding settlement…a real terms increase in force funding of 3.5%, and a cash increase of 6.0%. The additional funding confirmed through this settlement will cover the costs of the police officer pay awards and fund the recruitment and redeployment of more neighbourhood police and PSCOs. … The investments announced today are in addition to the provision of one-off funding of £175.0 million we announced in July to support the costs of the 24</w:t>
      </w:r>
      <w:r w:rsidR="00627ED0">
        <w:rPr>
          <w:i/>
          <w:iCs/>
          <w:lang w:eastAsia="en-GB"/>
        </w:rPr>
        <w:t>/</w:t>
      </w:r>
      <w:r w:rsidRPr="003F04BB">
        <w:rPr>
          <w:i/>
          <w:iCs/>
          <w:lang w:eastAsia="en-GB"/>
        </w:rPr>
        <w:t xml:space="preserve">25 pay award.”. </w:t>
      </w:r>
    </w:p>
    <w:p w14:paraId="7A86B0F4" w14:textId="4D375814" w:rsidR="00C6702D" w:rsidRPr="00627ED0" w:rsidRDefault="00C6702D" w:rsidP="00A47C0C">
      <w:pPr>
        <w:pStyle w:val="PanelPara"/>
        <w:numPr>
          <w:ilvl w:val="0"/>
          <w:numId w:val="0"/>
        </w:numPr>
        <w:ind w:left="567"/>
        <w:rPr>
          <w:i/>
          <w:iCs/>
        </w:rPr>
      </w:pPr>
      <w:r w:rsidRPr="00627ED0">
        <w:rPr>
          <w:i/>
          <w:iCs/>
        </w:rPr>
        <w:t>Full details of the Settlement can be found on the Home Office gov.uk pages.</w:t>
      </w:r>
    </w:p>
    <w:p w14:paraId="46EDBAB5" w14:textId="4F1AB818" w:rsidR="00C6702D" w:rsidRPr="00627ED0" w:rsidRDefault="00252C65" w:rsidP="00083DE2">
      <w:pPr>
        <w:pStyle w:val="PanelPara"/>
        <w:rPr>
          <w:i/>
          <w:iCs/>
        </w:rPr>
      </w:pPr>
      <w:r w:rsidRPr="00627ED0">
        <w:rPr>
          <w:i/>
          <w:iCs/>
        </w:rPr>
        <w:t>Core Funding</w:t>
      </w:r>
    </w:p>
    <w:p w14:paraId="3016617F" w14:textId="6C60C977" w:rsidR="00252C65" w:rsidRPr="00627ED0" w:rsidRDefault="00252C65" w:rsidP="00252C65">
      <w:pPr>
        <w:pStyle w:val="PanelPara"/>
        <w:numPr>
          <w:ilvl w:val="0"/>
          <w:numId w:val="0"/>
        </w:numPr>
        <w:ind w:left="567"/>
        <w:rPr>
          <w:i/>
          <w:iCs/>
          <w:lang w:eastAsia="en-GB"/>
        </w:rPr>
      </w:pPr>
      <w:r w:rsidRPr="00627ED0">
        <w:rPr>
          <w:i/>
          <w:iCs/>
          <w:lang w:eastAsia="en-GB"/>
        </w:rPr>
        <w:t xml:space="preserve">Assuming every force takes the full £14 precept, the total amount of extra funding available for forces is £986.9m of which £329.8m (33%) would come from Council Tax – however this is a local decision for each PCC. </w:t>
      </w:r>
      <w:r w:rsidR="00203EBF" w:rsidRPr="00627ED0">
        <w:rPr>
          <w:i/>
          <w:iCs/>
          <w:lang w:eastAsia="en-GB"/>
        </w:rPr>
        <w:t xml:space="preserve"> </w:t>
      </w:r>
      <w:r w:rsidRPr="00627ED0">
        <w:rPr>
          <w:i/>
          <w:iCs/>
          <w:lang w:eastAsia="en-GB"/>
        </w:rPr>
        <w:t xml:space="preserve">The bulk of the remaining £657.1m comes from an increase in of £339m core funding, £230m compensation for employer NICs contributions, and £100m to begin recruiting 13,000 new neighbour policing officers. </w:t>
      </w:r>
    </w:p>
    <w:p w14:paraId="609A91BB" w14:textId="6D8AB324" w:rsidR="00C6702D" w:rsidRPr="00627ED0" w:rsidRDefault="00203EBF" w:rsidP="00FF3640">
      <w:pPr>
        <w:pStyle w:val="PanelPara"/>
        <w:rPr>
          <w:i/>
          <w:iCs/>
        </w:rPr>
      </w:pPr>
      <w:r w:rsidRPr="00627ED0">
        <w:rPr>
          <w:i/>
          <w:iCs/>
        </w:rPr>
        <w:t>N</w:t>
      </w:r>
      <w:r w:rsidR="003E535A" w:rsidRPr="00627ED0">
        <w:rPr>
          <w:i/>
          <w:iCs/>
        </w:rPr>
        <w:t>ational Insurance Contributions</w:t>
      </w:r>
      <w:r w:rsidRPr="00627ED0">
        <w:rPr>
          <w:i/>
          <w:iCs/>
        </w:rPr>
        <w:t xml:space="preserve"> Reimbursement</w:t>
      </w:r>
    </w:p>
    <w:p w14:paraId="794EAEF4" w14:textId="77777777" w:rsidR="00FF3640" w:rsidRPr="00627ED0" w:rsidRDefault="00203EBF" w:rsidP="00FF3640">
      <w:pPr>
        <w:pStyle w:val="PanelPara"/>
        <w:numPr>
          <w:ilvl w:val="0"/>
          <w:numId w:val="0"/>
        </w:numPr>
        <w:ind w:left="567"/>
        <w:rPr>
          <w:i/>
          <w:iCs/>
        </w:rPr>
      </w:pPr>
      <w:r w:rsidRPr="00627ED0">
        <w:rPr>
          <w:i/>
          <w:iCs/>
        </w:rPr>
        <w:t>There is £230.3m in the settlement for employer NICs but there is no explanation of how that amount has been calculated or distributed. Unlike the Neighbourhood policing grant, it is not done on core</w:t>
      </w:r>
      <w:r w:rsidR="00FF3640" w:rsidRPr="00627ED0">
        <w:rPr>
          <w:i/>
          <w:iCs/>
        </w:rPr>
        <w:t xml:space="preserve"> </w:t>
      </w:r>
      <w:r w:rsidRPr="00627ED0">
        <w:rPr>
          <w:i/>
          <w:iCs/>
        </w:rPr>
        <w:t>grant percentages.</w:t>
      </w:r>
    </w:p>
    <w:p w14:paraId="275A6BCA" w14:textId="1A20770C" w:rsidR="003E535A" w:rsidRPr="00627ED0" w:rsidRDefault="003E535A" w:rsidP="00FF3640">
      <w:pPr>
        <w:pStyle w:val="PanelPara"/>
        <w:numPr>
          <w:ilvl w:val="0"/>
          <w:numId w:val="0"/>
        </w:numPr>
        <w:ind w:left="567"/>
        <w:rPr>
          <w:i/>
          <w:iCs/>
        </w:rPr>
      </w:pPr>
      <w:r w:rsidRPr="00627ED0">
        <w:rPr>
          <w:b/>
          <w:bCs/>
        </w:rPr>
        <w:t>In Northamptonshire the £2.5m grant for the NIC increase only covers around 90% of the additional cost.</w:t>
      </w:r>
    </w:p>
    <w:p w14:paraId="33757512" w14:textId="5556AD99" w:rsidR="008A3937" w:rsidRPr="00627ED0" w:rsidRDefault="008A3937" w:rsidP="00FF3640">
      <w:pPr>
        <w:pStyle w:val="PanelPara"/>
        <w:rPr>
          <w:i/>
          <w:iCs/>
        </w:rPr>
      </w:pPr>
      <w:r w:rsidRPr="00627ED0">
        <w:rPr>
          <w:i/>
          <w:iCs/>
        </w:rPr>
        <w:t xml:space="preserve">Pensions Grant </w:t>
      </w:r>
    </w:p>
    <w:p w14:paraId="70788431" w14:textId="1210BC76" w:rsidR="00FF3640" w:rsidRPr="00627ED0" w:rsidRDefault="00FF3640" w:rsidP="00CC53D1">
      <w:pPr>
        <w:pStyle w:val="PanelPara"/>
        <w:numPr>
          <w:ilvl w:val="0"/>
          <w:numId w:val="0"/>
        </w:numPr>
        <w:ind w:left="567"/>
        <w:rPr>
          <w:i/>
          <w:iCs/>
        </w:rPr>
      </w:pPr>
      <w:r w:rsidRPr="00627ED0">
        <w:rPr>
          <w:i/>
          <w:iCs/>
        </w:rPr>
        <w:t>The total pension grant fell to £398.1m. We had expected the one-off payment of £26.8m in 2024</w:t>
      </w:r>
      <w:r w:rsidR="00627ED0">
        <w:rPr>
          <w:i/>
          <w:iCs/>
        </w:rPr>
        <w:t>/</w:t>
      </w:r>
      <w:r w:rsidRPr="00627ED0">
        <w:rPr>
          <w:i/>
          <w:iCs/>
        </w:rPr>
        <w:t xml:space="preserve">25 to be removed. </w:t>
      </w:r>
    </w:p>
    <w:p w14:paraId="64ECB9C2" w14:textId="6CFE3D09" w:rsidR="003F04BB" w:rsidRPr="00627ED0" w:rsidRDefault="003F04BB" w:rsidP="00FF3640">
      <w:pPr>
        <w:pStyle w:val="PanelPara"/>
        <w:rPr>
          <w:i/>
          <w:iCs/>
        </w:rPr>
      </w:pPr>
      <w:r w:rsidRPr="00627ED0">
        <w:rPr>
          <w:i/>
          <w:iCs/>
        </w:rPr>
        <w:t xml:space="preserve">Officer Maintenance Grants </w:t>
      </w:r>
    </w:p>
    <w:p w14:paraId="689F26DC" w14:textId="2E0001E0" w:rsidR="003F04BB" w:rsidRPr="00627ED0" w:rsidRDefault="003F04BB" w:rsidP="00CC53D1">
      <w:pPr>
        <w:pStyle w:val="PanelPara"/>
        <w:numPr>
          <w:ilvl w:val="0"/>
          <w:numId w:val="0"/>
        </w:numPr>
        <w:ind w:left="567"/>
        <w:rPr>
          <w:i/>
          <w:iCs/>
          <w:lang w:eastAsia="en-GB"/>
        </w:rPr>
      </w:pPr>
      <w:r w:rsidRPr="00627ED0">
        <w:rPr>
          <w:i/>
          <w:iCs/>
          <w:lang w:eastAsia="en-GB"/>
        </w:rPr>
        <w:t>Prior to the publication of today’s provisional settlement, it was expected that there would be a continuation of PUP funding for the recruitment of the final officers (towards the 20,000 total). The Ministerial Statement confirms ongoing funding of £270m in 2025</w:t>
      </w:r>
      <w:r w:rsidR="0054520F">
        <w:rPr>
          <w:i/>
          <w:iCs/>
          <w:lang w:eastAsia="en-GB"/>
        </w:rPr>
        <w:t>/</w:t>
      </w:r>
      <w:r w:rsidRPr="00627ED0">
        <w:rPr>
          <w:i/>
          <w:iCs/>
          <w:lang w:eastAsia="en-GB"/>
        </w:rPr>
        <w:t>26 as well as a £39.5m increase in the Additional Recruitment Grant (up to £106m in 2025</w:t>
      </w:r>
      <w:r w:rsidR="00627ED0">
        <w:rPr>
          <w:i/>
          <w:iCs/>
          <w:lang w:eastAsia="en-GB"/>
        </w:rPr>
        <w:t>/</w:t>
      </w:r>
      <w:r w:rsidRPr="00627ED0">
        <w:rPr>
          <w:i/>
          <w:iCs/>
          <w:lang w:eastAsia="en-GB"/>
        </w:rPr>
        <w:t xml:space="preserve">26). </w:t>
      </w:r>
    </w:p>
    <w:p w14:paraId="53254D53" w14:textId="77777777" w:rsidR="00FF3640" w:rsidRPr="00627ED0" w:rsidRDefault="003F04BB" w:rsidP="00FF3640">
      <w:pPr>
        <w:pStyle w:val="PanelPara"/>
        <w:numPr>
          <w:ilvl w:val="0"/>
          <w:numId w:val="0"/>
        </w:numPr>
        <w:ind w:left="567"/>
        <w:rPr>
          <w:i/>
          <w:iCs/>
          <w:lang w:eastAsia="en-GB"/>
        </w:rPr>
      </w:pPr>
      <w:r w:rsidRPr="00627ED0">
        <w:rPr>
          <w:i/>
          <w:iCs/>
          <w:lang w:eastAsia="en-GB"/>
        </w:rPr>
        <w:t xml:space="preserve">This brings the total Officer Maintenance Funding to £376m – a £48m decrease on the total of £424m in 2024-25 (which was made up from £357.8m PUP and £67.2m Additional Recruitment Grant). </w:t>
      </w:r>
    </w:p>
    <w:p w14:paraId="49A2A669" w14:textId="77777777" w:rsidR="00FF3640" w:rsidRPr="00627ED0" w:rsidRDefault="00FF3640" w:rsidP="00FF3640">
      <w:pPr>
        <w:pStyle w:val="PanelPara"/>
        <w:rPr>
          <w:i/>
          <w:iCs/>
        </w:rPr>
      </w:pPr>
      <w:r w:rsidRPr="00627ED0">
        <w:rPr>
          <w:i/>
          <w:iCs/>
        </w:rPr>
        <w:t xml:space="preserve">Funding for Neighbourhood Policing </w:t>
      </w:r>
    </w:p>
    <w:p w14:paraId="7FD6F763" w14:textId="77777777" w:rsidR="00FF3640" w:rsidRPr="00627ED0" w:rsidRDefault="00FF3640" w:rsidP="00FF3640">
      <w:pPr>
        <w:pStyle w:val="PanelPara"/>
        <w:numPr>
          <w:ilvl w:val="0"/>
          <w:numId w:val="0"/>
        </w:numPr>
        <w:ind w:left="567"/>
        <w:rPr>
          <w:i/>
          <w:iCs/>
          <w:lang w:eastAsia="en-GB"/>
        </w:rPr>
      </w:pPr>
      <w:r w:rsidRPr="00627ED0">
        <w:rPr>
          <w:i/>
          <w:iCs/>
          <w:lang w:eastAsia="en-GB"/>
        </w:rPr>
        <w:t xml:space="preserve">The provisional settlement includes a new Neighbourhood Policing Grant, worth £100m in recognition of the Government’s priority for police visibility and neighbourhood policing. </w:t>
      </w:r>
    </w:p>
    <w:p w14:paraId="33D216D2" w14:textId="1D48A2EE" w:rsidR="00FF3640" w:rsidRPr="00627ED0" w:rsidRDefault="00FF3640" w:rsidP="004B30CA">
      <w:pPr>
        <w:pStyle w:val="PanelPara"/>
        <w:numPr>
          <w:ilvl w:val="0"/>
          <w:numId w:val="0"/>
        </w:numPr>
        <w:ind w:left="567"/>
        <w:rPr>
          <w:i/>
          <w:iCs/>
          <w:lang w:eastAsia="en-GB"/>
        </w:rPr>
      </w:pPr>
      <w:r w:rsidRPr="00627ED0">
        <w:rPr>
          <w:i/>
          <w:iCs/>
          <w:lang w:eastAsia="en-GB"/>
        </w:rPr>
        <w:t>This fund is intended to support the recruitment of additional, and redeployed, neighbourhood police officers, PCSOs and Special Constables in 2025</w:t>
      </w:r>
      <w:r w:rsidR="00627ED0">
        <w:rPr>
          <w:i/>
          <w:iCs/>
          <w:lang w:eastAsia="en-GB"/>
        </w:rPr>
        <w:t>/</w:t>
      </w:r>
      <w:r w:rsidRPr="00627ED0">
        <w:rPr>
          <w:i/>
          <w:iCs/>
          <w:lang w:eastAsia="en-GB"/>
        </w:rPr>
        <w:t xml:space="preserve">26 and will form part of a multi-year </w:t>
      </w:r>
      <w:r w:rsidRPr="00627ED0">
        <w:rPr>
          <w:i/>
          <w:iCs/>
          <w:lang w:eastAsia="en-GB"/>
        </w:rPr>
        <w:lastRenderedPageBreak/>
        <w:t>programme, spanning the length of the Parliament.</w:t>
      </w:r>
      <w:r w:rsidR="004B30CA">
        <w:rPr>
          <w:i/>
          <w:iCs/>
          <w:lang w:eastAsia="en-GB"/>
        </w:rPr>
        <w:t xml:space="preserve"> </w:t>
      </w:r>
      <w:r w:rsidRPr="00627ED0">
        <w:rPr>
          <w:i/>
          <w:iCs/>
          <w:lang w:eastAsia="en-GB"/>
        </w:rPr>
        <w:t xml:space="preserve"> The funding was allocated on share of Core Grant.</w:t>
      </w:r>
    </w:p>
    <w:p w14:paraId="518F52FE" w14:textId="5EC4935D" w:rsidR="007B2C90" w:rsidRPr="007B2C90" w:rsidRDefault="007B2C90" w:rsidP="00FF3640">
      <w:pPr>
        <w:pStyle w:val="PanelPara"/>
        <w:numPr>
          <w:ilvl w:val="0"/>
          <w:numId w:val="0"/>
        </w:numPr>
        <w:ind w:left="567"/>
        <w:rPr>
          <w:b/>
          <w:bCs/>
          <w:lang w:eastAsia="en-GB"/>
        </w:rPr>
      </w:pPr>
      <w:r w:rsidRPr="007B2C90">
        <w:rPr>
          <w:b/>
          <w:bCs/>
          <w:lang w:eastAsia="en-GB"/>
        </w:rPr>
        <w:t>The Northamptonshire Neighbourhood Policing Grant allocation in 2025/26 is £0.954m</w:t>
      </w:r>
      <w:r w:rsidR="00AE75DF">
        <w:rPr>
          <w:b/>
          <w:bCs/>
          <w:lang w:eastAsia="en-GB"/>
        </w:rPr>
        <w:t>.</w:t>
      </w:r>
    </w:p>
    <w:p w14:paraId="29A2710E" w14:textId="04693510" w:rsidR="008A3937" w:rsidRPr="00FF3640" w:rsidRDefault="008A3937" w:rsidP="00FF3640">
      <w:pPr>
        <w:pStyle w:val="PanelPara"/>
        <w:rPr>
          <w:i/>
          <w:iCs/>
        </w:rPr>
      </w:pPr>
      <w:r w:rsidRPr="00FF3640">
        <w:rPr>
          <w:i/>
          <w:iCs/>
        </w:rPr>
        <w:t>Council Tax</w:t>
      </w:r>
    </w:p>
    <w:p w14:paraId="67E23AF1" w14:textId="77777777" w:rsidR="00FF3640" w:rsidRDefault="00FF3640" w:rsidP="00FF3640">
      <w:pPr>
        <w:pStyle w:val="PanelPara"/>
        <w:numPr>
          <w:ilvl w:val="0"/>
          <w:numId w:val="0"/>
        </w:numPr>
        <w:ind w:left="567"/>
        <w:rPr>
          <w:i/>
          <w:iCs/>
          <w:color w:val="000000"/>
          <w:lang w:eastAsia="en-GB"/>
        </w:rPr>
      </w:pPr>
      <w:r w:rsidRPr="00FF3640">
        <w:rPr>
          <w:i/>
          <w:iCs/>
          <w:color w:val="000000"/>
          <w:lang w:eastAsia="en-GB"/>
        </w:rPr>
        <w:t>In England the Government sets the level of precept increase above which a referendum is required.</w:t>
      </w:r>
      <w:r>
        <w:rPr>
          <w:i/>
          <w:iCs/>
          <w:color w:val="000000"/>
          <w:lang w:eastAsia="en-GB"/>
        </w:rPr>
        <w:t xml:space="preserve">  </w:t>
      </w:r>
      <w:r w:rsidRPr="00FF3640">
        <w:rPr>
          <w:i/>
          <w:iCs/>
          <w:color w:val="000000"/>
          <w:lang w:eastAsia="en-GB"/>
        </w:rPr>
        <w:t>In November, it was confirmed in the local government finance policy statement 2025 to 2026 that</w:t>
      </w:r>
      <w:r>
        <w:rPr>
          <w:i/>
          <w:iCs/>
          <w:color w:val="000000"/>
          <w:lang w:eastAsia="en-GB"/>
        </w:rPr>
        <w:t xml:space="preserve"> </w:t>
      </w:r>
      <w:r w:rsidRPr="00FF3640">
        <w:rPr>
          <w:i/>
          <w:iCs/>
          <w:color w:val="000000"/>
          <w:lang w:eastAsia="en-GB"/>
        </w:rPr>
        <w:t>PCCs would be able to increase the 2024-25 band D precept by up to £14 without triggering a</w:t>
      </w:r>
      <w:r>
        <w:rPr>
          <w:i/>
          <w:iCs/>
          <w:color w:val="000000"/>
          <w:lang w:eastAsia="en-GB"/>
        </w:rPr>
        <w:t xml:space="preserve"> </w:t>
      </w:r>
      <w:r w:rsidRPr="00FF3640">
        <w:rPr>
          <w:i/>
          <w:iCs/>
          <w:color w:val="000000"/>
          <w:lang w:eastAsia="en-GB"/>
        </w:rPr>
        <w:t>referendum. Actual precept increase will remain a decision for individual PCCs.</w:t>
      </w:r>
    </w:p>
    <w:p w14:paraId="3266C067" w14:textId="77777777" w:rsidR="00FF3640" w:rsidRPr="00FF3640" w:rsidRDefault="00FF3640" w:rsidP="008A3937">
      <w:pPr>
        <w:pStyle w:val="PanelPara"/>
        <w:numPr>
          <w:ilvl w:val="0"/>
          <w:numId w:val="0"/>
        </w:numPr>
        <w:ind w:left="567"/>
        <w:rPr>
          <w:i/>
          <w:iCs/>
          <w:color w:val="000000"/>
          <w:lang w:eastAsia="en-GB"/>
        </w:rPr>
      </w:pPr>
      <w:r w:rsidRPr="00FF3640">
        <w:rPr>
          <w:i/>
          <w:iCs/>
          <w:color w:val="000000"/>
          <w:lang w:eastAsia="en-GB"/>
        </w:rPr>
        <w:t xml:space="preserve">Due to historic differences in council tax, the proportion that £14 represents can vary significantly between force areas. The £14 increase means that Northumbria’s percentage increase is 8.6% followed by the West Midlands at 7.3% and Essex at 6.5%. Conversely, £14 represents a 4.5% increase for North Wales, South Wales and Gwent. The lowest increase amongst English forces would be seen in Surrey at 5.2%. </w:t>
      </w:r>
    </w:p>
    <w:p w14:paraId="1157E867" w14:textId="15530E2B" w:rsidR="0064685E" w:rsidRPr="008B6FC6" w:rsidRDefault="0064685E" w:rsidP="008A3937">
      <w:pPr>
        <w:pStyle w:val="PanelPara"/>
        <w:numPr>
          <w:ilvl w:val="0"/>
          <w:numId w:val="0"/>
        </w:numPr>
        <w:ind w:left="567"/>
      </w:pPr>
      <w:r w:rsidRPr="008B6FC6">
        <w:rPr>
          <w:b/>
          <w:bCs/>
        </w:rPr>
        <w:t>In Northamptonshire the</w:t>
      </w:r>
      <w:r w:rsidR="00047BC3" w:rsidRPr="008B6FC6">
        <w:rPr>
          <w:b/>
          <w:bCs/>
        </w:rPr>
        <w:t xml:space="preserve"> £1</w:t>
      </w:r>
      <w:r w:rsidR="00FF3640" w:rsidRPr="008B6FC6">
        <w:rPr>
          <w:b/>
          <w:bCs/>
        </w:rPr>
        <w:t>4</w:t>
      </w:r>
      <w:r w:rsidRPr="008B6FC6">
        <w:rPr>
          <w:b/>
          <w:bCs/>
        </w:rPr>
        <w:t xml:space="preserve"> increase </w:t>
      </w:r>
      <w:r w:rsidR="008B6FC6" w:rsidRPr="008B6FC6">
        <w:rPr>
          <w:b/>
          <w:bCs/>
        </w:rPr>
        <w:t xml:space="preserve">using these national comparators </w:t>
      </w:r>
      <w:r w:rsidRPr="008B6FC6">
        <w:rPr>
          <w:b/>
          <w:bCs/>
        </w:rPr>
        <w:t xml:space="preserve">is </w:t>
      </w:r>
      <w:r w:rsidR="008B6FC6" w:rsidRPr="008B6FC6">
        <w:rPr>
          <w:b/>
          <w:bCs/>
        </w:rPr>
        <w:t>5.4</w:t>
      </w:r>
      <w:r w:rsidRPr="008B6FC6">
        <w:rPr>
          <w:b/>
          <w:bCs/>
        </w:rPr>
        <w:t>%.</w:t>
      </w:r>
    </w:p>
    <w:p w14:paraId="76EF8A28" w14:textId="77777777" w:rsidR="00FF3640" w:rsidRDefault="00FF3640" w:rsidP="008A3937">
      <w:pPr>
        <w:pStyle w:val="PanelPara"/>
        <w:numPr>
          <w:ilvl w:val="0"/>
          <w:numId w:val="0"/>
        </w:numPr>
        <w:ind w:left="567"/>
        <w:rPr>
          <w:i/>
          <w:iCs/>
          <w:color w:val="000000"/>
          <w:lang w:eastAsia="en-GB"/>
        </w:rPr>
      </w:pPr>
      <w:r w:rsidRPr="00FF3640">
        <w:rPr>
          <w:i/>
          <w:iCs/>
          <w:color w:val="000000"/>
          <w:lang w:eastAsia="en-GB"/>
        </w:rPr>
        <w:t>Assuming every force takes the £14 precept, the weighted average band D police precept in England and Wales would rise to £292.84. The proportion of funding raised through council tax differs significantly between forces. Northumbria’s Council Tax makes up 20% of their total funding, followed by West Midlands at 21.1% and Merseyside at 23.4%. Conversely, Surrey has 55.2% of their funding coming from Council tax, followed by Dyfed Powys at 53% and North Wales at 51%. On average 34.4% of budgets are made up from Council tax, an increase from 34.3% last year.</w:t>
      </w:r>
    </w:p>
    <w:p w14:paraId="384F6B90" w14:textId="76A6C564" w:rsidR="0064685E" w:rsidRPr="00644E14" w:rsidRDefault="0064685E" w:rsidP="008A3937">
      <w:pPr>
        <w:pStyle w:val="PanelPara"/>
        <w:numPr>
          <w:ilvl w:val="0"/>
          <w:numId w:val="0"/>
        </w:numPr>
        <w:ind w:left="567"/>
        <w:rPr>
          <w:b/>
          <w:bCs/>
        </w:rPr>
      </w:pPr>
      <w:r w:rsidRPr="00644E14">
        <w:rPr>
          <w:b/>
          <w:bCs/>
        </w:rPr>
        <w:t>In Northamptonshire approximately 4</w:t>
      </w:r>
      <w:r w:rsidR="004E111D" w:rsidRPr="00644E14">
        <w:rPr>
          <w:b/>
          <w:bCs/>
        </w:rPr>
        <w:t>4</w:t>
      </w:r>
      <w:r w:rsidRPr="00644E14">
        <w:rPr>
          <w:b/>
          <w:bCs/>
        </w:rPr>
        <w:t>% of the funding comes from Council tax.</w:t>
      </w:r>
    </w:p>
    <w:p w14:paraId="08DB5E9F" w14:textId="77777777" w:rsidR="007B2C90" w:rsidRDefault="007B2C90">
      <w:pPr>
        <w:spacing w:line="240" w:lineRule="auto"/>
        <w:rPr>
          <w:rFonts w:asciiTheme="minorHAnsi" w:hAnsiTheme="minorHAnsi" w:cstheme="minorHAnsi"/>
          <w:b/>
          <w:noProof/>
          <w:sz w:val="24"/>
          <w:szCs w:val="24"/>
          <w:lang w:eastAsia="en-GB"/>
        </w:rPr>
      </w:pPr>
      <w:r>
        <w:rPr>
          <w:noProof/>
          <w:lang w:eastAsia="en-GB"/>
        </w:rPr>
        <w:br w:type="page"/>
      </w:r>
    </w:p>
    <w:p w14:paraId="2BA7A58C" w14:textId="35F8231E" w:rsidR="007B2C90" w:rsidRPr="00C23A89" w:rsidRDefault="00FC4407" w:rsidP="007B2C90">
      <w:pPr>
        <w:pStyle w:val="PanelHeading"/>
      </w:pPr>
      <w:r w:rsidRPr="00C23A89">
        <w:lastRenderedPageBreak/>
        <w:t>FUNDING FORMULA AND POPULATION</w:t>
      </w:r>
    </w:p>
    <w:p w14:paraId="5986A8ED" w14:textId="77777777" w:rsidR="007B2C90" w:rsidRPr="00C23A89" w:rsidRDefault="007B2C90" w:rsidP="007B2C90">
      <w:pPr>
        <w:pStyle w:val="PanelPara"/>
      </w:pPr>
      <w:r w:rsidRPr="00C23A89">
        <w:t xml:space="preserve">The National Police Funding Formula, which accounts </w:t>
      </w:r>
      <w:r w:rsidRPr="003E535A">
        <w:t>for around 56% of</w:t>
      </w:r>
      <w:r w:rsidRPr="00C23A89">
        <w:t xml:space="preserve"> Northamptonshire’s funding, includes population as a key factor in the allocations.  However, the formula was “frozen” in 2011/12 and annual increases have been on the basis of inflation and additional officers since that time.</w:t>
      </w:r>
    </w:p>
    <w:p w14:paraId="1E0B675D" w14:textId="1207CDF1" w:rsidR="007B2C90" w:rsidRPr="00C23A89" w:rsidRDefault="007B2C90" w:rsidP="007B2C90">
      <w:pPr>
        <w:pStyle w:val="PanelPara"/>
      </w:pPr>
      <w:r w:rsidRPr="00C23A89">
        <w:t xml:space="preserve">Work had been underway by government on a review of the formula some years </w:t>
      </w:r>
      <w:r w:rsidR="00F44482" w:rsidRPr="00C23A89">
        <w:t>ago but</w:t>
      </w:r>
      <w:r w:rsidRPr="00C23A89">
        <w:t xml:space="preserve"> has stalled.  There are currently no indications that it will be revisited any time soon.</w:t>
      </w:r>
    </w:p>
    <w:p w14:paraId="36891767" w14:textId="77777777" w:rsidR="007B2C90" w:rsidRPr="0084249C" w:rsidRDefault="007B2C90" w:rsidP="007B2C90">
      <w:pPr>
        <w:pStyle w:val="PanelPara"/>
      </w:pPr>
      <w:r w:rsidRPr="0084249C">
        <w:t>A significant part of the current formula is based on population.  The population in England has grown by 7.0% since mid-2013 but in Northamptonshire it has grown by 12.8%.  However, the funding formula population factor in the government settlement has remained static in that time.</w:t>
      </w:r>
    </w:p>
    <w:p w14:paraId="4453A23C" w14:textId="77777777" w:rsidR="007B2C90" w:rsidRPr="00C76FBD" w:rsidRDefault="007B2C90" w:rsidP="007B2C90">
      <w:pPr>
        <w:pStyle w:val="PanelPara"/>
      </w:pPr>
      <w:r w:rsidRPr="00C76FBD">
        <w:t>The graph below demonstrates this population increase for the period 20</w:t>
      </w:r>
      <w:r>
        <w:t>12</w:t>
      </w:r>
      <w:r w:rsidRPr="00C76FBD">
        <w:t xml:space="preserve"> to 2023:</w:t>
      </w:r>
    </w:p>
    <w:p w14:paraId="5783AD24" w14:textId="05189D6C" w:rsidR="007B2C90" w:rsidRPr="00C76FBD" w:rsidRDefault="00F44482" w:rsidP="00AE75DF">
      <w:pPr>
        <w:spacing w:line="240" w:lineRule="auto"/>
        <w:ind w:left="567"/>
        <w:jc w:val="both"/>
        <w:rPr>
          <w:rFonts w:ascii="Arial" w:hAnsi="Arial" w:cs="Arial"/>
          <w:noProof/>
          <w:lang w:eastAsia="en-GB"/>
        </w:rPr>
      </w:pPr>
      <w:r w:rsidRPr="00E37DC7">
        <w:rPr>
          <w:noProof/>
        </w:rPr>
        <w:drawing>
          <wp:inline distT="0" distB="0" distL="0" distR="0" wp14:anchorId="1C5BF142" wp14:editId="08EA4BA6">
            <wp:extent cx="5741336" cy="3629025"/>
            <wp:effectExtent l="0" t="0" r="0" b="0"/>
            <wp:docPr id="20125421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348" cy="3634090"/>
                    </a:xfrm>
                    <a:prstGeom prst="rect">
                      <a:avLst/>
                    </a:prstGeom>
                    <a:noFill/>
                  </pic:spPr>
                </pic:pic>
              </a:graphicData>
            </a:graphic>
          </wp:inline>
        </w:drawing>
      </w:r>
    </w:p>
    <w:p w14:paraId="719613A5" w14:textId="77777777" w:rsidR="007B2C90" w:rsidRPr="00C76FBD" w:rsidRDefault="007B2C90" w:rsidP="007B2C90">
      <w:pPr>
        <w:spacing w:line="240" w:lineRule="auto"/>
        <w:ind w:firstLine="567"/>
        <w:jc w:val="both"/>
        <w:rPr>
          <w:rFonts w:ascii="Arial" w:hAnsi="Arial" w:cs="Arial"/>
          <w:i/>
          <w:sz w:val="18"/>
          <w:szCs w:val="18"/>
        </w:rPr>
      </w:pPr>
      <w:bookmarkStart w:id="7" w:name="_Hlk187408107"/>
      <w:r w:rsidRPr="00C76FBD">
        <w:rPr>
          <w:rFonts w:ascii="Arial" w:hAnsi="Arial" w:cs="Arial"/>
          <w:i/>
          <w:sz w:val="18"/>
          <w:szCs w:val="18"/>
        </w:rPr>
        <w:t>Source: Mid-Year Population - Office of National Statistics</w:t>
      </w:r>
    </w:p>
    <w:bookmarkEnd w:id="7"/>
    <w:p w14:paraId="257C8B6B" w14:textId="77777777" w:rsidR="007B2C90" w:rsidRPr="00C76FBD" w:rsidRDefault="007B2C90" w:rsidP="007B2C90">
      <w:pPr>
        <w:spacing w:line="240" w:lineRule="auto"/>
        <w:ind w:firstLine="567"/>
        <w:jc w:val="both"/>
        <w:rPr>
          <w:rFonts w:ascii="Arial" w:hAnsi="Arial" w:cs="Arial"/>
          <w:i/>
          <w:sz w:val="16"/>
          <w:szCs w:val="16"/>
        </w:rPr>
      </w:pPr>
    </w:p>
    <w:p w14:paraId="5A8A0052" w14:textId="77777777" w:rsidR="00023752" w:rsidRDefault="00023752" w:rsidP="00023752">
      <w:pPr>
        <w:pStyle w:val="PanelPara"/>
        <w:tabs>
          <w:tab w:val="left" w:pos="9639"/>
        </w:tabs>
      </w:pPr>
      <w:r>
        <w:t>Furthermore, statistics provided as part of the local government settlement indicate the number of dwellings in Northamptonshire has increased by 1.2% since last year, compared to 0.8% on average for England.</w:t>
      </w:r>
    </w:p>
    <w:p w14:paraId="35FD3FB2" w14:textId="77777777" w:rsidR="007B2C90" w:rsidRPr="00C76FBD" w:rsidRDefault="007B2C90" w:rsidP="007B2C90">
      <w:pPr>
        <w:pStyle w:val="PanelPara"/>
      </w:pPr>
      <w:r w:rsidRPr="00C76FBD">
        <w:t xml:space="preserve">Police central funding has not kept pace with this population increase and whilst local council taxbase increases have contributed to total funding, central government grants, have not. </w:t>
      </w:r>
    </w:p>
    <w:p w14:paraId="4F814F81" w14:textId="77777777" w:rsidR="007B2C90" w:rsidRPr="00C23A89" w:rsidRDefault="007B2C90" w:rsidP="007B2C90">
      <w:pPr>
        <w:pStyle w:val="PanelPara"/>
      </w:pPr>
      <w:r w:rsidRPr="003E535A">
        <w:t>This means that 56% of Northamptonshire</w:t>
      </w:r>
      <w:r w:rsidRPr="00C23A89">
        <w:t xml:space="preserve"> Police’s funding is allocated on the basis of a funding formula which has not been updated for over 10 years; therefore, does not reflect current demands, does not reflect modern policing and does not reflect the significant growth in the county.</w:t>
      </w:r>
    </w:p>
    <w:p w14:paraId="2ED3D86A" w14:textId="259E2E29" w:rsidR="007B2C90" w:rsidRPr="00C23A89" w:rsidRDefault="007B2C90" w:rsidP="007B2C90">
      <w:pPr>
        <w:pStyle w:val="PanelPara"/>
      </w:pPr>
      <w:r w:rsidRPr="00C23A89">
        <w:lastRenderedPageBreak/>
        <w:t>Band D Council Tax levels vary significantly for Commissioners across the country and the PFCC strongly believes that the current funding formula does not best serve the residents of Northamptonshire, meaning that local residents are required to fund a higher level of the policing bill than they would in other areas.</w:t>
      </w:r>
    </w:p>
    <w:p w14:paraId="1022181A" w14:textId="77777777" w:rsidR="007B2C90" w:rsidRPr="00C23A89" w:rsidRDefault="007B2C90" w:rsidP="007B2C90">
      <w:pPr>
        <w:pStyle w:val="PanelPara"/>
      </w:pPr>
      <w:r>
        <w:t>She</w:t>
      </w:r>
      <w:r w:rsidRPr="00C23A89">
        <w:t xml:space="preserve"> will continue to work with national and regional colleagues to lobby to seek a fairer funding settlement on behalf of the residents of Northamptonshire.</w:t>
      </w:r>
    </w:p>
    <w:p w14:paraId="000C8B37" w14:textId="07035CC3" w:rsidR="00975740" w:rsidRPr="001D3CF5" w:rsidRDefault="00975740" w:rsidP="00DD0250">
      <w:pPr>
        <w:spacing w:line="240" w:lineRule="auto"/>
        <w:jc w:val="both"/>
        <w:rPr>
          <w:rFonts w:asciiTheme="minorHAnsi" w:hAnsiTheme="minorHAnsi" w:cstheme="minorHAnsi"/>
          <w:noProof/>
          <w:sz w:val="24"/>
          <w:szCs w:val="24"/>
          <w:lang w:eastAsia="en-GB"/>
        </w:rPr>
      </w:pPr>
    </w:p>
    <w:p w14:paraId="38130A5E" w14:textId="45CD2C7F" w:rsidR="00142CB4" w:rsidRPr="005B62D7" w:rsidRDefault="00FC4407" w:rsidP="00685B66">
      <w:pPr>
        <w:pStyle w:val="PanelHeading"/>
      </w:pPr>
      <w:r w:rsidRPr="005B62D7">
        <w:t>COUNCIL TAXBASE AND COUNCIL TAX PRECEPT INCOME</w:t>
      </w:r>
    </w:p>
    <w:p w14:paraId="5419BB55" w14:textId="5A3672F9" w:rsidR="00CC0A00" w:rsidRPr="00B21DB4" w:rsidRDefault="00CC0A00" w:rsidP="00CC0A00">
      <w:pPr>
        <w:pStyle w:val="PanelPara"/>
      </w:pPr>
      <w:r w:rsidRPr="00B21DB4">
        <w:t xml:space="preserve">The Council Tax and the level of precept is a fundamental part of the local government finance settlement and </w:t>
      </w:r>
      <w:r w:rsidRPr="00B21DB4">
        <w:rPr>
          <w:lang w:eastAsia="en-GB"/>
        </w:rPr>
        <w:t xml:space="preserve">depends on both the level of the Band D precept and the taxbase – the latter being the number of properties </w:t>
      </w:r>
      <w:r w:rsidR="00F95008">
        <w:rPr>
          <w:lang w:eastAsia="en-GB"/>
        </w:rPr>
        <w:t>expected</w:t>
      </w:r>
      <w:r w:rsidRPr="00B21DB4">
        <w:rPr>
          <w:lang w:eastAsia="en-GB"/>
        </w:rPr>
        <w:t xml:space="preserve"> to pay council tax.</w:t>
      </w:r>
    </w:p>
    <w:p w14:paraId="514DBF09" w14:textId="2DFA2BDD" w:rsidR="00762DC0" w:rsidRPr="005B62D7" w:rsidRDefault="00762DC0" w:rsidP="001722C3">
      <w:pPr>
        <w:pStyle w:val="PanelPara"/>
        <w:rPr>
          <w:lang w:eastAsia="en-GB"/>
        </w:rPr>
      </w:pPr>
      <w:r w:rsidRPr="005B62D7">
        <w:rPr>
          <w:lang w:eastAsia="en-GB"/>
        </w:rPr>
        <w:t>In Policing, the precept and the surplus on the collection fund accounts for around 4</w:t>
      </w:r>
      <w:r w:rsidR="00DD0250" w:rsidRPr="005B62D7">
        <w:rPr>
          <w:lang w:eastAsia="en-GB"/>
        </w:rPr>
        <w:t>4</w:t>
      </w:r>
      <w:r w:rsidRPr="005B62D7">
        <w:rPr>
          <w:lang w:eastAsia="en-GB"/>
        </w:rPr>
        <w:t xml:space="preserve">% of funding, </w:t>
      </w:r>
      <w:r w:rsidR="005B62D7">
        <w:rPr>
          <w:lang w:eastAsia="en-GB"/>
        </w:rPr>
        <w:t>so</w:t>
      </w:r>
      <w:r w:rsidRPr="005B62D7">
        <w:rPr>
          <w:lang w:eastAsia="en-GB"/>
        </w:rPr>
        <w:t xml:space="preserve"> any variations can have a significant impact. </w:t>
      </w:r>
    </w:p>
    <w:p w14:paraId="6B341415" w14:textId="3FF8D784" w:rsidR="00762DC0" w:rsidRPr="002D49E8" w:rsidRDefault="00CC0A00" w:rsidP="00CC0A00">
      <w:pPr>
        <w:pStyle w:val="PanelPara"/>
        <w:rPr>
          <w:lang w:eastAsia="en-GB"/>
        </w:rPr>
      </w:pPr>
      <w:bookmarkStart w:id="8" w:name="_Hlk186541689"/>
      <w:r w:rsidRPr="002D49E8">
        <w:rPr>
          <w:lang w:eastAsia="en-GB"/>
        </w:rPr>
        <w:t>Both</w:t>
      </w:r>
      <w:r w:rsidR="00762DC0" w:rsidRPr="002D49E8">
        <w:rPr>
          <w:lang w:eastAsia="en-GB"/>
        </w:rPr>
        <w:t xml:space="preserve"> </w:t>
      </w:r>
      <w:r w:rsidRPr="002D49E8">
        <w:rPr>
          <w:lang w:eastAsia="en-GB"/>
        </w:rPr>
        <w:t>u</w:t>
      </w:r>
      <w:r w:rsidR="00762DC0" w:rsidRPr="002D49E8">
        <w:rPr>
          <w:lang w:eastAsia="en-GB"/>
        </w:rPr>
        <w:t xml:space="preserve">nitary </w:t>
      </w:r>
      <w:r w:rsidRPr="002D49E8">
        <w:rPr>
          <w:lang w:eastAsia="en-GB"/>
        </w:rPr>
        <w:t>c</w:t>
      </w:r>
      <w:r w:rsidR="00762DC0" w:rsidRPr="002D49E8">
        <w:rPr>
          <w:lang w:eastAsia="en-GB"/>
        </w:rPr>
        <w:t>ouncils have advised the PFCC of their proposed taxbases for 202</w:t>
      </w:r>
      <w:r w:rsidR="005B62D7" w:rsidRPr="002D49E8">
        <w:rPr>
          <w:lang w:eastAsia="en-GB"/>
        </w:rPr>
        <w:t>5</w:t>
      </w:r>
      <w:r w:rsidR="00762DC0" w:rsidRPr="002D49E8">
        <w:rPr>
          <w:lang w:eastAsia="en-GB"/>
        </w:rPr>
        <w:t>/2</w:t>
      </w:r>
      <w:r w:rsidR="005B62D7" w:rsidRPr="002D49E8">
        <w:rPr>
          <w:lang w:eastAsia="en-GB"/>
        </w:rPr>
        <w:t>6</w:t>
      </w:r>
      <w:r w:rsidR="00762DC0" w:rsidRPr="002D49E8">
        <w:rPr>
          <w:lang w:eastAsia="en-GB"/>
        </w:rPr>
        <w:t xml:space="preserve">. </w:t>
      </w:r>
      <w:r w:rsidR="005B62D7" w:rsidRPr="002D49E8">
        <w:rPr>
          <w:lang w:eastAsia="en-GB"/>
        </w:rPr>
        <w:t xml:space="preserve"> </w:t>
      </w:r>
      <w:r w:rsidR="00762DC0" w:rsidRPr="002D49E8">
        <w:rPr>
          <w:lang w:eastAsia="en-GB"/>
        </w:rPr>
        <w:t>A comparison of the 202</w:t>
      </w:r>
      <w:r w:rsidR="005B62D7" w:rsidRPr="002D49E8">
        <w:rPr>
          <w:lang w:eastAsia="en-GB"/>
        </w:rPr>
        <w:t>4</w:t>
      </w:r>
      <w:r w:rsidR="00762DC0" w:rsidRPr="002D49E8">
        <w:rPr>
          <w:lang w:eastAsia="en-GB"/>
        </w:rPr>
        <w:t>/2</w:t>
      </w:r>
      <w:r w:rsidR="005B62D7" w:rsidRPr="002D49E8">
        <w:rPr>
          <w:lang w:eastAsia="en-GB"/>
        </w:rPr>
        <w:t>5</w:t>
      </w:r>
      <w:r w:rsidR="00762DC0" w:rsidRPr="002D49E8">
        <w:rPr>
          <w:lang w:eastAsia="en-GB"/>
        </w:rPr>
        <w:t xml:space="preserve"> and 202</w:t>
      </w:r>
      <w:r w:rsidR="005B62D7" w:rsidRPr="002D49E8">
        <w:rPr>
          <w:lang w:eastAsia="en-GB"/>
        </w:rPr>
        <w:t>5</w:t>
      </w:r>
      <w:r w:rsidR="00762DC0" w:rsidRPr="002D49E8">
        <w:rPr>
          <w:lang w:eastAsia="en-GB"/>
        </w:rPr>
        <w:t>/2</w:t>
      </w:r>
      <w:r w:rsidR="005B62D7" w:rsidRPr="002D49E8">
        <w:rPr>
          <w:lang w:eastAsia="en-GB"/>
        </w:rPr>
        <w:t>6</w:t>
      </w:r>
      <w:r w:rsidR="00762DC0" w:rsidRPr="002D49E8">
        <w:rPr>
          <w:lang w:eastAsia="en-GB"/>
        </w:rPr>
        <w:t xml:space="preserve"> figures reflects an average </w:t>
      </w:r>
      <w:r w:rsidR="00743EE5" w:rsidRPr="002D49E8">
        <w:rPr>
          <w:lang w:eastAsia="en-GB"/>
        </w:rPr>
        <w:t>2.02</w:t>
      </w:r>
      <w:r w:rsidR="00762DC0" w:rsidRPr="002D49E8">
        <w:rPr>
          <w:lang w:eastAsia="en-GB"/>
        </w:rPr>
        <w:t xml:space="preserve">% taxbase increase (compared to </w:t>
      </w:r>
      <w:r w:rsidR="005B62D7" w:rsidRPr="002D49E8">
        <w:rPr>
          <w:lang w:eastAsia="en-GB"/>
        </w:rPr>
        <w:t>0.85</w:t>
      </w:r>
      <w:r w:rsidR="00762DC0" w:rsidRPr="002D49E8">
        <w:rPr>
          <w:lang w:eastAsia="en-GB"/>
        </w:rPr>
        <w:t>% in 202</w:t>
      </w:r>
      <w:r w:rsidR="005B62D7" w:rsidRPr="002D49E8">
        <w:rPr>
          <w:lang w:eastAsia="en-GB"/>
        </w:rPr>
        <w:t>4</w:t>
      </w:r>
      <w:r w:rsidR="00762DC0" w:rsidRPr="002D49E8">
        <w:rPr>
          <w:lang w:eastAsia="en-GB"/>
        </w:rPr>
        <w:t>/2</w:t>
      </w:r>
      <w:r w:rsidR="005B62D7" w:rsidRPr="002D49E8">
        <w:rPr>
          <w:lang w:eastAsia="en-GB"/>
        </w:rPr>
        <w:t>5</w:t>
      </w:r>
      <w:r w:rsidR="00762DC0" w:rsidRPr="002D49E8">
        <w:rPr>
          <w:lang w:eastAsia="en-GB"/>
        </w:rPr>
        <w:t>) as follows:</w:t>
      </w:r>
    </w:p>
    <w:tbl>
      <w:tblPr>
        <w:tblW w:w="7440" w:type="dxa"/>
        <w:tblInd w:w="562" w:type="dxa"/>
        <w:tblLook w:val="04A0" w:firstRow="1" w:lastRow="0" w:firstColumn="1" w:lastColumn="0" w:noHBand="0" w:noVBand="1"/>
      </w:tblPr>
      <w:tblGrid>
        <w:gridCol w:w="1600"/>
        <w:gridCol w:w="1460"/>
        <w:gridCol w:w="1460"/>
        <w:gridCol w:w="1460"/>
        <w:gridCol w:w="1460"/>
      </w:tblGrid>
      <w:tr w:rsidR="00743EE5" w:rsidRPr="00743EE5" w14:paraId="5C4BF1C7" w14:textId="77777777" w:rsidTr="00743EE5">
        <w:trPr>
          <w:trHeight w:val="630"/>
        </w:trPr>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bookmarkEnd w:id="8"/>
          <w:p w14:paraId="36A78E6C" w14:textId="77777777" w:rsidR="00743EE5" w:rsidRPr="00743EE5" w:rsidRDefault="00743EE5" w:rsidP="00743EE5">
            <w:pPr>
              <w:spacing w:line="240" w:lineRule="auto"/>
              <w:rPr>
                <w:rFonts w:eastAsia="Times New Roman" w:cs="Calibri"/>
                <w:b/>
                <w:bCs/>
                <w:color w:val="000000"/>
                <w:sz w:val="24"/>
                <w:szCs w:val="24"/>
                <w:lang w:eastAsia="en-GB"/>
              </w:rPr>
            </w:pPr>
            <w:r w:rsidRPr="00743EE5">
              <w:rPr>
                <w:rFonts w:eastAsia="Times New Roman" w:cs="Calibri"/>
                <w:b/>
                <w:bCs/>
                <w:color w:val="000000"/>
                <w:sz w:val="24"/>
                <w:szCs w:val="24"/>
                <w:lang w:eastAsia="en-GB"/>
              </w:rPr>
              <w:t>Authority</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14:paraId="550F8A3E" w14:textId="77777777" w:rsidR="00743EE5" w:rsidRPr="00743EE5" w:rsidRDefault="00743EE5" w:rsidP="00743EE5">
            <w:pPr>
              <w:spacing w:line="240" w:lineRule="auto"/>
              <w:jc w:val="center"/>
              <w:rPr>
                <w:rFonts w:eastAsia="Times New Roman" w:cs="Calibri"/>
                <w:b/>
                <w:bCs/>
                <w:color w:val="000000"/>
                <w:sz w:val="24"/>
                <w:szCs w:val="24"/>
                <w:lang w:eastAsia="en-GB"/>
              </w:rPr>
            </w:pPr>
            <w:r w:rsidRPr="00743EE5">
              <w:rPr>
                <w:rFonts w:eastAsia="Times New Roman" w:cs="Calibri"/>
                <w:b/>
                <w:bCs/>
                <w:color w:val="000000"/>
                <w:sz w:val="24"/>
                <w:szCs w:val="24"/>
                <w:lang w:eastAsia="en-GB"/>
              </w:rPr>
              <w:t>2024/25</w:t>
            </w:r>
            <w:r w:rsidRPr="00743EE5">
              <w:rPr>
                <w:rFonts w:eastAsia="Times New Roman" w:cs="Calibri"/>
                <w:b/>
                <w:bCs/>
                <w:color w:val="000000"/>
                <w:sz w:val="24"/>
                <w:szCs w:val="24"/>
                <w:lang w:eastAsia="en-GB"/>
              </w:rPr>
              <w:br/>
              <w:t>(number)</w:t>
            </w:r>
          </w:p>
        </w:tc>
        <w:tc>
          <w:tcPr>
            <w:tcW w:w="1460" w:type="dxa"/>
            <w:tcBorders>
              <w:top w:val="single" w:sz="4" w:space="0" w:color="auto"/>
              <w:left w:val="nil"/>
              <w:bottom w:val="single" w:sz="4" w:space="0" w:color="auto"/>
              <w:right w:val="single" w:sz="4" w:space="0" w:color="auto"/>
            </w:tcBorders>
            <w:shd w:val="clear" w:color="000000" w:fill="DDEBF7"/>
            <w:vAlign w:val="center"/>
            <w:hideMark/>
          </w:tcPr>
          <w:p w14:paraId="50375187" w14:textId="77777777" w:rsidR="00743EE5" w:rsidRPr="00743EE5" w:rsidRDefault="00743EE5" w:rsidP="00743EE5">
            <w:pPr>
              <w:spacing w:line="240" w:lineRule="auto"/>
              <w:jc w:val="center"/>
              <w:rPr>
                <w:rFonts w:eastAsia="Times New Roman" w:cs="Calibri"/>
                <w:b/>
                <w:bCs/>
                <w:color w:val="000000"/>
                <w:sz w:val="24"/>
                <w:szCs w:val="24"/>
                <w:lang w:eastAsia="en-GB"/>
              </w:rPr>
            </w:pPr>
            <w:r w:rsidRPr="00743EE5">
              <w:rPr>
                <w:rFonts w:eastAsia="Times New Roman" w:cs="Calibri"/>
                <w:b/>
                <w:bCs/>
                <w:color w:val="000000"/>
                <w:sz w:val="24"/>
                <w:szCs w:val="24"/>
                <w:lang w:eastAsia="en-GB"/>
              </w:rPr>
              <w:t>2025/26</w:t>
            </w:r>
            <w:r w:rsidRPr="00743EE5">
              <w:rPr>
                <w:rFonts w:eastAsia="Times New Roman" w:cs="Calibri"/>
                <w:b/>
                <w:bCs/>
                <w:color w:val="000000"/>
                <w:sz w:val="24"/>
                <w:szCs w:val="24"/>
                <w:lang w:eastAsia="en-GB"/>
              </w:rPr>
              <w:br/>
              <w:t>(number)</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14:paraId="753F7C2F" w14:textId="77777777" w:rsidR="00743EE5" w:rsidRPr="00743EE5" w:rsidRDefault="00743EE5" w:rsidP="00743EE5">
            <w:pPr>
              <w:spacing w:line="240" w:lineRule="auto"/>
              <w:jc w:val="center"/>
              <w:rPr>
                <w:rFonts w:eastAsia="Times New Roman" w:cs="Calibri"/>
                <w:b/>
                <w:bCs/>
                <w:color w:val="000000"/>
                <w:sz w:val="24"/>
                <w:szCs w:val="24"/>
                <w:lang w:eastAsia="en-GB"/>
              </w:rPr>
            </w:pPr>
            <w:r w:rsidRPr="00743EE5">
              <w:rPr>
                <w:rFonts w:eastAsia="Times New Roman" w:cs="Calibri"/>
                <w:b/>
                <w:bCs/>
                <w:color w:val="000000"/>
                <w:sz w:val="24"/>
                <w:szCs w:val="24"/>
                <w:lang w:eastAsia="en-GB"/>
              </w:rPr>
              <w:t>Increase</w:t>
            </w:r>
            <w:r w:rsidRPr="00743EE5">
              <w:rPr>
                <w:rFonts w:eastAsia="Times New Roman" w:cs="Calibri"/>
                <w:b/>
                <w:bCs/>
                <w:color w:val="000000"/>
                <w:sz w:val="24"/>
                <w:szCs w:val="24"/>
                <w:lang w:eastAsia="en-GB"/>
              </w:rPr>
              <w:br/>
              <w:t>(number)</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14:paraId="1F8C169B" w14:textId="77777777" w:rsidR="00743EE5" w:rsidRPr="00743EE5" w:rsidRDefault="00743EE5" w:rsidP="00743EE5">
            <w:pPr>
              <w:spacing w:line="240" w:lineRule="auto"/>
              <w:jc w:val="center"/>
              <w:rPr>
                <w:rFonts w:eastAsia="Times New Roman" w:cs="Calibri"/>
                <w:b/>
                <w:bCs/>
                <w:color w:val="000000"/>
                <w:sz w:val="24"/>
                <w:szCs w:val="24"/>
                <w:lang w:eastAsia="en-GB"/>
              </w:rPr>
            </w:pPr>
            <w:r w:rsidRPr="00743EE5">
              <w:rPr>
                <w:rFonts w:eastAsia="Times New Roman" w:cs="Calibri"/>
                <w:b/>
                <w:bCs/>
                <w:color w:val="000000"/>
                <w:sz w:val="24"/>
                <w:szCs w:val="24"/>
                <w:lang w:eastAsia="en-GB"/>
              </w:rPr>
              <w:t>Increase</w:t>
            </w:r>
            <w:r w:rsidRPr="00743EE5">
              <w:rPr>
                <w:rFonts w:eastAsia="Times New Roman" w:cs="Calibri"/>
                <w:b/>
                <w:bCs/>
                <w:color w:val="000000"/>
                <w:sz w:val="24"/>
                <w:szCs w:val="24"/>
                <w:lang w:eastAsia="en-GB"/>
              </w:rPr>
              <w:br/>
              <w:t>%</w:t>
            </w:r>
          </w:p>
        </w:tc>
      </w:tr>
      <w:tr w:rsidR="00743EE5" w:rsidRPr="00743EE5" w14:paraId="00B96B3C" w14:textId="77777777" w:rsidTr="00743EE5">
        <w:trPr>
          <w:trHeight w:val="315"/>
        </w:trPr>
        <w:tc>
          <w:tcPr>
            <w:tcW w:w="1600" w:type="dxa"/>
            <w:tcBorders>
              <w:top w:val="nil"/>
              <w:left w:val="single" w:sz="4" w:space="0" w:color="auto"/>
              <w:bottom w:val="nil"/>
              <w:right w:val="single" w:sz="4" w:space="0" w:color="auto"/>
            </w:tcBorders>
            <w:shd w:val="clear" w:color="000000" w:fill="FFFFFF"/>
            <w:noWrap/>
            <w:vAlign w:val="bottom"/>
            <w:hideMark/>
          </w:tcPr>
          <w:p w14:paraId="68874558" w14:textId="77777777" w:rsidR="00743EE5" w:rsidRPr="00743EE5" w:rsidRDefault="00743EE5" w:rsidP="00743EE5">
            <w:pPr>
              <w:spacing w:line="240" w:lineRule="auto"/>
              <w:rPr>
                <w:rFonts w:eastAsia="Times New Roman" w:cs="Calibri"/>
                <w:color w:val="000000"/>
                <w:sz w:val="24"/>
                <w:szCs w:val="24"/>
                <w:lang w:eastAsia="en-GB"/>
              </w:rPr>
            </w:pPr>
            <w:r w:rsidRPr="00743EE5">
              <w:rPr>
                <w:rFonts w:eastAsia="Times New Roman" w:cs="Calibri"/>
                <w:color w:val="000000"/>
                <w:sz w:val="24"/>
                <w:szCs w:val="24"/>
                <w:lang w:eastAsia="en-GB"/>
              </w:rPr>
              <w:t>North</w:t>
            </w:r>
          </w:p>
        </w:tc>
        <w:tc>
          <w:tcPr>
            <w:tcW w:w="1460" w:type="dxa"/>
            <w:tcBorders>
              <w:top w:val="nil"/>
              <w:left w:val="nil"/>
              <w:bottom w:val="nil"/>
              <w:right w:val="single" w:sz="4" w:space="0" w:color="auto"/>
            </w:tcBorders>
            <w:shd w:val="clear" w:color="000000" w:fill="FFFFFF"/>
            <w:noWrap/>
            <w:vAlign w:val="bottom"/>
            <w:hideMark/>
          </w:tcPr>
          <w:p w14:paraId="287C29F2" w14:textId="77777777" w:rsidR="00743EE5" w:rsidRPr="00743EE5" w:rsidRDefault="00743EE5" w:rsidP="00743EE5">
            <w:pPr>
              <w:spacing w:line="240" w:lineRule="auto"/>
              <w:jc w:val="right"/>
              <w:rPr>
                <w:rFonts w:eastAsia="Times New Roman" w:cs="Calibri"/>
                <w:color w:val="000000"/>
                <w:sz w:val="24"/>
                <w:szCs w:val="24"/>
                <w:lang w:eastAsia="en-GB"/>
              </w:rPr>
            </w:pPr>
            <w:r w:rsidRPr="00743EE5">
              <w:rPr>
                <w:rFonts w:eastAsia="Times New Roman" w:cs="Calibri"/>
                <w:color w:val="000000"/>
                <w:sz w:val="24"/>
                <w:szCs w:val="24"/>
                <w:lang w:eastAsia="en-GB"/>
              </w:rPr>
              <w:t>115,847.00</w:t>
            </w:r>
          </w:p>
        </w:tc>
        <w:tc>
          <w:tcPr>
            <w:tcW w:w="1460" w:type="dxa"/>
            <w:tcBorders>
              <w:top w:val="nil"/>
              <w:left w:val="nil"/>
              <w:bottom w:val="nil"/>
              <w:right w:val="single" w:sz="4" w:space="0" w:color="auto"/>
            </w:tcBorders>
            <w:shd w:val="clear" w:color="000000" w:fill="DDEBF7"/>
            <w:noWrap/>
            <w:vAlign w:val="bottom"/>
            <w:hideMark/>
          </w:tcPr>
          <w:p w14:paraId="3E61EEBF" w14:textId="77777777" w:rsidR="00743EE5" w:rsidRPr="00743EE5" w:rsidRDefault="00743EE5" w:rsidP="00743EE5">
            <w:pPr>
              <w:spacing w:line="240" w:lineRule="auto"/>
              <w:jc w:val="right"/>
              <w:rPr>
                <w:rFonts w:eastAsia="Times New Roman" w:cs="Calibri"/>
                <w:color w:val="000000"/>
                <w:sz w:val="24"/>
                <w:szCs w:val="24"/>
                <w:lang w:eastAsia="en-GB"/>
              </w:rPr>
            </w:pPr>
            <w:r w:rsidRPr="00743EE5">
              <w:rPr>
                <w:rFonts w:eastAsia="Times New Roman" w:cs="Calibri"/>
                <w:color w:val="000000"/>
                <w:sz w:val="24"/>
                <w:szCs w:val="24"/>
                <w:lang w:eastAsia="en-GB"/>
              </w:rPr>
              <w:t>117,585.00</w:t>
            </w:r>
          </w:p>
        </w:tc>
        <w:tc>
          <w:tcPr>
            <w:tcW w:w="1460" w:type="dxa"/>
            <w:tcBorders>
              <w:top w:val="nil"/>
              <w:left w:val="nil"/>
              <w:bottom w:val="nil"/>
              <w:right w:val="single" w:sz="4" w:space="0" w:color="auto"/>
            </w:tcBorders>
            <w:shd w:val="clear" w:color="000000" w:fill="FFFFFF"/>
            <w:noWrap/>
            <w:vAlign w:val="bottom"/>
            <w:hideMark/>
          </w:tcPr>
          <w:p w14:paraId="4E10FA51" w14:textId="77777777" w:rsidR="00743EE5" w:rsidRPr="00743EE5" w:rsidRDefault="00743EE5" w:rsidP="00743EE5">
            <w:pPr>
              <w:spacing w:line="240" w:lineRule="auto"/>
              <w:jc w:val="right"/>
              <w:rPr>
                <w:rFonts w:eastAsia="Times New Roman" w:cs="Calibri"/>
                <w:color w:val="000000"/>
                <w:sz w:val="24"/>
                <w:szCs w:val="24"/>
                <w:lang w:eastAsia="en-GB"/>
              </w:rPr>
            </w:pPr>
            <w:r w:rsidRPr="00743EE5">
              <w:rPr>
                <w:rFonts w:eastAsia="Times New Roman" w:cs="Calibri"/>
                <w:color w:val="000000"/>
                <w:sz w:val="24"/>
                <w:szCs w:val="24"/>
                <w:lang w:eastAsia="en-GB"/>
              </w:rPr>
              <w:t>1,738.00</w:t>
            </w:r>
          </w:p>
        </w:tc>
        <w:tc>
          <w:tcPr>
            <w:tcW w:w="1460" w:type="dxa"/>
            <w:tcBorders>
              <w:top w:val="nil"/>
              <w:left w:val="nil"/>
              <w:bottom w:val="nil"/>
              <w:right w:val="single" w:sz="4" w:space="0" w:color="auto"/>
            </w:tcBorders>
            <w:shd w:val="clear" w:color="000000" w:fill="FFFFFF"/>
            <w:noWrap/>
            <w:vAlign w:val="bottom"/>
            <w:hideMark/>
          </w:tcPr>
          <w:p w14:paraId="7C5FC299" w14:textId="77777777" w:rsidR="00743EE5" w:rsidRPr="00743EE5" w:rsidRDefault="00743EE5" w:rsidP="00743EE5">
            <w:pPr>
              <w:spacing w:line="240" w:lineRule="auto"/>
              <w:jc w:val="right"/>
              <w:rPr>
                <w:rFonts w:eastAsia="Times New Roman" w:cs="Calibri"/>
                <w:color w:val="000000"/>
                <w:sz w:val="24"/>
                <w:szCs w:val="24"/>
                <w:lang w:eastAsia="en-GB"/>
              </w:rPr>
            </w:pPr>
            <w:r w:rsidRPr="00743EE5">
              <w:rPr>
                <w:rFonts w:eastAsia="Times New Roman" w:cs="Calibri"/>
                <w:color w:val="000000"/>
                <w:sz w:val="24"/>
                <w:szCs w:val="24"/>
                <w:lang w:eastAsia="en-GB"/>
              </w:rPr>
              <w:t>1.50%</w:t>
            </w:r>
          </w:p>
        </w:tc>
      </w:tr>
      <w:tr w:rsidR="00743EE5" w:rsidRPr="00743EE5" w14:paraId="586B33E8" w14:textId="77777777" w:rsidTr="00743EE5">
        <w:trPr>
          <w:trHeight w:val="315"/>
        </w:trPr>
        <w:tc>
          <w:tcPr>
            <w:tcW w:w="1600" w:type="dxa"/>
            <w:tcBorders>
              <w:top w:val="nil"/>
              <w:left w:val="single" w:sz="4" w:space="0" w:color="auto"/>
              <w:bottom w:val="nil"/>
              <w:right w:val="single" w:sz="4" w:space="0" w:color="auto"/>
            </w:tcBorders>
            <w:shd w:val="clear" w:color="000000" w:fill="FFFFFF"/>
            <w:noWrap/>
            <w:vAlign w:val="bottom"/>
            <w:hideMark/>
          </w:tcPr>
          <w:p w14:paraId="645395D1" w14:textId="77777777" w:rsidR="00743EE5" w:rsidRPr="00743EE5" w:rsidRDefault="00743EE5" w:rsidP="00743EE5">
            <w:pPr>
              <w:spacing w:line="240" w:lineRule="auto"/>
              <w:rPr>
                <w:rFonts w:eastAsia="Times New Roman" w:cs="Calibri"/>
                <w:color w:val="000000"/>
                <w:sz w:val="24"/>
                <w:szCs w:val="24"/>
                <w:lang w:eastAsia="en-GB"/>
              </w:rPr>
            </w:pPr>
            <w:r w:rsidRPr="00743EE5">
              <w:rPr>
                <w:rFonts w:eastAsia="Times New Roman" w:cs="Calibri"/>
                <w:color w:val="000000"/>
                <w:sz w:val="24"/>
                <w:szCs w:val="24"/>
                <w:lang w:eastAsia="en-GB"/>
              </w:rPr>
              <w:t>West</w:t>
            </w:r>
          </w:p>
        </w:tc>
        <w:tc>
          <w:tcPr>
            <w:tcW w:w="1460" w:type="dxa"/>
            <w:tcBorders>
              <w:top w:val="nil"/>
              <w:left w:val="nil"/>
              <w:bottom w:val="nil"/>
              <w:right w:val="single" w:sz="4" w:space="0" w:color="auto"/>
            </w:tcBorders>
            <w:shd w:val="clear" w:color="000000" w:fill="FFFFFF"/>
            <w:noWrap/>
            <w:vAlign w:val="bottom"/>
            <w:hideMark/>
          </w:tcPr>
          <w:p w14:paraId="75A75588" w14:textId="77777777" w:rsidR="00743EE5" w:rsidRPr="00743EE5" w:rsidRDefault="00743EE5" w:rsidP="00743EE5">
            <w:pPr>
              <w:spacing w:line="240" w:lineRule="auto"/>
              <w:jc w:val="right"/>
              <w:rPr>
                <w:rFonts w:eastAsia="Times New Roman" w:cs="Calibri"/>
                <w:color w:val="000000"/>
                <w:sz w:val="24"/>
                <w:szCs w:val="24"/>
                <w:lang w:eastAsia="en-GB"/>
              </w:rPr>
            </w:pPr>
            <w:r w:rsidRPr="00743EE5">
              <w:rPr>
                <w:rFonts w:eastAsia="Times New Roman" w:cs="Calibri"/>
                <w:color w:val="000000"/>
                <w:sz w:val="24"/>
                <w:szCs w:val="24"/>
                <w:lang w:eastAsia="en-GB"/>
              </w:rPr>
              <w:t>142,664.60</w:t>
            </w:r>
          </w:p>
        </w:tc>
        <w:tc>
          <w:tcPr>
            <w:tcW w:w="1460" w:type="dxa"/>
            <w:tcBorders>
              <w:top w:val="nil"/>
              <w:left w:val="nil"/>
              <w:bottom w:val="nil"/>
              <w:right w:val="single" w:sz="4" w:space="0" w:color="auto"/>
            </w:tcBorders>
            <w:shd w:val="clear" w:color="000000" w:fill="DDEBF7"/>
            <w:noWrap/>
            <w:vAlign w:val="bottom"/>
            <w:hideMark/>
          </w:tcPr>
          <w:p w14:paraId="2F892936" w14:textId="77777777" w:rsidR="00743EE5" w:rsidRPr="00743EE5" w:rsidRDefault="00743EE5" w:rsidP="00743EE5">
            <w:pPr>
              <w:spacing w:line="240" w:lineRule="auto"/>
              <w:jc w:val="right"/>
              <w:rPr>
                <w:rFonts w:eastAsia="Times New Roman" w:cs="Calibri"/>
                <w:color w:val="000000"/>
                <w:sz w:val="24"/>
                <w:szCs w:val="24"/>
                <w:lang w:eastAsia="en-GB"/>
              </w:rPr>
            </w:pPr>
            <w:r w:rsidRPr="00743EE5">
              <w:rPr>
                <w:rFonts w:eastAsia="Times New Roman" w:cs="Calibri"/>
                <w:color w:val="000000"/>
                <w:sz w:val="24"/>
                <w:szCs w:val="24"/>
                <w:lang w:eastAsia="en-GB"/>
              </w:rPr>
              <w:t>146,150.30</w:t>
            </w:r>
          </w:p>
        </w:tc>
        <w:tc>
          <w:tcPr>
            <w:tcW w:w="1460" w:type="dxa"/>
            <w:tcBorders>
              <w:top w:val="nil"/>
              <w:left w:val="nil"/>
              <w:bottom w:val="nil"/>
              <w:right w:val="single" w:sz="4" w:space="0" w:color="auto"/>
            </w:tcBorders>
            <w:shd w:val="clear" w:color="000000" w:fill="FFFFFF"/>
            <w:noWrap/>
            <w:vAlign w:val="bottom"/>
            <w:hideMark/>
          </w:tcPr>
          <w:p w14:paraId="3BFEB830" w14:textId="77777777" w:rsidR="00743EE5" w:rsidRPr="00743EE5" w:rsidRDefault="00743EE5" w:rsidP="00743EE5">
            <w:pPr>
              <w:spacing w:line="240" w:lineRule="auto"/>
              <w:jc w:val="right"/>
              <w:rPr>
                <w:rFonts w:eastAsia="Times New Roman" w:cs="Calibri"/>
                <w:color w:val="000000"/>
                <w:sz w:val="24"/>
                <w:szCs w:val="24"/>
                <w:lang w:eastAsia="en-GB"/>
              </w:rPr>
            </w:pPr>
            <w:r w:rsidRPr="00743EE5">
              <w:rPr>
                <w:rFonts w:eastAsia="Times New Roman" w:cs="Calibri"/>
                <w:color w:val="000000"/>
                <w:sz w:val="24"/>
                <w:szCs w:val="24"/>
                <w:lang w:eastAsia="en-GB"/>
              </w:rPr>
              <w:t>3,485.70</w:t>
            </w:r>
          </w:p>
        </w:tc>
        <w:tc>
          <w:tcPr>
            <w:tcW w:w="1460" w:type="dxa"/>
            <w:tcBorders>
              <w:top w:val="nil"/>
              <w:left w:val="nil"/>
              <w:bottom w:val="nil"/>
              <w:right w:val="single" w:sz="4" w:space="0" w:color="auto"/>
            </w:tcBorders>
            <w:shd w:val="clear" w:color="000000" w:fill="FFFFFF"/>
            <w:noWrap/>
            <w:vAlign w:val="bottom"/>
            <w:hideMark/>
          </w:tcPr>
          <w:p w14:paraId="35ECCC6D" w14:textId="77777777" w:rsidR="00743EE5" w:rsidRPr="00743EE5" w:rsidRDefault="00743EE5" w:rsidP="00743EE5">
            <w:pPr>
              <w:spacing w:line="240" w:lineRule="auto"/>
              <w:jc w:val="right"/>
              <w:rPr>
                <w:rFonts w:eastAsia="Times New Roman" w:cs="Calibri"/>
                <w:color w:val="000000"/>
                <w:sz w:val="24"/>
                <w:szCs w:val="24"/>
                <w:lang w:eastAsia="en-GB"/>
              </w:rPr>
            </w:pPr>
            <w:r w:rsidRPr="00743EE5">
              <w:rPr>
                <w:rFonts w:eastAsia="Times New Roman" w:cs="Calibri"/>
                <w:color w:val="000000"/>
                <w:sz w:val="24"/>
                <w:szCs w:val="24"/>
                <w:lang w:eastAsia="en-GB"/>
              </w:rPr>
              <w:t>2.44%</w:t>
            </w:r>
          </w:p>
        </w:tc>
      </w:tr>
      <w:tr w:rsidR="00743EE5" w:rsidRPr="00743EE5" w14:paraId="7554B5AE" w14:textId="77777777" w:rsidTr="00743EE5">
        <w:trPr>
          <w:trHeight w:val="315"/>
        </w:trPr>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B341F8" w14:textId="77777777" w:rsidR="00743EE5" w:rsidRPr="00743EE5" w:rsidRDefault="00743EE5" w:rsidP="00743EE5">
            <w:pPr>
              <w:spacing w:line="240" w:lineRule="auto"/>
              <w:rPr>
                <w:rFonts w:eastAsia="Times New Roman" w:cs="Calibri"/>
                <w:b/>
                <w:bCs/>
                <w:color w:val="000000"/>
                <w:sz w:val="24"/>
                <w:szCs w:val="24"/>
                <w:lang w:eastAsia="en-GB"/>
              </w:rPr>
            </w:pPr>
            <w:r w:rsidRPr="00743EE5">
              <w:rPr>
                <w:rFonts w:eastAsia="Times New Roman" w:cs="Calibri"/>
                <w:b/>
                <w:bCs/>
                <w:color w:val="000000"/>
                <w:sz w:val="24"/>
                <w:szCs w:val="24"/>
                <w:lang w:eastAsia="en-GB"/>
              </w:rPr>
              <w:t>TOTAL</w:t>
            </w:r>
          </w:p>
        </w:tc>
        <w:tc>
          <w:tcPr>
            <w:tcW w:w="1460" w:type="dxa"/>
            <w:tcBorders>
              <w:top w:val="single" w:sz="4" w:space="0" w:color="auto"/>
              <w:left w:val="nil"/>
              <w:bottom w:val="single" w:sz="4" w:space="0" w:color="auto"/>
              <w:right w:val="single" w:sz="4" w:space="0" w:color="auto"/>
            </w:tcBorders>
            <w:shd w:val="clear" w:color="000000" w:fill="FFFFFF"/>
            <w:noWrap/>
            <w:vAlign w:val="bottom"/>
            <w:hideMark/>
          </w:tcPr>
          <w:p w14:paraId="2EF69625" w14:textId="77777777" w:rsidR="00743EE5" w:rsidRPr="00743EE5" w:rsidRDefault="00743EE5" w:rsidP="00743EE5">
            <w:pPr>
              <w:spacing w:line="240" w:lineRule="auto"/>
              <w:jc w:val="right"/>
              <w:rPr>
                <w:rFonts w:eastAsia="Times New Roman" w:cs="Calibri"/>
                <w:b/>
                <w:bCs/>
                <w:color w:val="000000"/>
                <w:sz w:val="24"/>
                <w:szCs w:val="24"/>
                <w:lang w:eastAsia="en-GB"/>
              </w:rPr>
            </w:pPr>
            <w:r w:rsidRPr="00743EE5">
              <w:rPr>
                <w:rFonts w:eastAsia="Times New Roman" w:cs="Calibri"/>
                <w:b/>
                <w:bCs/>
                <w:color w:val="000000"/>
                <w:sz w:val="24"/>
                <w:szCs w:val="24"/>
                <w:lang w:eastAsia="en-GB"/>
              </w:rPr>
              <w:t>258,511.60</w:t>
            </w:r>
          </w:p>
        </w:tc>
        <w:tc>
          <w:tcPr>
            <w:tcW w:w="1460" w:type="dxa"/>
            <w:tcBorders>
              <w:top w:val="single" w:sz="4" w:space="0" w:color="auto"/>
              <w:left w:val="nil"/>
              <w:bottom w:val="single" w:sz="4" w:space="0" w:color="auto"/>
              <w:right w:val="single" w:sz="4" w:space="0" w:color="auto"/>
            </w:tcBorders>
            <w:shd w:val="clear" w:color="000000" w:fill="DDEBF7"/>
            <w:noWrap/>
            <w:vAlign w:val="bottom"/>
            <w:hideMark/>
          </w:tcPr>
          <w:p w14:paraId="44EAD51E" w14:textId="77777777" w:rsidR="00743EE5" w:rsidRPr="00743EE5" w:rsidRDefault="00743EE5" w:rsidP="00743EE5">
            <w:pPr>
              <w:spacing w:line="240" w:lineRule="auto"/>
              <w:jc w:val="right"/>
              <w:rPr>
                <w:rFonts w:eastAsia="Times New Roman" w:cs="Calibri"/>
                <w:b/>
                <w:bCs/>
                <w:color w:val="000000"/>
                <w:sz w:val="24"/>
                <w:szCs w:val="24"/>
                <w:lang w:eastAsia="en-GB"/>
              </w:rPr>
            </w:pPr>
            <w:r w:rsidRPr="00743EE5">
              <w:rPr>
                <w:rFonts w:eastAsia="Times New Roman" w:cs="Calibri"/>
                <w:b/>
                <w:bCs/>
                <w:color w:val="000000"/>
                <w:sz w:val="24"/>
                <w:szCs w:val="24"/>
                <w:lang w:eastAsia="en-GB"/>
              </w:rPr>
              <w:t>263,735.30</w:t>
            </w:r>
          </w:p>
        </w:tc>
        <w:tc>
          <w:tcPr>
            <w:tcW w:w="1460" w:type="dxa"/>
            <w:tcBorders>
              <w:top w:val="single" w:sz="4" w:space="0" w:color="auto"/>
              <w:left w:val="nil"/>
              <w:bottom w:val="single" w:sz="4" w:space="0" w:color="auto"/>
              <w:right w:val="single" w:sz="4" w:space="0" w:color="auto"/>
            </w:tcBorders>
            <w:shd w:val="clear" w:color="000000" w:fill="FFFFFF"/>
            <w:noWrap/>
            <w:vAlign w:val="bottom"/>
            <w:hideMark/>
          </w:tcPr>
          <w:p w14:paraId="7FFECB44" w14:textId="77777777" w:rsidR="00743EE5" w:rsidRPr="00743EE5" w:rsidRDefault="00743EE5" w:rsidP="00743EE5">
            <w:pPr>
              <w:spacing w:line="240" w:lineRule="auto"/>
              <w:jc w:val="right"/>
              <w:rPr>
                <w:rFonts w:eastAsia="Times New Roman" w:cs="Calibri"/>
                <w:b/>
                <w:bCs/>
                <w:color w:val="000000"/>
                <w:sz w:val="24"/>
                <w:szCs w:val="24"/>
                <w:lang w:eastAsia="en-GB"/>
              </w:rPr>
            </w:pPr>
            <w:r w:rsidRPr="00743EE5">
              <w:rPr>
                <w:rFonts w:eastAsia="Times New Roman" w:cs="Calibri"/>
                <w:b/>
                <w:bCs/>
                <w:color w:val="000000"/>
                <w:sz w:val="24"/>
                <w:szCs w:val="24"/>
                <w:lang w:eastAsia="en-GB"/>
              </w:rPr>
              <w:t>5,223.70</w:t>
            </w:r>
          </w:p>
        </w:tc>
        <w:tc>
          <w:tcPr>
            <w:tcW w:w="1460" w:type="dxa"/>
            <w:tcBorders>
              <w:top w:val="single" w:sz="4" w:space="0" w:color="auto"/>
              <w:left w:val="nil"/>
              <w:bottom w:val="single" w:sz="4" w:space="0" w:color="auto"/>
              <w:right w:val="single" w:sz="4" w:space="0" w:color="auto"/>
            </w:tcBorders>
            <w:shd w:val="clear" w:color="000000" w:fill="FFFFFF"/>
            <w:noWrap/>
            <w:vAlign w:val="bottom"/>
            <w:hideMark/>
          </w:tcPr>
          <w:p w14:paraId="6CC8FB11" w14:textId="77777777" w:rsidR="00743EE5" w:rsidRPr="00743EE5" w:rsidRDefault="00743EE5" w:rsidP="00743EE5">
            <w:pPr>
              <w:spacing w:line="240" w:lineRule="auto"/>
              <w:jc w:val="right"/>
              <w:rPr>
                <w:rFonts w:eastAsia="Times New Roman" w:cs="Calibri"/>
                <w:b/>
                <w:bCs/>
                <w:color w:val="000000"/>
                <w:sz w:val="24"/>
                <w:szCs w:val="24"/>
                <w:lang w:eastAsia="en-GB"/>
              </w:rPr>
            </w:pPr>
            <w:r w:rsidRPr="00743EE5">
              <w:rPr>
                <w:rFonts w:eastAsia="Times New Roman" w:cs="Calibri"/>
                <w:b/>
                <w:bCs/>
                <w:color w:val="000000"/>
                <w:sz w:val="24"/>
                <w:szCs w:val="24"/>
                <w:lang w:eastAsia="en-GB"/>
              </w:rPr>
              <w:t>2.02%</w:t>
            </w:r>
          </w:p>
        </w:tc>
      </w:tr>
    </w:tbl>
    <w:p w14:paraId="5C6FCD52" w14:textId="77777777" w:rsidR="00762DC0" w:rsidRPr="002D49E8" w:rsidRDefault="00762DC0" w:rsidP="00762DC0">
      <w:pPr>
        <w:spacing w:line="240" w:lineRule="auto"/>
        <w:rPr>
          <w:rFonts w:asciiTheme="minorHAnsi" w:hAnsiTheme="minorHAnsi" w:cstheme="minorHAnsi"/>
          <w:sz w:val="24"/>
          <w:szCs w:val="24"/>
          <w:lang w:eastAsia="en-GB"/>
        </w:rPr>
      </w:pPr>
    </w:p>
    <w:p w14:paraId="48249E80" w14:textId="70A325CF" w:rsidR="00762DC0" w:rsidRPr="002D49E8" w:rsidRDefault="002D49E8" w:rsidP="004E111D">
      <w:pPr>
        <w:pStyle w:val="PanelPara"/>
        <w:rPr>
          <w:lang w:eastAsia="en-GB"/>
        </w:rPr>
      </w:pPr>
      <w:r w:rsidRPr="002D49E8">
        <w:rPr>
          <w:lang w:eastAsia="en-GB"/>
        </w:rPr>
        <w:t xml:space="preserve">This increase is higher than the average of 0.8% </w:t>
      </w:r>
      <w:r w:rsidR="006730C2" w:rsidRPr="002D49E8">
        <w:rPr>
          <w:lang w:eastAsia="en-GB"/>
        </w:rPr>
        <w:t>used</w:t>
      </w:r>
      <w:r w:rsidR="00762DC0" w:rsidRPr="002D49E8">
        <w:rPr>
          <w:lang w:eastAsia="en-GB"/>
        </w:rPr>
        <w:t xml:space="preserve"> by the Home Office for the </w:t>
      </w:r>
      <w:r w:rsidRPr="002D49E8">
        <w:rPr>
          <w:lang w:eastAsia="en-GB"/>
        </w:rPr>
        <w:t>p</w:t>
      </w:r>
      <w:r w:rsidR="00762DC0" w:rsidRPr="002D49E8">
        <w:rPr>
          <w:lang w:eastAsia="en-GB"/>
        </w:rPr>
        <w:t xml:space="preserve">olicing settlement. </w:t>
      </w:r>
    </w:p>
    <w:p w14:paraId="254A68B8" w14:textId="292B64AB" w:rsidR="00C432D6" w:rsidRPr="002D49E8" w:rsidRDefault="000C4CE1" w:rsidP="001722C3">
      <w:pPr>
        <w:pStyle w:val="PanelPara"/>
        <w:rPr>
          <w:lang w:eastAsia="en-GB"/>
        </w:rPr>
      </w:pPr>
      <w:bookmarkStart w:id="9" w:name="_Hlk186541714"/>
      <w:r w:rsidRPr="002D49E8">
        <w:rPr>
          <w:lang w:eastAsia="en-GB"/>
        </w:rPr>
        <w:t>T</w:t>
      </w:r>
      <w:r w:rsidR="00762DC0" w:rsidRPr="002D49E8">
        <w:rPr>
          <w:lang w:eastAsia="en-GB"/>
        </w:rPr>
        <w:t xml:space="preserve">he MTFP assumes average but prudent increases in the taxbase and the </w:t>
      </w:r>
      <w:r w:rsidR="002D49E8" w:rsidRPr="002D49E8">
        <w:rPr>
          <w:lang w:eastAsia="en-GB"/>
        </w:rPr>
        <w:t>s</w:t>
      </w:r>
      <w:r w:rsidR="00762DC0" w:rsidRPr="002D49E8">
        <w:rPr>
          <w:lang w:eastAsia="en-GB"/>
        </w:rPr>
        <w:t>151 officers will continue to link in with West</w:t>
      </w:r>
      <w:r w:rsidR="00AE0643" w:rsidRPr="002D49E8">
        <w:rPr>
          <w:lang w:eastAsia="en-GB"/>
        </w:rPr>
        <w:t xml:space="preserve"> Northamptonshire</w:t>
      </w:r>
      <w:r w:rsidR="00762DC0" w:rsidRPr="002D49E8">
        <w:rPr>
          <w:lang w:eastAsia="en-GB"/>
        </w:rPr>
        <w:t xml:space="preserve"> and North</w:t>
      </w:r>
      <w:r w:rsidR="00AE0643" w:rsidRPr="002D49E8">
        <w:rPr>
          <w:lang w:eastAsia="en-GB"/>
        </w:rPr>
        <w:t xml:space="preserve"> Northamptonshire</w:t>
      </w:r>
      <w:r w:rsidR="00762DC0" w:rsidRPr="002D49E8">
        <w:rPr>
          <w:lang w:eastAsia="en-GB"/>
        </w:rPr>
        <w:t xml:space="preserve"> </w:t>
      </w:r>
      <w:r w:rsidR="002D49E8" w:rsidRPr="002D49E8">
        <w:rPr>
          <w:lang w:eastAsia="en-GB"/>
        </w:rPr>
        <w:t>finance</w:t>
      </w:r>
      <w:r w:rsidR="00762DC0" w:rsidRPr="002D49E8">
        <w:rPr>
          <w:lang w:eastAsia="en-GB"/>
        </w:rPr>
        <w:t xml:space="preserve"> colleagues to ensure future forecasts align. </w:t>
      </w:r>
    </w:p>
    <w:p w14:paraId="7B0B07E9" w14:textId="43A2C2C5" w:rsidR="00AE75DF" w:rsidRPr="002D49E8" w:rsidRDefault="00C432D6" w:rsidP="00FF3F04">
      <w:pPr>
        <w:pStyle w:val="PanelPara"/>
        <w:rPr>
          <w:lang w:eastAsia="en-GB"/>
        </w:rPr>
      </w:pPr>
      <w:bookmarkStart w:id="10" w:name="_Hlk186541730"/>
      <w:bookmarkEnd w:id="9"/>
      <w:r w:rsidRPr="002D49E8">
        <w:rPr>
          <w:lang w:eastAsia="en-GB"/>
        </w:rPr>
        <w:t>Total precept funding is a combination of the tax</w:t>
      </w:r>
      <w:r w:rsidR="002D49E8" w:rsidRPr="002D49E8">
        <w:rPr>
          <w:lang w:eastAsia="en-GB"/>
        </w:rPr>
        <w:t xml:space="preserve"> </w:t>
      </w:r>
      <w:r w:rsidRPr="002D49E8">
        <w:rPr>
          <w:lang w:eastAsia="en-GB"/>
        </w:rPr>
        <w:t>base</w:t>
      </w:r>
      <w:r w:rsidR="002D49E8" w:rsidRPr="002D49E8">
        <w:rPr>
          <w:lang w:eastAsia="en-GB"/>
        </w:rPr>
        <w:t xml:space="preserve"> and precept</w:t>
      </w:r>
      <w:r w:rsidRPr="002D49E8">
        <w:rPr>
          <w:lang w:eastAsia="en-GB"/>
        </w:rPr>
        <w:t xml:space="preserve"> increase as follows:</w:t>
      </w:r>
    </w:p>
    <w:tbl>
      <w:tblPr>
        <w:tblW w:w="5640" w:type="dxa"/>
        <w:tblInd w:w="562" w:type="dxa"/>
        <w:tblLook w:val="04A0" w:firstRow="1" w:lastRow="0" w:firstColumn="1" w:lastColumn="0" w:noHBand="0" w:noVBand="1"/>
      </w:tblPr>
      <w:tblGrid>
        <w:gridCol w:w="1420"/>
        <w:gridCol w:w="2800"/>
        <w:gridCol w:w="1420"/>
      </w:tblGrid>
      <w:tr w:rsidR="002D49E8" w:rsidRPr="002D49E8" w14:paraId="3D48BA38" w14:textId="77777777" w:rsidTr="002D49E8">
        <w:trPr>
          <w:trHeight w:val="630"/>
        </w:trPr>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bookmarkEnd w:id="10"/>
          <w:p w14:paraId="515D3AD8" w14:textId="77777777" w:rsidR="002D49E8" w:rsidRPr="002D49E8" w:rsidRDefault="002D49E8" w:rsidP="002D49E8">
            <w:pPr>
              <w:spacing w:line="240" w:lineRule="auto"/>
              <w:jc w:val="center"/>
              <w:rPr>
                <w:rFonts w:eastAsia="Times New Roman" w:cs="Calibri"/>
                <w:b/>
                <w:bCs/>
                <w:color w:val="000000"/>
                <w:sz w:val="24"/>
                <w:szCs w:val="24"/>
                <w:lang w:eastAsia="en-GB"/>
              </w:rPr>
            </w:pPr>
            <w:r w:rsidRPr="002D49E8">
              <w:rPr>
                <w:rFonts w:eastAsia="Times New Roman" w:cs="Calibri"/>
                <w:b/>
                <w:bCs/>
                <w:color w:val="000000"/>
                <w:sz w:val="24"/>
                <w:szCs w:val="24"/>
                <w:lang w:eastAsia="en-GB"/>
              </w:rPr>
              <w:t>2024/25</w:t>
            </w:r>
            <w:r w:rsidRPr="002D49E8">
              <w:rPr>
                <w:rFonts w:eastAsia="Times New Roman" w:cs="Calibri"/>
                <w:b/>
                <w:bCs/>
                <w:color w:val="000000"/>
                <w:sz w:val="24"/>
                <w:szCs w:val="24"/>
                <w:lang w:eastAsia="en-GB"/>
              </w:rPr>
              <w:br/>
              <w:t>£</w:t>
            </w:r>
          </w:p>
        </w:tc>
        <w:tc>
          <w:tcPr>
            <w:tcW w:w="2800" w:type="dxa"/>
            <w:tcBorders>
              <w:top w:val="single" w:sz="4" w:space="0" w:color="auto"/>
              <w:left w:val="nil"/>
              <w:bottom w:val="single" w:sz="4" w:space="0" w:color="auto"/>
              <w:right w:val="single" w:sz="4" w:space="0" w:color="auto"/>
            </w:tcBorders>
            <w:shd w:val="clear" w:color="000000" w:fill="FFFFFF"/>
            <w:vAlign w:val="center"/>
            <w:hideMark/>
          </w:tcPr>
          <w:p w14:paraId="00A74E35" w14:textId="77777777" w:rsidR="002D49E8" w:rsidRPr="002D49E8" w:rsidRDefault="002D49E8" w:rsidP="002D49E8">
            <w:pPr>
              <w:spacing w:line="240" w:lineRule="auto"/>
              <w:jc w:val="center"/>
              <w:rPr>
                <w:rFonts w:eastAsia="Times New Roman" w:cs="Calibri"/>
                <w:b/>
                <w:bCs/>
                <w:color w:val="000000"/>
                <w:sz w:val="24"/>
                <w:szCs w:val="24"/>
                <w:lang w:eastAsia="en-GB"/>
              </w:rPr>
            </w:pPr>
            <w:r w:rsidRPr="002D49E8">
              <w:rPr>
                <w:rFonts w:eastAsia="Times New Roman" w:cs="Calibri"/>
                <w:b/>
                <w:bCs/>
                <w:color w:val="000000"/>
                <w:sz w:val="24"/>
                <w:szCs w:val="24"/>
                <w:lang w:eastAsia="en-GB"/>
              </w:rPr>
              <w:t> </w:t>
            </w:r>
          </w:p>
        </w:tc>
        <w:tc>
          <w:tcPr>
            <w:tcW w:w="1420" w:type="dxa"/>
            <w:tcBorders>
              <w:top w:val="single" w:sz="4" w:space="0" w:color="auto"/>
              <w:left w:val="nil"/>
              <w:bottom w:val="single" w:sz="4" w:space="0" w:color="auto"/>
              <w:right w:val="single" w:sz="4" w:space="0" w:color="auto"/>
            </w:tcBorders>
            <w:shd w:val="clear" w:color="000000" w:fill="DDEBF7"/>
            <w:vAlign w:val="center"/>
            <w:hideMark/>
          </w:tcPr>
          <w:p w14:paraId="2D7003A6" w14:textId="77777777" w:rsidR="002D49E8" w:rsidRPr="002D49E8" w:rsidRDefault="002D49E8" w:rsidP="002D49E8">
            <w:pPr>
              <w:spacing w:line="240" w:lineRule="auto"/>
              <w:jc w:val="center"/>
              <w:rPr>
                <w:rFonts w:eastAsia="Times New Roman" w:cs="Calibri"/>
                <w:b/>
                <w:bCs/>
                <w:color w:val="000000"/>
                <w:sz w:val="24"/>
                <w:szCs w:val="24"/>
                <w:lang w:eastAsia="en-GB"/>
              </w:rPr>
            </w:pPr>
            <w:r w:rsidRPr="002D49E8">
              <w:rPr>
                <w:rFonts w:eastAsia="Times New Roman" w:cs="Calibri"/>
                <w:b/>
                <w:bCs/>
                <w:color w:val="000000"/>
                <w:sz w:val="24"/>
                <w:szCs w:val="24"/>
                <w:lang w:eastAsia="en-GB"/>
              </w:rPr>
              <w:t>2025/26</w:t>
            </w:r>
            <w:r w:rsidRPr="002D49E8">
              <w:rPr>
                <w:rFonts w:eastAsia="Times New Roman" w:cs="Calibri"/>
                <w:b/>
                <w:bCs/>
                <w:color w:val="000000"/>
                <w:sz w:val="24"/>
                <w:szCs w:val="24"/>
                <w:lang w:eastAsia="en-GB"/>
              </w:rPr>
              <w:br/>
              <w:t>£</w:t>
            </w:r>
          </w:p>
        </w:tc>
      </w:tr>
      <w:tr w:rsidR="002D49E8" w:rsidRPr="002D49E8" w14:paraId="3AEA642C" w14:textId="77777777" w:rsidTr="002D49E8">
        <w:trPr>
          <w:trHeight w:val="315"/>
        </w:trPr>
        <w:tc>
          <w:tcPr>
            <w:tcW w:w="1420" w:type="dxa"/>
            <w:tcBorders>
              <w:top w:val="nil"/>
              <w:left w:val="single" w:sz="4" w:space="0" w:color="auto"/>
              <w:bottom w:val="nil"/>
              <w:right w:val="single" w:sz="4" w:space="0" w:color="auto"/>
            </w:tcBorders>
            <w:shd w:val="clear" w:color="000000" w:fill="FFFFFF"/>
            <w:noWrap/>
            <w:vAlign w:val="bottom"/>
            <w:hideMark/>
          </w:tcPr>
          <w:p w14:paraId="2A1CBD31" w14:textId="77777777" w:rsidR="002D49E8" w:rsidRPr="002D49E8" w:rsidRDefault="002D49E8" w:rsidP="002D49E8">
            <w:pPr>
              <w:spacing w:line="240" w:lineRule="auto"/>
              <w:rPr>
                <w:rFonts w:eastAsia="Times New Roman" w:cs="Calibri"/>
                <w:color w:val="000000"/>
                <w:sz w:val="24"/>
                <w:szCs w:val="24"/>
                <w:lang w:eastAsia="en-GB"/>
              </w:rPr>
            </w:pPr>
            <w:r w:rsidRPr="002D49E8">
              <w:rPr>
                <w:rFonts w:eastAsia="Times New Roman" w:cs="Calibri"/>
                <w:color w:val="000000"/>
                <w:sz w:val="24"/>
                <w:szCs w:val="24"/>
                <w:lang w:eastAsia="en-GB"/>
              </w:rPr>
              <w:t> </w:t>
            </w:r>
          </w:p>
        </w:tc>
        <w:tc>
          <w:tcPr>
            <w:tcW w:w="2800" w:type="dxa"/>
            <w:tcBorders>
              <w:top w:val="nil"/>
              <w:left w:val="nil"/>
              <w:bottom w:val="nil"/>
              <w:right w:val="nil"/>
            </w:tcBorders>
            <w:shd w:val="clear" w:color="000000" w:fill="FFFFFF"/>
            <w:noWrap/>
            <w:vAlign w:val="bottom"/>
            <w:hideMark/>
          </w:tcPr>
          <w:p w14:paraId="2B92BD7F" w14:textId="77777777" w:rsidR="002D49E8" w:rsidRPr="002D49E8" w:rsidRDefault="002D49E8" w:rsidP="002D49E8">
            <w:pPr>
              <w:spacing w:line="240" w:lineRule="auto"/>
              <w:rPr>
                <w:rFonts w:eastAsia="Times New Roman" w:cs="Calibri"/>
                <w:color w:val="000000"/>
                <w:sz w:val="24"/>
                <w:szCs w:val="24"/>
                <w:u w:val="single"/>
                <w:lang w:eastAsia="en-GB"/>
              </w:rPr>
            </w:pPr>
            <w:r w:rsidRPr="002D49E8">
              <w:rPr>
                <w:rFonts w:eastAsia="Times New Roman" w:cs="Calibri"/>
                <w:color w:val="000000"/>
                <w:sz w:val="24"/>
                <w:szCs w:val="24"/>
                <w:u w:val="single"/>
                <w:lang w:eastAsia="en-GB"/>
              </w:rPr>
              <w:t>Tax base changes</w:t>
            </w:r>
          </w:p>
        </w:tc>
        <w:tc>
          <w:tcPr>
            <w:tcW w:w="1420" w:type="dxa"/>
            <w:tcBorders>
              <w:top w:val="nil"/>
              <w:left w:val="single" w:sz="4" w:space="0" w:color="auto"/>
              <w:bottom w:val="nil"/>
              <w:right w:val="single" w:sz="4" w:space="0" w:color="auto"/>
            </w:tcBorders>
            <w:shd w:val="clear" w:color="000000" w:fill="DDEBF7"/>
            <w:noWrap/>
            <w:vAlign w:val="bottom"/>
            <w:hideMark/>
          </w:tcPr>
          <w:p w14:paraId="377C698F" w14:textId="77777777" w:rsidR="002D49E8" w:rsidRPr="002D49E8" w:rsidRDefault="002D49E8" w:rsidP="002D49E8">
            <w:pPr>
              <w:spacing w:line="240" w:lineRule="auto"/>
              <w:rPr>
                <w:rFonts w:eastAsia="Times New Roman" w:cs="Calibri"/>
                <w:color w:val="000000"/>
                <w:sz w:val="24"/>
                <w:szCs w:val="24"/>
                <w:lang w:eastAsia="en-GB"/>
              </w:rPr>
            </w:pPr>
            <w:r w:rsidRPr="002D49E8">
              <w:rPr>
                <w:rFonts w:eastAsia="Times New Roman" w:cs="Calibri"/>
                <w:color w:val="000000"/>
                <w:sz w:val="24"/>
                <w:szCs w:val="24"/>
                <w:lang w:eastAsia="en-GB"/>
              </w:rPr>
              <w:t> </w:t>
            </w:r>
          </w:p>
        </w:tc>
      </w:tr>
      <w:tr w:rsidR="002D49E8" w:rsidRPr="002D49E8" w14:paraId="7F7BA62D" w14:textId="77777777" w:rsidTr="002D49E8">
        <w:trPr>
          <w:trHeight w:val="315"/>
        </w:trPr>
        <w:tc>
          <w:tcPr>
            <w:tcW w:w="1420" w:type="dxa"/>
            <w:tcBorders>
              <w:top w:val="nil"/>
              <w:left w:val="single" w:sz="4" w:space="0" w:color="auto"/>
              <w:bottom w:val="nil"/>
              <w:right w:val="single" w:sz="4" w:space="0" w:color="auto"/>
            </w:tcBorders>
            <w:shd w:val="clear" w:color="000000" w:fill="FFFFFF"/>
            <w:noWrap/>
            <w:vAlign w:val="bottom"/>
            <w:hideMark/>
          </w:tcPr>
          <w:p w14:paraId="4D11C1ED" w14:textId="77777777" w:rsidR="002D49E8" w:rsidRPr="002D49E8" w:rsidRDefault="002D49E8" w:rsidP="002D49E8">
            <w:pPr>
              <w:spacing w:line="240" w:lineRule="auto"/>
              <w:jc w:val="right"/>
              <w:rPr>
                <w:rFonts w:eastAsia="Times New Roman" w:cs="Calibri"/>
                <w:color w:val="000000"/>
                <w:sz w:val="24"/>
                <w:szCs w:val="24"/>
                <w:lang w:eastAsia="en-GB"/>
              </w:rPr>
            </w:pPr>
            <w:r w:rsidRPr="002D49E8">
              <w:rPr>
                <w:rFonts w:eastAsia="Times New Roman" w:cs="Calibri"/>
                <w:color w:val="000000"/>
                <w:sz w:val="24"/>
                <w:szCs w:val="24"/>
                <w:lang w:eastAsia="en-GB"/>
              </w:rPr>
              <w:t>459,487</w:t>
            </w:r>
          </w:p>
        </w:tc>
        <w:tc>
          <w:tcPr>
            <w:tcW w:w="2800" w:type="dxa"/>
            <w:tcBorders>
              <w:top w:val="nil"/>
              <w:left w:val="nil"/>
              <w:bottom w:val="nil"/>
              <w:right w:val="nil"/>
            </w:tcBorders>
            <w:shd w:val="clear" w:color="000000" w:fill="FFFFFF"/>
            <w:noWrap/>
            <w:vAlign w:val="bottom"/>
            <w:hideMark/>
          </w:tcPr>
          <w:p w14:paraId="3D49880D" w14:textId="77777777" w:rsidR="002D49E8" w:rsidRPr="002D49E8" w:rsidRDefault="002D49E8" w:rsidP="002D49E8">
            <w:pPr>
              <w:spacing w:line="240" w:lineRule="auto"/>
              <w:rPr>
                <w:rFonts w:eastAsia="Times New Roman" w:cs="Calibri"/>
                <w:color w:val="000000"/>
                <w:sz w:val="24"/>
                <w:szCs w:val="24"/>
                <w:lang w:eastAsia="en-GB"/>
              </w:rPr>
            </w:pPr>
            <w:r w:rsidRPr="002D49E8">
              <w:rPr>
                <w:rFonts w:eastAsia="Times New Roman" w:cs="Calibri"/>
                <w:color w:val="000000"/>
                <w:sz w:val="24"/>
                <w:szCs w:val="24"/>
                <w:lang w:eastAsia="en-GB"/>
              </w:rPr>
              <w:t>- North</w:t>
            </w:r>
          </w:p>
        </w:tc>
        <w:tc>
          <w:tcPr>
            <w:tcW w:w="1420" w:type="dxa"/>
            <w:tcBorders>
              <w:top w:val="nil"/>
              <w:left w:val="single" w:sz="4" w:space="0" w:color="auto"/>
              <w:bottom w:val="nil"/>
              <w:right w:val="single" w:sz="4" w:space="0" w:color="auto"/>
            </w:tcBorders>
            <w:shd w:val="clear" w:color="000000" w:fill="DDEBF7"/>
            <w:noWrap/>
            <w:vAlign w:val="bottom"/>
            <w:hideMark/>
          </w:tcPr>
          <w:p w14:paraId="48F5243A" w14:textId="77777777" w:rsidR="002D49E8" w:rsidRPr="002D49E8" w:rsidRDefault="002D49E8" w:rsidP="002D49E8">
            <w:pPr>
              <w:spacing w:line="240" w:lineRule="auto"/>
              <w:jc w:val="right"/>
              <w:rPr>
                <w:rFonts w:eastAsia="Times New Roman" w:cs="Calibri"/>
                <w:color w:val="000000"/>
                <w:sz w:val="24"/>
                <w:szCs w:val="24"/>
                <w:lang w:eastAsia="en-GB"/>
              </w:rPr>
            </w:pPr>
            <w:r w:rsidRPr="002D49E8">
              <w:rPr>
                <w:rFonts w:eastAsia="Times New Roman" w:cs="Calibri"/>
                <w:color w:val="000000"/>
                <w:sz w:val="24"/>
                <w:szCs w:val="24"/>
                <w:lang w:eastAsia="en-GB"/>
              </w:rPr>
              <w:t>531,898</w:t>
            </w:r>
          </w:p>
        </w:tc>
      </w:tr>
      <w:tr w:rsidR="002D49E8" w:rsidRPr="002D49E8" w14:paraId="0C08CE9B" w14:textId="77777777" w:rsidTr="002D49E8">
        <w:trPr>
          <w:trHeight w:val="315"/>
        </w:trPr>
        <w:tc>
          <w:tcPr>
            <w:tcW w:w="1420" w:type="dxa"/>
            <w:tcBorders>
              <w:top w:val="nil"/>
              <w:left w:val="single" w:sz="4" w:space="0" w:color="auto"/>
              <w:bottom w:val="nil"/>
              <w:right w:val="single" w:sz="4" w:space="0" w:color="auto"/>
            </w:tcBorders>
            <w:shd w:val="clear" w:color="000000" w:fill="FFFFFF"/>
            <w:noWrap/>
            <w:vAlign w:val="bottom"/>
            <w:hideMark/>
          </w:tcPr>
          <w:p w14:paraId="45A2F5C6" w14:textId="77777777" w:rsidR="002D49E8" w:rsidRPr="002D49E8" w:rsidRDefault="002D49E8" w:rsidP="002D49E8">
            <w:pPr>
              <w:spacing w:line="240" w:lineRule="auto"/>
              <w:jc w:val="right"/>
              <w:rPr>
                <w:rFonts w:eastAsia="Times New Roman" w:cs="Calibri"/>
                <w:color w:val="000000"/>
                <w:sz w:val="24"/>
                <w:szCs w:val="24"/>
                <w:lang w:eastAsia="en-GB"/>
              </w:rPr>
            </w:pPr>
            <w:r w:rsidRPr="002D49E8">
              <w:rPr>
                <w:rFonts w:eastAsia="Times New Roman" w:cs="Calibri"/>
                <w:color w:val="000000"/>
                <w:sz w:val="24"/>
                <w:szCs w:val="24"/>
                <w:lang w:eastAsia="en-GB"/>
              </w:rPr>
              <w:t>176,938</w:t>
            </w:r>
          </w:p>
        </w:tc>
        <w:tc>
          <w:tcPr>
            <w:tcW w:w="2800" w:type="dxa"/>
            <w:tcBorders>
              <w:top w:val="nil"/>
              <w:left w:val="nil"/>
              <w:bottom w:val="nil"/>
              <w:right w:val="nil"/>
            </w:tcBorders>
            <w:shd w:val="clear" w:color="000000" w:fill="FFFFFF"/>
            <w:noWrap/>
            <w:vAlign w:val="bottom"/>
            <w:hideMark/>
          </w:tcPr>
          <w:p w14:paraId="17BB764A" w14:textId="77777777" w:rsidR="002D49E8" w:rsidRPr="002D49E8" w:rsidRDefault="002D49E8" w:rsidP="002D49E8">
            <w:pPr>
              <w:spacing w:line="240" w:lineRule="auto"/>
              <w:rPr>
                <w:rFonts w:eastAsia="Times New Roman" w:cs="Calibri"/>
                <w:color w:val="000000"/>
                <w:sz w:val="24"/>
                <w:szCs w:val="24"/>
                <w:lang w:eastAsia="en-GB"/>
              </w:rPr>
            </w:pPr>
            <w:r w:rsidRPr="002D49E8">
              <w:rPr>
                <w:rFonts w:eastAsia="Times New Roman" w:cs="Calibri"/>
                <w:color w:val="000000"/>
                <w:sz w:val="24"/>
                <w:szCs w:val="24"/>
                <w:lang w:eastAsia="en-GB"/>
              </w:rPr>
              <w:t>- West</w:t>
            </w:r>
          </w:p>
        </w:tc>
        <w:tc>
          <w:tcPr>
            <w:tcW w:w="1420" w:type="dxa"/>
            <w:tcBorders>
              <w:top w:val="nil"/>
              <w:left w:val="single" w:sz="4" w:space="0" w:color="auto"/>
              <w:bottom w:val="nil"/>
              <w:right w:val="single" w:sz="4" w:space="0" w:color="auto"/>
            </w:tcBorders>
            <w:shd w:val="clear" w:color="000000" w:fill="DDEBF7"/>
            <w:noWrap/>
            <w:vAlign w:val="bottom"/>
            <w:hideMark/>
          </w:tcPr>
          <w:p w14:paraId="0DB5A1B1" w14:textId="77777777" w:rsidR="002D49E8" w:rsidRPr="002D49E8" w:rsidRDefault="002D49E8" w:rsidP="002D49E8">
            <w:pPr>
              <w:spacing w:line="240" w:lineRule="auto"/>
              <w:jc w:val="right"/>
              <w:rPr>
                <w:rFonts w:eastAsia="Times New Roman" w:cs="Calibri"/>
                <w:color w:val="000000"/>
                <w:sz w:val="24"/>
                <w:szCs w:val="24"/>
                <w:lang w:eastAsia="en-GB"/>
              </w:rPr>
            </w:pPr>
            <w:r w:rsidRPr="002D49E8">
              <w:rPr>
                <w:rFonts w:eastAsia="Times New Roman" w:cs="Calibri"/>
                <w:color w:val="000000"/>
                <w:sz w:val="24"/>
                <w:szCs w:val="24"/>
                <w:lang w:eastAsia="en-GB"/>
              </w:rPr>
              <w:t>1,066,764</w:t>
            </w:r>
          </w:p>
        </w:tc>
      </w:tr>
      <w:tr w:rsidR="002D49E8" w:rsidRPr="002D49E8" w14:paraId="15271FA8" w14:textId="77777777" w:rsidTr="002D49E8">
        <w:trPr>
          <w:trHeight w:val="315"/>
        </w:trPr>
        <w:tc>
          <w:tcPr>
            <w:tcW w:w="1420" w:type="dxa"/>
            <w:tcBorders>
              <w:top w:val="single" w:sz="4" w:space="0" w:color="auto"/>
              <w:left w:val="single" w:sz="4" w:space="0" w:color="auto"/>
              <w:bottom w:val="nil"/>
              <w:right w:val="single" w:sz="4" w:space="0" w:color="auto"/>
            </w:tcBorders>
            <w:shd w:val="clear" w:color="000000" w:fill="FFFFFF"/>
            <w:noWrap/>
            <w:vAlign w:val="bottom"/>
            <w:hideMark/>
          </w:tcPr>
          <w:p w14:paraId="48EAD8D7" w14:textId="77777777" w:rsidR="002D49E8" w:rsidRPr="002D49E8" w:rsidRDefault="002D49E8" w:rsidP="002D49E8">
            <w:pPr>
              <w:spacing w:line="240" w:lineRule="auto"/>
              <w:jc w:val="right"/>
              <w:rPr>
                <w:rFonts w:eastAsia="Times New Roman" w:cs="Calibri"/>
                <w:b/>
                <w:bCs/>
                <w:color w:val="000000"/>
                <w:sz w:val="24"/>
                <w:szCs w:val="24"/>
                <w:lang w:eastAsia="en-GB"/>
              </w:rPr>
            </w:pPr>
            <w:r w:rsidRPr="002D49E8">
              <w:rPr>
                <w:rFonts w:eastAsia="Times New Roman" w:cs="Calibri"/>
                <w:b/>
                <w:bCs/>
                <w:color w:val="000000"/>
                <w:sz w:val="24"/>
                <w:szCs w:val="24"/>
                <w:lang w:eastAsia="en-GB"/>
              </w:rPr>
              <w:t>636,424</w:t>
            </w:r>
          </w:p>
        </w:tc>
        <w:tc>
          <w:tcPr>
            <w:tcW w:w="2800" w:type="dxa"/>
            <w:tcBorders>
              <w:top w:val="nil"/>
              <w:left w:val="nil"/>
              <w:bottom w:val="nil"/>
              <w:right w:val="nil"/>
            </w:tcBorders>
            <w:shd w:val="clear" w:color="000000" w:fill="FFFFFF"/>
            <w:noWrap/>
            <w:vAlign w:val="bottom"/>
            <w:hideMark/>
          </w:tcPr>
          <w:p w14:paraId="748D8359" w14:textId="77777777" w:rsidR="002D49E8" w:rsidRPr="002D49E8" w:rsidRDefault="002D49E8" w:rsidP="002D49E8">
            <w:pPr>
              <w:spacing w:line="240" w:lineRule="auto"/>
              <w:rPr>
                <w:rFonts w:eastAsia="Times New Roman" w:cs="Calibri"/>
                <w:b/>
                <w:bCs/>
                <w:color w:val="000000"/>
                <w:sz w:val="24"/>
                <w:szCs w:val="24"/>
                <w:lang w:eastAsia="en-GB"/>
              </w:rPr>
            </w:pPr>
            <w:r w:rsidRPr="002D49E8">
              <w:rPr>
                <w:rFonts w:eastAsia="Times New Roman" w:cs="Calibri"/>
                <w:b/>
                <w:bCs/>
                <w:color w:val="000000"/>
                <w:sz w:val="24"/>
                <w:szCs w:val="24"/>
                <w:lang w:eastAsia="en-GB"/>
              </w:rPr>
              <w:t> </w:t>
            </w:r>
          </w:p>
        </w:tc>
        <w:tc>
          <w:tcPr>
            <w:tcW w:w="1420" w:type="dxa"/>
            <w:tcBorders>
              <w:top w:val="single" w:sz="4" w:space="0" w:color="auto"/>
              <w:left w:val="single" w:sz="4" w:space="0" w:color="auto"/>
              <w:bottom w:val="nil"/>
              <w:right w:val="single" w:sz="4" w:space="0" w:color="auto"/>
            </w:tcBorders>
            <w:shd w:val="clear" w:color="000000" w:fill="DDEBF7"/>
            <w:noWrap/>
            <w:vAlign w:val="bottom"/>
            <w:hideMark/>
          </w:tcPr>
          <w:p w14:paraId="73F4E5F7" w14:textId="77777777" w:rsidR="002D49E8" w:rsidRPr="002D49E8" w:rsidRDefault="002D49E8" w:rsidP="002D49E8">
            <w:pPr>
              <w:spacing w:line="240" w:lineRule="auto"/>
              <w:jc w:val="right"/>
              <w:rPr>
                <w:rFonts w:eastAsia="Times New Roman" w:cs="Calibri"/>
                <w:b/>
                <w:bCs/>
                <w:color w:val="000000"/>
                <w:sz w:val="24"/>
                <w:szCs w:val="24"/>
                <w:lang w:eastAsia="en-GB"/>
              </w:rPr>
            </w:pPr>
            <w:r w:rsidRPr="002D49E8">
              <w:rPr>
                <w:rFonts w:eastAsia="Times New Roman" w:cs="Calibri"/>
                <w:b/>
                <w:bCs/>
                <w:color w:val="000000"/>
                <w:sz w:val="24"/>
                <w:szCs w:val="24"/>
                <w:lang w:eastAsia="en-GB"/>
              </w:rPr>
              <w:t>1,598,661</w:t>
            </w:r>
          </w:p>
        </w:tc>
      </w:tr>
      <w:tr w:rsidR="002D49E8" w:rsidRPr="002D49E8" w14:paraId="51E0123A" w14:textId="77777777" w:rsidTr="002D49E8">
        <w:trPr>
          <w:trHeight w:val="315"/>
        </w:trPr>
        <w:tc>
          <w:tcPr>
            <w:tcW w:w="1420" w:type="dxa"/>
            <w:tcBorders>
              <w:top w:val="nil"/>
              <w:left w:val="single" w:sz="4" w:space="0" w:color="auto"/>
              <w:bottom w:val="nil"/>
              <w:right w:val="single" w:sz="4" w:space="0" w:color="auto"/>
            </w:tcBorders>
            <w:shd w:val="clear" w:color="000000" w:fill="FFFFFF"/>
            <w:noWrap/>
            <w:vAlign w:val="bottom"/>
            <w:hideMark/>
          </w:tcPr>
          <w:p w14:paraId="18F62B4D" w14:textId="77777777" w:rsidR="002D49E8" w:rsidRPr="002D49E8" w:rsidRDefault="002D49E8" w:rsidP="002D49E8">
            <w:pPr>
              <w:spacing w:line="240" w:lineRule="auto"/>
              <w:rPr>
                <w:rFonts w:eastAsia="Times New Roman" w:cs="Calibri"/>
                <w:color w:val="000000"/>
                <w:sz w:val="24"/>
                <w:szCs w:val="24"/>
                <w:lang w:eastAsia="en-GB"/>
              </w:rPr>
            </w:pPr>
            <w:r w:rsidRPr="002D49E8">
              <w:rPr>
                <w:rFonts w:eastAsia="Times New Roman" w:cs="Calibri"/>
                <w:color w:val="000000"/>
                <w:sz w:val="24"/>
                <w:szCs w:val="24"/>
                <w:lang w:eastAsia="en-GB"/>
              </w:rPr>
              <w:t> </w:t>
            </w:r>
          </w:p>
        </w:tc>
        <w:tc>
          <w:tcPr>
            <w:tcW w:w="2800" w:type="dxa"/>
            <w:tcBorders>
              <w:top w:val="nil"/>
              <w:left w:val="nil"/>
              <w:bottom w:val="nil"/>
              <w:right w:val="nil"/>
            </w:tcBorders>
            <w:shd w:val="clear" w:color="000000" w:fill="FFFFFF"/>
            <w:noWrap/>
            <w:vAlign w:val="bottom"/>
            <w:hideMark/>
          </w:tcPr>
          <w:p w14:paraId="36E7F673" w14:textId="77777777" w:rsidR="002D49E8" w:rsidRPr="002D49E8" w:rsidRDefault="002D49E8" w:rsidP="002D49E8">
            <w:pPr>
              <w:spacing w:line="240" w:lineRule="auto"/>
              <w:rPr>
                <w:rFonts w:eastAsia="Times New Roman" w:cs="Calibri"/>
                <w:color w:val="000000"/>
                <w:sz w:val="24"/>
                <w:szCs w:val="24"/>
                <w:u w:val="single"/>
                <w:lang w:eastAsia="en-GB"/>
              </w:rPr>
            </w:pPr>
            <w:r w:rsidRPr="002D49E8">
              <w:rPr>
                <w:rFonts w:eastAsia="Times New Roman" w:cs="Calibri"/>
                <w:color w:val="000000"/>
                <w:sz w:val="24"/>
                <w:szCs w:val="24"/>
                <w:u w:val="single"/>
                <w:lang w:eastAsia="en-GB"/>
              </w:rPr>
              <w:t>Precept Increase</w:t>
            </w:r>
          </w:p>
        </w:tc>
        <w:tc>
          <w:tcPr>
            <w:tcW w:w="1420" w:type="dxa"/>
            <w:tcBorders>
              <w:top w:val="nil"/>
              <w:left w:val="single" w:sz="4" w:space="0" w:color="auto"/>
              <w:bottom w:val="nil"/>
              <w:right w:val="single" w:sz="4" w:space="0" w:color="auto"/>
            </w:tcBorders>
            <w:shd w:val="clear" w:color="000000" w:fill="DDEBF7"/>
            <w:noWrap/>
            <w:vAlign w:val="bottom"/>
            <w:hideMark/>
          </w:tcPr>
          <w:p w14:paraId="7BE66C92" w14:textId="77777777" w:rsidR="002D49E8" w:rsidRPr="002D49E8" w:rsidRDefault="002D49E8" w:rsidP="002D49E8">
            <w:pPr>
              <w:spacing w:line="240" w:lineRule="auto"/>
              <w:rPr>
                <w:rFonts w:eastAsia="Times New Roman" w:cs="Calibri"/>
                <w:color w:val="000000"/>
                <w:sz w:val="24"/>
                <w:szCs w:val="24"/>
                <w:lang w:eastAsia="en-GB"/>
              </w:rPr>
            </w:pPr>
            <w:r w:rsidRPr="002D49E8">
              <w:rPr>
                <w:rFonts w:eastAsia="Times New Roman" w:cs="Calibri"/>
                <w:color w:val="000000"/>
                <w:sz w:val="24"/>
                <w:szCs w:val="24"/>
                <w:lang w:eastAsia="en-GB"/>
              </w:rPr>
              <w:t> </w:t>
            </w:r>
          </w:p>
        </w:tc>
      </w:tr>
      <w:tr w:rsidR="002D49E8" w:rsidRPr="002D49E8" w14:paraId="6C747512" w14:textId="77777777" w:rsidTr="002D49E8">
        <w:trPr>
          <w:trHeight w:val="315"/>
        </w:trPr>
        <w:tc>
          <w:tcPr>
            <w:tcW w:w="1420" w:type="dxa"/>
            <w:tcBorders>
              <w:top w:val="nil"/>
              <w:left w:val="single" w:sz="4" w:space="0" w:color="auto"/>
              <w:bottom w:val="nil"/>
              <w:right w:val="single" w:sz="4" w:space="0" w:color="auto"/>
            </w:tcBorders>
            <w:shd w:val="clear" w:color="000000" w:fill="FFFFFF"/>
            <w:noWrap/>
            <w:vAlign w:val="bottom"/>
            <w:hideMark/>
          </w:tcPr>
          <w:p w14:paraId="1C281835" w14:textId="77777777" w:rsidR="002D49E8" w:rsidRPr="002D49E8" w:rsidRDefault="002D49E8" w:rsidP="002D49E8">
            <w:pPr>
              <w:spacing w:line="240" w:lineRule="auto"/>
              <w:jc w:val="right"/>
              <w:rPr>
                <w:rFonts w:eastAsia="Times New Roman" w:cs="Calibri"/>
                <w:color w:val="000000"/>
                <w:sz w:val="24"/>
                <w:szCs w:val="24"/>
                <w:lang w:eastAsia="en-GB"/>
              </w:rPr>
            </w:pPr>
            <w:r w:rsidRPr="002D49E8">
              <w:rPr>
                <w:rFonts w:eastAsia="Times New Roman" w:cs="Calibri"/>
                <w:color w:val="000000"/>
                <w:sz w:val="24"/>
                <w:szCs w:val="24"/>
                <w:lang w:eastAsia="en-GB"/>
              </w:rPr>
              <w:t>1,506,011</w:t>
            </w:r>
          </w:p>
        </w:tc>
        <w:tc>
          <w:tcPr>
            <w:tcW w:w="2800" w:type="dxa"/>
            <w:tcBorders>
              <w:top w:val="nil"/>
              <w:left w:val="nil"/>
              <w:bottom w:val="nil"/>
              <w:right w:val="nil"/>
            </w:tcBorders>
            <w:shd w:val="clear" w:color="000000" w:fill="FFFFFF"/>
            <w:noWrap/>
            <w:vAlign w:val="bottom"/>
            <w:hideMark/>
          </w:tcPr>
          <w:p w14:paraId="49357AA0" w14:textId="77777777" w:rsidR="002D49E8" w:rsidRPr="002D49E8" w:rsidRDefault="002D49E8" w:rsidP="002D49E8">
            <w:pPr>
              <w:spacing w:line="240" w:lineRule="auto"/>
              <w:rPr>
                <w:rFonts w:eastAsia="Times New Roman" w:cs="Calibri"/>
                <w:color w:val="000000"/>
                <w:sz w:val="24"/>
                <w:szCs w:val="24"/>
                <w:lang w:eastAsia="en-GB"/>
              </w:rPr>
            </w:pPr>
            <w:r w:rsidRPr="002D49E8">
              <w:rPr>
                <w:rFonts w:eastAsia="Times New Roman" w:cs="Calibri"/>
                <w:color w:val="000000"/>
                <w:sz w:val="24"/>
                <w:szCs w:val="24"/>
                <w:lang w:eastAsia="en-GB"/>
              </w:rPr>
              <w:t>- North</w:t>
            </w:r>
          </w:p>
        </w:tc>
        <w:tc>
          <w:tcPr>
            <w:tcW w:w="1420" w:type="dxa"/>
            <w:tcBorders>
              <w:top w:val="nil"/>
              <w:left w:val="single" w:sz="4" w:space="0" w:color="auto"/>
              <w:bottom w:val="nil"/>
              <w:right w:val="single" w:sz="4" w:space="0" w:color="auto"/>
            </w:tcBorders>
            <w:shd w:val="clear" w:color="000000" w:fill="DDEBF7"/>
            <w:noWrap/>
            <w:vAlign w:val="bottom"/>
            <w:hideMark/>
          </w:tcPr>
          <w:p w14:paraId="23AE3002" w14:textId="77777777" w:rsidR="002D49E8" w:rsidRPr="002D49E8" w:rsidRDefault="002D49E8" w:rsidP="002D49E8">
            <w:pPr>
              <w:spacing w:line="240" w:lineRule="auto"/>
              <w:jc w:val="right"/>
              <w:rPr>
                <w:rFonts w:eastAsia="Times New Roman" w:cs="Calibri"/>
                <w:color w:val="000000"/>
                <w:sz w:val="24"/>
                <w:szCs w:val="24"/>
                <w:lang w:eastAsia="en-GB"/>
              </w:rPr>
            </w:pPr>
            <w:r w:rsidRPr="002D49E8">
              <w:rPr>
                <w:rFonts w:eastAsia="Times New Roman" w:cs="Calibri"/>
                <w:color w:val="000000"/>
                <w:sz w:val="24"/>
                <w:szCs w:val="24"/>
                <w:lang w:eastAsia="en-GB"/>
              </w:rPr>
              <w:t>1,646,190</w:t>
            </w:r>
          </w:p>
        </w:tc>
      </w:tr>
      <w:tr w:rsidR="002D49E8" w:rsidRPr="002D49E8" w14:paraId="2225EE07" w14:textId="77777777" w:rsidTr="002D49E8">
        <w:trPr>
          <w:trHeight w:val="315"/>
        </w:trPr>
        <w:tc>
          <w:tcPr>
            <w:tcW w:w="1420" w:type="dxa"/>
            <w:tcBorders>
              <w:top w:val="nil"/>
              <w:left w:val="single" w:sz="4" w:space="0" w:color="auto"/>
              <w:bottom w:val="nil"/>
              <w:right w:val="single" w:sz="4" w:space="0" w:color="auto"/>
            </w:tcBorders>
            <w:shd w:val="clear" w:color="000000" w:fill="FFFFFF"/>
            <w:noWrap/>
            <w:vAlign w:val="bottom"/>
            <w:hideMark/>
          </w:tcPr>
          <w:p w14:paraId="4ABC2428" w14:textId="77777777" w:rsidR="002D49E8" w:rsidRPr="002D49E8" w:rsidRDefault="002D49E8" w:rsidP="002D49E8">
            <w:pPr>
              <w:spacing w:line="240" w:lineRule="auto"/>
              <w:jc w:val="right"/>
              <w:rPr>
                <w:rFonts w:eastAsia="Times New Roman" w:cs="Calibri"/>
                <w:color w:val="000000"/>
                <w:sz w:val="24"/>
                <w:szCs w:val="24"/>
                <w:lang w:eastAsia="en-GB"/>
              </w:rPr>
            </w:pPr>
            <w:r w:rsidRPr="002D49E8">
              <w:rPr>
                <w:rFonts w:eastAsia="Times New Roman" w:cs="Calibri"/>
                <w:color w:val="000000"/>
                <w:sz w:val="24"/>
                <w:szCs w:val="24"/>
                <w:lang w:eastAsia="en-GB"/>
              </w:rPr>
              <w:t>1,854,640</w:t>
            </w:r>
          </w:p>
        </w:tc>
        <w:tc>
          <w:tcPr>
            <w:tcW w:w="2800" w:type="dxa"/>
            <w:tcBorders>
              <w:top w:val="nil"/>
              <w:left w:val="nil"/>
              <w:bottom w:val="nil"/>
              <w:right w:val="nil"/>
            </w:tcBorders>
            <w:shd w:val="clear" w:color="000000" w:fill="FFFFFF"/>
            <w:noWrap/>
            <w:vAlign w:val="bottom"/>
            <w:hideMark/>
          </w:tcPr>
          <w:p w14:paraId="2EC3ECAC" w14:textId="77777777" w:rsidR="002D49E8" w:rsidRPr="002D49E8" w:rsidRDefault="002D49E8" w:rsidP="002D49E8">
            <w:pPr>
              <w:spacing w:line="240" w:lineRule="auto"/>
              <w:rPr>
                <w:rFonts w:eastAsia="Times New Roman" w:cs="Calibri"/>
                <w:color w:val="000000"/>
                <w:sz w:val="24"/>
                <w:szCs w:val="24"/>
                <w:lang w:eastAsia="en-GB"/>
              </w:rPr>
            </w:pPr>
            <w:r w:rsidRPr="002D49E8">
              <w:rPr>
                <w:rFonts w:eastAsia="Times New Roman" w:cs="Calibri"/>
                <w:color w:val="000000"/>
                <w:sz w:val="24"/>
                <w:szCs w:val="24"/>
                <w:lang w:eastAsia="en-GB"/>
              </w:rPr>
              <w:t>- West</w:t>
            </w:r>
          </w:p>
        </w:tc>
        <w:tc>
          <w:tcPr>
            <w:tcW w:w="1420" w:type="dxa"/>
            <w:tcBorders>
              <w:top w:val="nil"/>
              <w:left w:val="single" w:sz="4" w:space="0" w:color="auto"/>
              <w:bottom w:val="nil"/>
              <w:right w:val="single" w:sz="4" w:space="0" w:color="auto"/>
            </w:tcBorders>
            <w:shd w:val="clear" w:color="000000" w:fill="DDEBF7"/>
            <w:noWrap/>
            <w:vAlign w:val="bottom"/>
            <w:hideMark/>
          </w:tcPr>
          <w:p w14:paraId="2D5B49AB" w14:textId="77777777" w:rsidR="002D49E8" w:rsidRPr="002D49E8" w:rsidRDefault="002D49E8" w:rsidP="002D49E8">
            <w:pPr>
              <w:spacing w:line="240" w:lineRule="auto"/>
              <w:jc w:val="right"/>
              <w:rPr>
                <w:rFonts w:eastAsia="Times New Roman" w:cs="Calibri"/>
                <w:color w:val="000000"/>
                <w:sz w:val="24"/>
                <w:szCs w:val="24"/>
                <w:lang w:eastAsia="en-GB"/>
              </w:rPr>
            </w:pPr>
            <w:r w:rsidRPr="002D49E8">
              <w:rPr>
                <w:rFonts w:eastAsia="Times New Roman" w:cs="Calibri"/>
                <w:color w:val="000000"/>
                <w:sz w:val="24"/>
                <w:szCs w:val="24"/>
                <w:lang w:eastAsia="en-GB"/>
              </w:rPr>
              <w:t>2,046,104</w:t>
            </w:r>
          </w:p>
        </w:tc>
      </w:tr>
      <w:tr w:rsidR="002D49E8" w:rsidRPr="002D49E8" w14:paraId="5AB04E24" w14:textId="77777777" w:rsidTr="002D49E8">
        <w:trPr>
          <w:trHeight w:val="315"/>
        </w:trPr>
        <w:tc>
          <w:tcPr>
            <w:tcW w:w="1420" w:type="dxa"/>
            <w:tcBorders>
              <w:top w:val="single" w:sz="4" w:space="0" w:color="auto"/>
              <w:left w:val="single" w:sz="4" w:space="0" w:color="auto"/>
              <w:bottom w:val="nil"/>
              <w:right w:val="single" w:sz="4" w:space="0" w:color="auto"/>
            </w:tcBorders>
            <w:shd w:val="clear" w:color="000000" w:fill="FFFFFF"/>
            <w:noWrap/>
            <w:vAlign w:val="bottom"/>
            <w:hideMark/>
          </w:tcPr>
          <w:p w14:paraId="24295245" w14:textId="77777777" w:rsidR="002D49E8" w:rsidRPr="002D49E8" w:rsidRDefault="002D49E8" w:rsidP="002D49E8">
            <w:pPr>
              <w:spacing w:line="240" w:lineRule="auto"/>
              <w:jc w:val="right"/>
              <w:rPr>
                <w:rFonts w:eastAsia="Times New Roman" w:cs="Calibri"/>
                <w:b/>
                <w:bCs/>
                <w:color w:val="000000"/>
                <w:sz w:val="24"/>
                <w:szCs w:val="24"/>
                <w:lang w:eastAsia="en-GB"/>
              </w:rPr>
            </w:pPr>
            <w:r w:rsidRPr="002D49E8">
              <w:rPr>
                <w:rFonts w:eastAsia="Times New Roman" w:cs="Calibri"/>
                <w:b/>
                <w:bCs/>
                <w:color w:val="000000"/>
                <w:sz w:val="24"/>
                <w:szCs w:val="24"/>
                <w:lang w:eastAsia="en-GB"/>
              </w:rPr>
              <w:t>3,360,651</w:t>
            </w:r>
          </w:p>
        </w:tc>
        <w:tc>
          <w:tcPr>
            <w:tcW w:w="2800" w:type="dxa"/>
            <w:tcBorders>
              <w:top w:val="nil"/>
              <w:left w:val="nil"/>
              <w:bottom w:val="nil"/>
              <w:right w:val="nil"/>
            </w:tcBorders>
            <w:shd w:val="clear" w:color="000000" w:fill="FFFFFF"/>
            <w:noWrap/>
            <w:vAlign w:val="bottom"/>
            <w:hideMark/>
          </w:tcPr>
          <w:p w14:paraId="6045DEBB" w14:textId="77777777" w:rsidR="002D49E8" w:rsidRPr="002D49E8" w:rsidRDefault="002D49E8" w:rsidP="002D49E8">
            <w:pPr>
              <w:spacing w:line="240" w:lineRule="auto"/>
              <w:rPr>
                <w:rFonts w:eastAsia="Times New Roman" w:cs="Calibri"/>
                <w:b/>
                <w:bCs/>
                <w:color w:val="000000"/>
                <w:sz w:val="24"/>
                <w:szCs w:val="24"/>
                <w:lang w:eastAsia="en-GB"/>
              </w:rPr>
            </w:pPr>
            <w:r w:rsidRPr="002D49E8">
              <w:rPr>
                <w:rFonts w:eastAsia="Times New Roman" w:cs="Calibri"/>
                <w:b/>
                <w:bCs/>
                <w:color w:val="000000"/>
                <w:sz w:val="24"/>
                <w:szCs w:val="24"/>
                <w:lang w:eastAsia="en-GB"/>
              </w:rPr>
              <w:t> </w:t>
            </w:r>
          </w:p>
        </w:tc>
        <w:tc>
          <w:tcPr>
            <w:tcW w:w="1420" w:type="dxa"/>
            <w:tcBorders>
              <w:top w:val="single" w:sz="4" w:space="0" w:color="auto"/>
              <w:left w:val="single" w:sz="4" w:space="0" w:color="auto"/>
              <w:bottom w:val="nil"/>
              <w:right w:val="single" w:sz="4" w:space="0" w:color="auto"/>
            </w:tcBorders>
            <w:shd w:val="clear" w:color="000000" w:fill="DDEBF7"/>
            <w:noWrap/>
            <w:vAlign w:val="bottom"/>
            <w:hideMark/>
          </w:tcPr>
          <w:p w14:paraId="737E9894" w14:textId="77777777" w:rsidR="002D49E8" w:rsidRPr="002D49E8" w:rsidRDefault="002D49E8" w:rsidP="002D49E8">
            <w:pPr>
              <w:spacing w:line="240" w:lineRule="auto"/>
              <w:jc w:val="right"/>
              <w:rPr>
                <w:rFonts w:eastAsia="Times New Roman" w:cs="Calibri"/>
                <w:b/>
                <w:bCs/>
                <w:color w:val="000000"/>
                <w:sz w:val="24"/>
                <w:szCs w:val="24"/>
                <w:lang w:eastAsia="en-GB"/>
              </w:rPr>
            </w:pPr>
            <w:r w:rsidRPr="002D49E8">
              <w:rPr>
                <w:rFonts w:eastAsia="Times New Roman" w:cs="Calibri"/>
                <w:b/>
                <w:bCs/>
                <w:color w:val="000000"/>
                <w:sz w:val="24"/>
                <w:szCs w:val="24"/>
                <w:lang w:eastAsia="en-GB"/>
              </w:rPr>
              <w:t>3,692,294</w:t>
            </w:r>
          </w:p>
        </w:tc>
      </w:tr>
      <w:tr w:rsidR="002D49E8" w:rsidRPr="002D49E8" w14:paraId="65DF1F07" w14:textId="77777777" w:rsidTr="002D49E8">
        <w:trPr>
          <w:trHeight w:val="315"/>
        </w:trPr>
        <w:tc>
          <w:tcPr>
            <w:tcW w:w="1420" w:type="dxa"/>
            <w:tcBorders>
              <w:top w:val="nil"/>
              <w:left w:val="single" w:sz="4" w:space="0" w:color="auto"/>
              <w:bottom w:val="nil"/>
              <w:right w:val="single" w:sz="4" w:space="0" w:color="auto"/>
            </w:tcBorders>
            <w:shd w:val="clear" w:color="000000" w:fill="FFFFFF"/>
            <w:noWrap/>
            <w:vAlign w:val="bottom"/>
            <w:hideMark/>
          </w:tcPr>
          <w:p w14:paraId="38B295F8" w14:textId="77777777" w:rsidR="002D49E8" w:rsidRPr="002D49E8" w:rsidRDefault="002D49E8" w:rsidP="002D49E8">
            <w:pPr>
              <w:spacing w:line="240" w:lineRule="auto"/>
              <w:rPr>
                <w:rFonts w:eastAsia="Times New Roman" w:cs="Calibri"/>
                <w:color w:val="000000"/>
                <w:sz w:val="24"/>
                <w:szCs w:val="24"/>
                <w:lang w:eastAsia="en-GB"/>
              </w:rPr>
            </w:pPr>
            <w:r w:rsidRPr="002D49E8">
              <w:rPr>
                <w:rFonts w:eastAsia="Times New Roman" w:cs="Calibri"/>
                <w:color w:val="000000"/>
                <w:sz w:val="24"/>
                <w:szCs w:val="24"/>
                <w:lang w:eastAsia="en-GB"/>
              </w:rPr>
              <w:t> </w:t>
            </w:r>
          </w:p>
        </w:tc>
        <w:tc>
          <w:tcPr>
            <w:tcW w:w="2800" w:type="dxa"/>
            <w:tcBorders>
              <w:top w:val="nil"/>
              <w:left w:val="nil"/>
              <w:bottom w:val="nil"/>
              <w:right w:val="nil"/>
            </w:tcBorders>
            <w:shd w:val="clear" w:color="000000" w:fill="FFFFFF"/>
            <w:noWrap/>
            <w:vAlign w:val="bottom"/>
            <w:hideMark/>
          </w:tcPr>
          <w:p w14:paraId="36300B3C" w14:textId="77777777" w:rsidR="002D49E8" w:rsidRPr="002D49E8" w:rsidRDefault="002D49E8" w:rsidP="002D49E8">
            <w:pPr>
              <w:spacing w:line="240" w:lineRule="auto"/>
              <w:rPr>
                <w:rFonts w:eastAsia="Times New Roman" w:cs="Calibri"/>
                <w:color w:val="000000"/>
                <w:sz w:val="24"/>
                <w:szCs w:val="24"/>
                <w:lang w:eastAsia="en-GB"/>
              </w:rPr>
            </w:pPr>
            <w:r w:rsidRPr="002D49E8">
              <w:rPr>
                <w:rFonts w:eastAsia="Times New Roman" w:cs="Calibri"/>
                <w:color w:val="000000"/>
                <w:sz w:val="24"/>
                <w:szCs w:val="24"/>
                <w:lang w:eastAsia="en-GB"/>
              </w:rPr>
              <w:t> </w:t>
            </w:r>
          </w:p>
        </w:tc>
        <w:tc>
          <w:tcPr>
            <w:tcW w:w="1420" w:type="dxa"/>
            <w:tcBorders>
              <w:top w:val="nil"/>
              <w:left w:val="single" w:sz="4" w:space="0" w:color="auto"/>
              <w:bottom w:val="nil"/>
              <w:right w:val="single" w:sz="4" w:space="0" w:color="auto"/>
            </w:tcBorders>
            <w:shd w:val="clear" w:color="000000" w:fill="DDEBF7"/>
            <w:noWrap/>
            <w:vAlign w:val="bottom"/>
            <w:hideMark/>
          </w:tcPr>
          <w:p w14:paraId="6C2BC2DA" w14:textId="77777777" w:rsidR="002D49E8" w:rsidRPr="002D49E8" w:rsidRDefault="002D49E8" w:rsidP="002D49E8">
            <w:pPr>
              <w:spacing w:line="240" w:lineRule="auto"/>
              <w:rPr>
                <w:rFonts w:eastAsia="Times New Roman" w:cs="Calibri"/>
                <w:color w:val="000000"/>
                <w:sz w:val="24"/>
                <w:szCs w:val="24"/>
                <w:lang w:eastAsia="en-GB"/>
              </w:rPr>
            </w:pPr>
            <w:r w:rsidRPr="002D49E8">
              <w:rPr>
                <w:rFonts w:eastAsia="Times New Roman" w:cs="Calibri"/>
                <w:color w:val="000000"/>
                <w:sz w:val="24"/>
                <w:szCs w:val="24"/>
                <w:lang w:eastAsia="en-GB"/>
              </w:rPr>
              <w:t> </w:t>
            </w:r>
          </w:p>
        </w:tc>
      </w:tr>
      <w:tr w:rsidR="002D49E8" w:rsidRPr="002D49E8" w14:paraId="567EFF03" w14:textId="77777777" w:rsidTr="002D49E8">
        <w:trPr>
          <w:trHeight w:val="315"/>
        </w:trPr>
        <w:tc>
          <w:tcPr>
            <w:tcW w:w="14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B636DF" w14:textId="77777777" w:rsidR="002D49E8" w:rsidRPr="002D49E8" w:rsidRDefault="002D49E8" w:rsidP="002D49E8">
            <w:pPr>
              <w:spacing w:line="240" w:lineRule="auto"/>
              <w:jc w:val="right"/>
              <w:rPr>
                <w:rFonts w:eastAsia="Times New Roman" w:cs="Calibri"/>
                <w:b/>
                <w:bCs/>
                <w:color w:val="000000"/>
                <w:sz w:val="24"/>
                <w:szCs w:val="24"/>
                <w:lang w:eastAsia="en-GB"/>
              </w:rPr>
            </w:pPr>
            <w:r w:rsidRPr="002D49E8">
              <w:rPr>
                <w:rFonts w:eastAsia="Times New Roman" w:cs="Calibri"/>
                <w:b/>
                <w:bCs/>
                <w:color w:val="000000"/>
                <w:sz w:val="24"/>
                <w:szCs w:val="24"/>
                <w:lang w:eastAsia="en-GB"/>
              </w:rPr>
              <w:t>3,997,075</w:t>
            </w:r>
          </w:p>
        </w:tc>
        <w:tc>
          <w:tcPr>
            <w:tcW w:w="2800" w:type="dxa"/>
            <w:tcBorders>
              <w:top w:val="single" w:sz="4" w:space="0" w:color="auto"/>
              <w:left w:val="nil"/>
              <w:bottom w:val="single" w:sz="4" w:space="0" w:color="auto"/>
              <w:right w:val="nil"/>
            </w:tcBorders>
            <w:shd w:val="clear" w:color="000000" w:fill="FFFFFF"/>
            <w:noWrap/>
            <w:vAlign w:val="bottom"/>
            <w:hideMark/>
          </w:tcPr>
          <w:p w14:paraId="5863CEFE" w14:textId="77777777" w:rsidR="002D49E8" w:rsidRPr="002D49E8" w:rsidRDefault="002D49E8" w:rsidP="002D49E8">
            <w:pPr>
              <w:spacing w:line="240" w:lineRule="auto"/>
              <w:rPr>
                <w:rFonts w:eastAsia="Times New Roman" w:cs="Calibri"/>
                <w:b/>
                <w:bCs/>
                <w:color w:val="000000"/>
                <w:sz w:val="24"/>
                <w:szCs w:val="24"/>
                <w:lang w:eastAsia="en-GB"/>
              </w:rPr>
            </w:pPr>
            <w:r w:rsidRPr="002D49E8">
              <w:rPr>
                <w:rFonts w:eastAsia="Times New Roman" w:cs="Calibri"/>
                <w:b/>
                <w:bCs/>
                <w:color w:val="000000"/>
                <w:sz w:val="24"/>
                <w:szCs w:val="24"/>
                <w:lang w:eastAsia="en-GB"/>
              </w:rPr>
              <w:t>Total Precept Change</w:t>
            </w:r>
          </w:p>
        </w:tc>
        <w:tc>
          <w:tcPr>
            <w:tcW w:w="142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0808D924" w14:textId="77777777" w:rsidR="002D49E8" w:rsidRPr="002D49E8" w:rsidRDefault="002D49E8" w:rsidP="002D49E8">
            <w:pPr>
              <w:spacing w:line="240" w:lineRule="auto"/>
              <w:jc w:val="right"/>
              <w:rPr>
                <w:rFonts w:eastAsia="Times New Roman" w:cs="Calibri"/>
                <w:b/>
                <w:bCs/>
                <w:color w:val="000000"/>
                <w:sz w:val="24"/>
                <w:szCs w:val="24"/>
                <w:lang w:eastAsia="en-GB"/>
              </w:rPr>
            </w:pPr>
            <w:r w:rsidRPr="002D49E8">
              <w:rPr>
                <w:rFonts w:eastAsia="Times New Roman" w:cs="Calibri"/>
                <w:b/>
                <w:bCs/>
                <w:color w:val="000000"/>
                <w:sz w:val="24"/>
                <w:szCs w:val="24"/>
                <w:lang w:eastAsia="en-GB"/>
              </w:rPr>
              <w:t>5,290,955</w:t>
            </w:r>
          </w:p>
        </w:tc>
      </w:tr>
    </w:tbl>
    <w:p w14:paraId="4BE2F7D7" w14:textId="5D4AD183" w:rsidR="00C432D6" w:rsidRPr="00A81E04" w:rsidRDefault="00C432D6" w:rsidP="00425585">
      <w:pPr>
        <w:spacing w:line="240" w:lineRule="auto"/>
        <w:rPr>
          <w:noProof/>
          <w:highlight w:val="yellow"/>
        </w:rPr>
      </w:pPr>
    </w:p>
    <w:p w14:paraId="3FE78EE3" w14:textId="1920171A" w:rsidR="00DC7955" w:rsidRPr="002D49E8" w:rsidRDefault="00C432D6" w:rsidP="00685B66">
      <w:pPr>
        <w:pStyle w:val="PanelPara"/>
        <w:rPr>
          <w:lang w:eastAsia="en-GB"/>
        </w:rPr>
      </w:pPr>
      <w:r w:rsidRPr="002D49E8">
        <w:rPr>
          <w:lang w:eastAsia="en-GB"/>
        </w:rPr>
        <w:t>The 202</w:t>
      </w:r>
      <w:r w:rsidR="002D49E8" w:rsidRPr="002D49E8">
        <w:rPr>
          <w:lang w:eastAsia="en-GB"/>
        </w:rPr>
        <w:t>5</w:t>
      </w:r>
      <w:r w:rsidRPr="002D49E8">
        <w:rPr>
          <w:lang w:eastAsia="en-GB"/>
        </w:rPr>
        <w:t>/2</w:t>
      </w:r>
      <w:r w:rsidR="002D49E8" w:rsidRPr="002D49E8">
        <w:rPr>
          <w:lang w:eastAsia="en-GB"/>
        </w:rPr>
        <w:t>6</w:t>
      </w:r>
      <w:r w:rsidRPr="002D49E8">
        <w:rPr>
          <w:lang w:eastAsia="en-GB"/>
        </w:rPr>
        <w:t xml:space="preserve"> proposed precept increase of £1</w:t>
      </w:r>
      <w:r w:rsidR="002D49E8" w:rsidRPr="002D49E8">
        <w:rPr>
          <w:lang w:eastAsia="en-GB"/>
        </w:rPr>
        <w:t>4</w:t>
      </w:r>
      <w:r w:rsidRPr="002D49E8">
        <w:rPr>
          <w:lang w:eastAsia="en-GB"/>
        </w:rPr>
        <w:t>, together with the increased taxbase will generate an additional £</w:t>
      </w:r>
      <w:r w:rsidR="002D49E8" w:rsidRPr="002D49E8">
        <w:rPr>
          <w:lang w:eastAsia="en-GB"/>
        </w:rPr>
        <w:t>5.291</w:t>
      </w:r>
      <w:r w:rsidRPr="002D49E8">
        <w:rPr>
          <w:lang w:eastAsia="en-GB"/>
        </w:rPr>
        <w:t>m on the base budget.</w:t>
      </w:r>
    </w:p>
    <w:p w14:paraId="6991BB3A" w14:textId="77777777" w:rsidR="00FB79D9" w:rsidRDefault="00FB79D9" w:rsidP="00685B66">
      <w:pPr>
        <w:pStyle w:val="PanelHeading"/>
      </w:pPr>
    </w:p>
    <w:p w14:paraId="53297678" w14:textId="3D61BCB8" w:rsidR="00C432D6" w:rsidRPr="002D49E8" w:rsidRDefault="00FC4407" w:rsidP="00685B66">
      <w:pPr>
        <w:pStyle w:val="PanelHeading"/>
      </w:pPr>
      <w:r w:rsidRPr="002D49E8">
        <w:t>COUNCIL TAX COLLECTION FUND</w:t>
      </w:r>
    </w:p>
    <w:p w14:paraId="57AC6130" w14:textId="268A3F29" w:rsidR="000A18A7" w:rsidRPr="003E0FE8" w:rsidRDefault="00C432D6" w:rsidP="001722C3">
      <w:pPr>
        <w:pStyle w:val="PanelPara"/>
      </w:pPr>
      <w:bookmarkStart w:id="11" w:name="_Hlk186542189"/>
      <w:bookmarkStart w:id="12" w:name="_Hlk156745232"/>
      <w:r w:rsidRPr="003E0FE8">
        <w:t xml:space="preserve">Each year the billing authorities estimate how much of the total potential </w:t>
      </w:r>
      <w:r w:rsidR="002D49E8" w:rsidRPr="003E0FE8">
        <w:t>c</w:t>
      </w:r>
      <w:r w:rsidRPr="003E0FE8">
        <w:t xml:space="preserve">ouncil </w:t>
      </w:r>
      <w:r w:rsidR="002D49E8" w:rsidRPr="003E0FE8">
        <w:t>t</w:t>
      </w:r>
      <w:r w:rsidRPr="003E0FE8">
        <w:t xml:space="preserve">ax income liability of taxpayers they will collect. </w:t>
      </w:r>
      <w:r w:rsidR="002D49E8" w:rsidRPr="003E0FE8">
        <w:t xml:space="preserve"> </w:t>
      </w:r>
      <w:r w:rsidRPr="003E0FE8">
        <w:t xml:space="preserve">They advise precepting authorities of any projected surplus or deficit on the Collection Fund in January of each year. </w:t>
      </w:r>
    </w:p>
    <w:p w14:paraId="6F4A7BF5" w14:textId="7F28E4D4" w:rsidR="00C432D6" w:rsidRPr="003E0FE8" w:rsidRDefault="00C432D6" w:rsidP="001722C3">
      <w:pPr>
        <w:pStyle w:val="PanelPara"/>
      </w:pPr>
      <w:r w:rsidRPr="003E0FE8">
        <w:t xml:space="preserve">The PFCC is appreciative of the hard work undertaken by the </w:t>
      </w:r>
      <w:r w:rsidR="002D49E8" w:rsidRPr="003E0FE8">
        <w:t>u</w:t>
      </w:r>
      <w:r w:rsidRPr="003E0FE8">
        <w:t xml:space="preserve">nitary </w:t>
      </w:r>
      <w:r w:rsidR="002D49E8" w:rsidRPr="003E0FE8">
        <w:t>a</w:t>
      </w:r>
      <w:r w:rsidRPr="003E0FE8">
        <w:t>uthorities in ensuring high collection rates and in providing the information to enable their inclusion in h</w:t>
      </w:r>
      <w:r w:rsidR="0054520F">
        <w:t>er</w:t>
      </w:r>
      <w:r w:rsidRPr="003E0FE8">
        <w:t xml:space="preserve"> budget and precept considerations.</w:t>
      </w:r>
    </w:p>
    <w:p w14:paraId="7C7EA047" w14:textId="03028A1A" w:rsidR="00C432D6" w:rsidRPr="003E0FE8" w:rsidRDefault="00C432D6" w:rsidP="001722C3">
      <w:pPr>
        <w:pStyle w:val="PanelPara"/>
      </w:pPr>
      <w:r w:rsidRPr="003E0FE8">
        <w:t xml:space="preserve">In previous years, despite high collection rates within Northamptonshire, COVID-19 impacted on these levels which resulted in deficits in both 2021/22 and 2022/23. </w:t>
      </w:r>
      <w:r w:rsidR="00040DD9" w:rsidRPr="003E0FE8">
        <w:t xml:space="preserve"> </w:t>
      </w:r>
      <w:r w:rsidRPr="003E0FE8">
        <w:t xml:space="preserve">Some government support was provided which included grants and enabling the deficit to be spread across three financial years. </w:t>
      </w:r>
      <w:r w:rsidR="00040DD9" w:rsidRPr="003E0FE8">
        <w:t xml:space="preserve"> </w:t>
      </w:r>
      <w:r w:rsidRPr="003E0FE8">
        <w:t>These measures helped to mitigate the impact</w:t>
      </w:r>
      <w:r w:rsidR="00040DD9" w:rsidRPr="003E0FE8">
        <w:t xml:space="preserve"> and </w:t>
      </w:r>
      <w:r w:rsidR="003E0FE8" w:rsidRPr="003E0FE8">
        <w:t>since</w:t>
      </w:r>
      <w:r w:rsidR="00040DD9" w:rsidRPr="003E0FE8">
        <w:t xml:space="preserve"> 2023/24, the collection funds </w:t>
      </w:r>
      <w:r w:rsidR="003E0FE8" w:rsidRPr="003E0FE8">
        <w:t xml:space="preserve">have </w:t>
      </w:r>
      <w:r w:rsidR="00040DD9" w:rsidRPr="003E0FE8">
        <w:t>provided a</w:t>
      </w:r>
      <w:r w:rsidR="003E0FE8" w:rsidRPr="003E0FE8">
        <w:t>n overall</w:t>
      </w:r>
      <w:r w:rsidR="00040DD9" w:rsidRPr="003E0FE8">
        <w:t xml:space="preserve"> surplus.</w:t>
      </w:r>
    </w:p>
    <w:p w14:paraId="3554616F" w14:textId="4320CE0F" w:rsidR="00C432D6" w:rsidRPr="003E0FE8" w:rsidRDefault="00C432D6" w:rsidP="001722C3">
      <w:pPr>
        <w:pStyle w:val="PanelPara"/>
      </w:pPr>
      <w:r w:rsidRPr="003E0FE8">
        <w:t xml:space="preserve">The </w:t>
      </w:r>
      <w:r w:rsidR="003E0FE8" w:rsidRPr="003E0FE8">
        <w:t>u</w:t>
      </w:r>
      <w:r w:rsidRPr="003E0FE8">
        <w:t xml:space="preserve">nitary </w:t>
      </w:r>
      <w:r w:rsidR="003E0FE8" w:rsidRPr="003E0FE8">
        <w:t>a</w:t>
      </w:r>
      <w:r w:rsidRPr="003E0FE8">
        <w:t xml:space="preserve">uthorities have advised of their </w:t>
      </w:r>
      <w:r w:rsidR="00040DD9" w:rsidRPr="003E0FE8">
        <w:t xml:space="preserve">estimated </w:t>
      </w:r>
      <w:r w:rsidRPr="003E0FE8">
        <w:t>collection fund positions for 202</w:t>
      </w:r>
      <w:r w:rsidR="003E0FE8" w:rsidRPr="003E0FE8">
        <w:t>5</w:t>
      </w:r>
      <w:r w:rsidRPr="003E0FE8">
        <w:t>/2</w:t>
      </w:r>
      <w:r w:rsidR="003E0FE8" w:rsidRPr="003E0FE8">
        <w:t>6</w:t>
      </w:r>
      <w:r w:rsidR="00AE75DF">
        <w:t xml:space="preserve"> and both are reporting a surplus:</w:t>
      </w:r>
      <w:bookmarkEnd w:id="11"/>
    </w:p>
    <w:tbl>
      <w:tblPr>
        <w:tblW w:w="6860" w:type="dxa"/>
        <w:tblInd w:w="562" w:type="dxa"/>
        <w:tblLook w:val="04A0" w:firstRow="1" w:lastRow="0" w:firstColumn="1" w:lastColumn="0" w:noHBand="0" w:noVBand="1"/>
      </w:tblPr>
      <w:tblGrid>
        <w:gridCol w:w="1460"/>
        <w:gridCol w:w="3940"/>
        <w:gridCol w:w="1460"/>
      </w:tblGrid>
      <w:tr w:rsidR="00AE75DF" w:rsidRPr="00AE75DF" w14:paraId="76597992" w14:textId="77777777" w:rsidTr="00AE75DF">
        <w:trPr>
          <w:trHeight w:val="630"/>
        </w:trPr>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bookmarkEnd w:id="12"/>
          <w:p w14:paraId="2124DD29" w14:textId="77777777" w:rsidR="00AE75DF" w:rsidRPr="00AE75DF" w:rsidRDefault="00AE75DF" w:rsidP="00AE75DF">
            <w:pPr>
              <w:spacing w:line="240" w:lineRule="auto"/>
              <w:jc w:val="center"/>
              <w:rPr>
                <w:rFonts w:eastAsia="Times New Roman" w:cs="Calibri"/>
                <w:b/>
                <w:bCs/>
                <w:color w:val="000000"/>
                <w:sz w:val="24"/>
                <w:szCs w:val="24"/>
                <w:lang w:eastAsia="en-GB"/>
              </w:rPr>
            </w:pPr>
            <w:r w:rsidRPr="00AE75DF">
              <w:rPr>
                <w:rFonts w:eastAsia="Times New Roman" w:cs="Calibri"/>
                <w:b/>
                <w:bCs/>
                <w:color w:val="000000"/>
                <w:sz w:val="24"/>
                <w:szCs w:val="24"/>
                <w:lang w:eastAsia="en-GB"/>
              </w:rPr>
              <w:t>2024/25</w:t>
            </w:r>
            <w:r w:rsidRPr="00AE75DF">
              <w:rPr>
                <w:rFonts w:eastAsia="Times New Roman" w:cs="Calibri"/>
                <w:b/>
                <w:bCs/>
                <w:color w:val="000000"/>
                <w:sz w:val="24"/>
                <w:szCs w:val="24"/>
                <w:lang w:eastAsia="en-GB"/>
              </w:rPr>
              <w:br/>
              <w:t>£m</w:t>
            </w:r>
          </w:p>
        </w:tc>
        <w:tc>
          <w:tcPr>
            <w:tcW w:w="3940" w:type="dxa"/>
            <w:tcBorders>
              <w:top w:val="single" w:sz="4" w:space="0" w:color="auto"/>
              <w:left w:val="nil"/>
              <w:bottom w:val="single" w:sz="4" w:space="0" w:color="auto"/>
              <w:right w:val="single" w:sz="4" w:space="0" w:color="auto"/>
            </w:tcBorders>
            <w:shd w:val="clear" w:color="000000" w:fill="FFFFFF"/>
            <w:vAlign w:val="center"/>
            <w:hideMark/>
          </w:tcPr>
          <w:p w14:paraId="1E45214C" w14:textId="77777777" w:rsidR="00AE75DF" w:rsidRPr="00AE75DF" w:rsidRDefault="00AE75DF" w:rsidP="00AE75DF">
            <w:pPr>
              <w:spacing w:line="240" w:lineRule="auto"/>
              <w:rPr>
                <w:rFonts w:eastAsia="Times New Roman" w:cs="Calibri"/>
                <w:b/>
                <w:bCs/>
                <w:color w:val="000000"/>
                <w:sz w:val="24"/>
                <w:szCs w:val="24"/>
                <w:lang w:eastAsia="en-GB"/>
              </w:rPr>
            </w:pPr>
            <w:r w:rsidRPr="00AE75DF">
              <w:rPr>
                <w:rFonts w:eastAsia="Times New Roman" w:cs="Calibri"/>
                <w:b/>
                <w:bCs/>
                <w:color w:val="000000"/>
                <w:sz w:val="24"/>
                <w:szCs w:val="24"/>
                <w:lang w:eastAsia="en-GB"/>
              </w:rPr>
              <w:t>OPFCC Share of Collection Fund Surplus / (Deficit)</w:t>
            </w:r>
          </w:p>
        </w:tc>
        <w:tc>
          <w:tcPr>
            <w:tcW w:w="1460" w:type="dxa"/>
            <w:tcBorders>
              <w:top w:val="single" w:sz="4" w:space="0" w:color="auto"/>
              <w:left w:val="nil"/>
              <w:bottom w:val="single" w:sz="4" w:space="0" w:color="auto"/>
              <w:right w:val="single" w:sz="4" w:space="0" w:color="auto"/>
            </w:tcBorders>
            <w:shd w:val="clear" w:color="000000" w:fill="DDEBF7"/>
            <w:vAlign w:val="center"/>
            <w:hideMark/>
          </w:tcPr>
          <w:p w14:paraId="5D1B2B50" w14:textId="77777777" w:rsidR="00AE75DF" w:rsidRPr="00AE75DF" w:rsidRDefault="00AE75DF" w:rsidP="00AE75DF">
            <w:pPr>
              <w:spacing w:line="240" w:lineRule="auto"/>
              <w:jc w:val="center"/>
              <w:rPr>
                <w:rFonts w:eastAsia="Times New Roman" w:cs="Calibri"/>
                <w:b/>
                <w:bCs/>
                <w:color w:val="000000"/>
                <w:sz w:val="24"/>
                <w:szCs w:val="24"/>
                <w:lang w:eastAsia="en-GB"/>
              </w:rPr>
            </w:pPr>
            <w:r w:rsidRPr="00AE75DF">
              <w:rPr>
                <w:rFonts w:eastAsia="Times New Roman" w:cs="Calibri"/>
                <w:b/>
                <w:bCs/>
                <w:color w:val="000000"/>
                <w:sz w:val="24"/>
                <w:szCs w:val="24"/>
                <w:lang w:eastAsia="en-GB"/>
              </w:rPr>
              <w:t>2025/26</w:t>
            </w:r>
            <w:r w:rsidRPr="00AE75DF">
              <w:rPr>
                <w:rFonts w:eastAsia="Times New Roman" w:cs="Calibri"/>
                <w:b/>
                <w:bCs/>
                <w:color w:val="000000"/>
                <w:sz w:val="24"/>
                <w:szCs w:val="24"/>
                <w:lang w:eastAsia="en-GB"/>
              </w:rPr>
              <w:br/>
              <w:t>£m</w:t>
            </w:r>
          </w:p>
        </w:tc>
      </w:tr>
      <w:tr w:rsidR="00AE75DF" w:rsidRPr="00AE75DF" w14:paraId="493D2442" w14:textId="77777777" w:rsidTr="00AE75DF">
        <w:trPr>
          <w:trHeight w:val="315"/>
        </w:trPr>
        <w:tc>
          <w:tcPr>
            <w:tcW w:w="1460" w:type="dxa"/>
            <w:tcBorders>
              <w:top w:val="nil"/>
              <w:left w:val="single" w:sz="4" w:space="0" w:color="auto"/>
              <w:bottom w:val="nil"/>
              <w:right w:val="single" w:sz="4" w:space="0" w:color="auto"/>
            </w:tcBorders>
            <w:shd w:val="clear" w:color="000000" w:fill="FFFFFF"/>
            <w:noWrap/>
            <w:vAlign w:val="bottom"/>
            <w:hideMark/>
          </w:tcPr>
          <w:p w14:paraId="6199CA40"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0.338</w:t>
            </w:r>
          </w:p>
        </w:tc>
        <w:tc>
          <w:tcPr>
            <w:tcW w:w="3940" w:type="dxa"/>
            <w:tcBorders>
              <w:top w:val="nil"/>
              <w:left w:val="nil"/>
              <w:bottom w:val="nil"/>
              <w:right w:val="single" w:sz="4" w:space="0" w:color="auto"/>
            </w:tcBorders>
            <w:shd w:val="clear" w:color="000000" w:fill="FFFFFF"/>
            <w:noWrap/>
            <w:vAlign w:val="bottom"/>
            <w:hideMark/>
          </w:tcPr>
          <w:p w14:paraId="63F0EEF6" w14:textId="77777777" w:rsidR="00AE75DF" w:rsidRPr="00AE75DF" w:rsidRDefault="00AE75DF" w:rsidP="00AE75DF">
            <w:pPr>
              <w:spacing w:line="240" w:lineRule="auto"/>
              <w:rPr>
                <w:rFonts w:eastAsia="Times New Roman" w:cs="Calibri"/>
                <w:color w:val="000000"/>
                <w:sz w:val="24"/>
                <w:szCs w:val="24"/>
                <w:lang w:eastAsia="en-GB"/>
              </w:rPr>
            </w:pPr>
            <w:r w:rsidRPr="00AE75DF">
              <w:rPr>
                <w:rFonts w:eastAsia="Times New Roman" w:cs="Calibri"/>
                <w:color w:val="000000"/>
                <w:sz w:val="24"/>
                <w:szCs w:val="24"/>
                <w:lang w:eastAsia="en-GB"/>
              </w:rPr>
              <w:t xml:space="preserve"> - North</w:t>
            </w:r>
          </w:p>
        </w:tc>
        <w:tc>
          <w:tcPr>
            <w:tcW w:w="1460" w:type="dxa"/>
            <w:tcBorders>
              <w:top w:val="nil"/>
              <w:left w:val="nil"/>
              <w:bottom w:val="nil"/>
              <w:right w:val="single" w:sz="4" w:space="0" w:color="auto"/>
            </w:tcBorders>
            <w:shd w:val="clear" w:color="000000" w:fill="DDEBF7"/>
            <w:noWrap/>
            <w:vAlign w:val="bottom"/>
            <w:hideMark/>
          </w:tcPr>
          <w:p w14:paraId="2D0C3AEB"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0.388</w:t>
            </w:r>
          </w:p>
        </w:tc>
      </w:tr>
      <w:tr w:rsidR="00AE75DF" w:rsidRPr="00AE75DF" w14:paraId="72F48EF2" w14:textId="77777777" w:rsidTr="00AE75DF">
        <w:trPr>
          <w:trHeight w:val="315"/>
        </w:trPr>
        <w:tc>
          <w:tcPr>
            <w:tcW w:w="1460" w:type="dxa"/>
            <w:tcBorders>
              <w:top w:val="nil"/>
              <w:left w:val="single" w:sz="4" w:space="0" w:color="auto"/>
              <w:bottom w:val="nil"/>
              <w:right w:val="single" w:sz="4" w:space="0" w:color="auto"/>
            </w:tcBorders>
            <w:shd w:val="clear" w:color="000000" w:fill="FFFFFF"/>
            <w:noWrap/>
            <w:vAlign w:val="bottom"/>
            <w:hideMark/>
          </w:tcPr>
          <w:p w14:paraId="49A4DE7A"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0.922</w:t>
            </w:r>
          </w:p>
        </w:tc>
        <w:tc>
          <w:tcPr>
            <w:tcW w:w="3940" w:type="dxa"/>
            <w:tcBorders>
              <w:top w:val="nil"/>
              <w:left w:val="nil"/>
              <w:bottom w:val="nil"/>
              <w:right w:val="single" w:sz="4" w:space="0" w:color="auto"/>
            </w:tcBorders>
            <w:shd w:val="clear" w:color="000000" w:fill="FFFFFF"/>
            <w:noWrap/>
            <w:vAlign w:val="bottom"/>
            <w:hideMark/>
          </w:tcPr>
          <w:p w14:paraId="54F7DABE" w14:textId="77777777" w:rsidR="00AE75DF" w:rsidRPr="00AE75DF" w:rsidRDefault="00AE75DF" w:rsidP="00AE75DF">
            <w:pPr>
              <w:spacing w:line="240" w:lineRule="auto"/>
              <w:rPr>
                <w:rFonts w:eastAsia="Times New Roman" w:cs="Calibri"/>
                <w:color w:val="000000"/>
                <w:sz w:val="24"/>
                <w:szCs w:val="24"/>
                <w:lang w:eastAsia="en-GB"/>
              </w:rPr>
            </w:pPr>
            <w:r w:rsidRPr="00AE75DF">
              <w:rPr>
                <w:rFonts w:eastAsia="Times New Roman" w:cs="Calibri"/>
                <w:color w:val="000000"/>
                <w:sz w:val="24"/>
                <w:szCs w:val="24"/>
                <w:lang w:eastAsia="en-GB"/>
              </w:rPr>
              <w:t xml:space="preserve"> - West</w:t>
            </w:r>
          </w:p>
        </w:tc>
        <w:tc>
          <w:tcPr>
            <w:tcW w:w="1460" w:type="dxa"/>
            <w:tcBorders>
              <w:top w:val="nil"/>
              <w:left w:val="nil"/>
              <w:bottom w:val="nil"/>
              <w:right w:val="single" w:sz="4" w:space="0" w:color="auto"/>
            </w:tcBorders>
            <w:shd w:val="clear" w:color="000000" w:fill="DDEBF7"/>
            <w:noWrap/>
            <w:vAlign w:val="bottom"/>
            <w:hideMark/>
          </w:tcPr>
          <w:p w14:paraId="438F7E7E"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0.463</w:t>
            </w:r>
          </w:p>
        </w:tc>
      </w:tr>
      <w:tr w:rsidR="00AE75DF" w:rsidRPr="00AE75DF" w14:paraId="300E0A8E" w14:textId="77777777" w:rsidTr="00AE75DF">
        <w:trPr>
          <w:trHeight w:val="315"/>
        </w:trPr>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1CDEB0" w14:textId="77777777" w:rsidR="00AE75DF" w:rsidRPr="00AE75DF" w:rsidRDefault="00AE75DF" w:rsidP="00AE75DF">
            <w:pPr>
              <w:spacing w:line="240" w:lineRule="auto"/>
              <w:jc w:val="right"/>
              <w:rPr>
                <w:rFonts w:eastAsia="Times New Roman" w:cs="Calibri"/>
                <w:b/>
                <w:bCs/>
                <w:color w:val="000000"/>
                <w:sz w:val="24"/>
                <w:szCs w:val="24"/>
                <w:lang w:eastAsia="en-GB"/>
              </w:rPr>
            </w:pPr>
            <w:r w:rsidRPr="00AE75DF">
              <w:rPr>
                <w:rFonts w:eastAsia="Times New Roman" w:cs="Calibri"/>
                <w:b/>
                <w:bCs/>
                <w:color w:val="000000"/>
                <w:sz w:val="24"/>
                <w:szCs w:val="24"/>
                <w:lang w:eastAsia="en-GB"/>
              </w:rPr>
              <w:t>1.259</w:t>
            </w:r>
          </w:p>
        </w:tc>
        <w:tc>
          <w:tcPr>
            <w:tcW w:w="3940" w:type="dxa"/>
            <w:tcBorders>
              <w:top w:val="single" w:sz="4" w:space="0" w:color="auto"/>
              <w:left w:val="nil"/>
              <w:bottom w:val="single" w:sz="4" w:space="0" w:color="auto"/>
              <w:right w:val="single" w:sz="4" w:space="0" w:color="auto"/>
            </w:tcBorders>
            <w:shd w:val="clear" w:color="000000" w:fill="FFFFFF"/>
            <w:noWrap/>
            <w:vAlign w:val="bottom"/>
            <w:hideMark/>
          </w:tcPr>
          <w:p w14:paraId="0D97DAAF" w14:textId="77777777" w:rsidR="00AE75DF" w:rsidRPr="00AE75DF" w:rsidRDefault="00AE75DF" w:rsidP="00AE75DF">
            <w:pPr>
              <w:spacing w:line="240" w:lineRule="auto"/>
              <w:rPr>
                <w:rFonts w:eastAsia="Times New Roman" w:cs="Calibri"/>
                <w:b/>
                <w:bCs/>
                <w:color w:val="000000"/>
                <w:sz w:val="24"/>
                <w:szCs w:val="24"/>
                <w:lang w:eastAsia="en-GB"/>
              </w:rPr>
            </w:pPr>
            <w:r w:rsidRPr="00AE75DF">
              <w:rPr>
                <w:rFonts w:eastAsia="Times New Roman" w:cs="Calibri"/>
                <w:b/>
                <w:bCs/>
                <w:color w:val="000000"/>
                <w:sz w:val="24"/>
                <w:szCs w:val="24"/>
                <w:lang w:eastAsia="en-GB"/>
              </w:rPr>
              <w:t>Collection Fund Surplus</w:t>
            </w:r>
          </w:p>
        </w:tc>
        <w:tc>
          <w:tcPr>
            <w:tcW w:w="1460" w:type="dxa"/>
            <w:tcBorders>
              <w:top w:val="single" w:sz="4" w:space="0" w:color="auto"/>
              <w:left w:val="nil"/>
              <w:bottom w:val="single" w:sz="4" w:space="0" w:color="auto"/>
              <w:right w:val="single" w:sz="4" w:space="0" w:color="auto"/>
            </w:tcBorders>
            <w:shd w:val="clear" w:color="000000" w:fill="DDEBF7"/>
            <w:noWrap/>
            <w:vAlign w:val="bottom"/>
            <w:hideMark/>
          </w:tcPr>
          <w:p w14:paraId="15AD2FC3" w14:textId="77777777" w:rsidR="00AE75DF" w:rsidRPr="00AE75DF" w:rsidRDefault="00AE75DF" w:rsidP="00AE75DF">
            <w:pPr>
              <w:spacing w:line="240" w:lineRule="auto"/>
              <w:jc w:val="right"/>
              <w:rPr>
                <w:rFonts w:eastAsia="Times New Roman" w:cs="Calibri"/>
                <w:b/>
                <w:bCs/>
                <w:color w:val="000000"/>
                <w:sz w:val="24"/>
                <w:szCs w:val="24"/>
                <w:lang w:eastAsia="en-GB"/>
              </w:rPr>
            </w:pPr>
            <w:r w:rsidRPr="00AE75DF">
              <w:rPr>
                <w:rFonts w:eastAsia="Times New Roman" w:cs="Calibri"/>
                <w:b/>
                <w:bCs/>
                <w:color w:val="000000"/>
                <w:sz w:val="24"/>
                <w:szCs w:val="24"/>
                <w:lang w:eastAsia="en-GB"/>
              </w:rPr>
              <w:t>0.851</w:t>
            </w:r>
          </w:p>
        </w:tc>
      </w:tr>
    </w:tbl>
    <w:p w14:paraId="5AF24143" w14:textId="77777777" w:rsidR="00C432D6" w:rsidRPr="00A81E04" w:rsidRDefault="00C432D6" w:rsidP="00040DD9">
      <w:pPr>
        <w:spacing w:line="240" w:lineRule="auto"/>
        <w:jc w:val="both"/>
        <w:rPr>
          <w:rFonts w:asciiTheme="minorHAnsi" w:hAnsiTheme="minorHAnsi" w:cstheme="minorHAnsi"/>
          <w:sz w:val="24"/>
          <w:szCs w:val="24"/>
          <w:highlight w:val="yellow"/>
        </w:rPr>
      </w:pPr>
    </w:p>
    <w:p w14:paraId="1B2F0AAD" w14:textId="0644BEA8" w:rsidR="00C432D6" w:rsidRPr="003E0FE8" w:rsidRDefault="00C432D6" w:rsidP="00BC01A5">
      <w:pPr>
        <w:pStyle w:val="PanelPara"/>
      </w:pPr>
      <w:bookmarkStart w:id="13" w:name="_Hlk156745294"/>
      <w:bookmarkStart w:id="14" w:name="_Hlk186542425"/>
      <w:r w:rsidRPr="003E0FE8">
        <w:t xml:space="preserve">Due to statutory timescales, notification of the final collection fund surplus figures is received after the draft budgets are finalised.  </w:t>
      </w:r>
      <w:r w:rsidR="00BC01A5" w:rsidRPr="003E0FE8">
        <w:t>If t</w:t>
      </w:r>
      <w:r w:rsidRPr="003E0FE8">
        <w:t xml:space="preserve">his surplus results in a one-year benefit, </w:t>
      </w:r>
      <w:r w:rsidR="00830D37" w:rsidRPr="003E0FE8">
        <w:t>it will be transferred</w:t>
      </w:r>
      <w:r w:rsidRPr="003E0FE8">
        <w:t xml:space="preserve"> to reserves to replenish some of the one-off use of reserves planned as part of the agreed balanced budget.</w:t>
      </w:r>
      <w:r w:rsidR="003E0FE8" w:rsidRPr="003E0FE8">
        <w:t xml:space="preserve">  Conversely, a deficit would be offset by in-year savings or a transfer from reserves.</w:t>
      </w:r>
    </w:p>
    <w:p w14:paraId="3C51DA67" w14:textId="5228D168" w:rsidR="00C432D6" w:rsidRPr="003E0FE8" w:rsidRDefault="00C432D6" w:rsidP="00685B66">
      <w:pPr>
        <w:pStyle w:val="PanelPara"/>
      </w:pPr>
      <w:bookmarkStart w:id="15" w:name="_Hlk156745341"/>
      <w:bookmarkEnd w:id="13"/>
      <w:r w:rsidRPr="003E0FE8">
        <w:t xml:space="preserve">The </w:t>
      </w:r>
      <w:r w:rsidR="003E0FE8" w:rsidRPr="003E0FE8">
        <w:t>s</w:t>
      </w:r>
      <w:r w:rsidRPr="003E0FE8">
        <w:t xml:space="preserve">151 </w:t>
      </w:r>
      <w:r w:rsidR="003E0FE8" w:rsidRPr="003E0FE8">
        <w:t>o</w:t>
      </w:r>
      <w:r w:rsidRPr="003E0FE8">
        <w:t>fficer</w:t>
      </w:r>
      <w:r w:rsidR="003E0FE8" w:rsidRPr="003E0FE8">
        <w:t>s</w:t>
      </w:r>
      <w:r w:rsidRPr="003E0FE8">
        <w:t xml:space="preserve"> will work closely with the </w:t>
      </w:r>
      <w:r w:rsidR="003E0FE8" w:rsidRPr="003E0FE8">
        <w:t>u</w:t>
      </w:r>
      <w:r w:rsidRPr="003E0FE8">
        <w:t xml:space="preserve">nitary </w:t>
      </w:r>
      <w:r w:rsidR="003E0FE8" w:rsidRPr="003E0FE8">
        <w:t>a</w:t>
      </w:r>
      <w:r w:rsidRPr="003E0FE8">
        <w:t>uthorities throughout the year to monitor and understand any impact on the collection fund position for 202</w:t>
      </w:r>
      <w:r w:rsidR="003E0FE8" w:rsidRPr="003E0FE8">
        <w:t>5</w:t>
      </w:r>
      <w:r w:rsidRPr="003E0FE8">
        <w:t>/2</w:t>
      </w:r>
      <w:r w:rsidR="003E0FE8" w:rsidRPr="003E0FE8">
        <w:t>6</w:t>
      </w:r>
      <w:r w:rsidRPr="003E0FE8">
        <w:t xml:space="preserve"> and future years.</w:t>
      </w:r>
      <w:bookmarkStart w:id="16" w:name="_Hlk92960447"/>
    </w:p>
    <w:bookmarkEnd w:id="14"/>
    <w:bookmarkEnd w:id="15"/>
    <w:p w14:paraId="2982D18F" w14:textId="77777777" w:rsidR="00FB79D9" w:rsidRDefault="00FB79D9" w:rsidP="00685B66">
      <w:pPr>
        <w:pStyle w:val="PanelHeading"/>
      </w:pPr>
    </w:p>
    <w:p w14:paraId="164FB153" w14:textId="2DDE38CD" w:rsidR="00C432D6" w:rsidRPr="00362289" w:rsidRDefault="00FC4407" w:rsidP="00685B66">
      <w:pPr>
        <w:pStyle w:val="PanelHeading"/>
      </w:pPr>
      <w:r w:rsidRPr="00362289">
        <w:t>PUBLIC CONSULTATION ON THE LEVEL OF THE PRECEPT</w:t>
      </w:r>
    </w:p>
    <w:p w14:paraId="584E8256" w14:textId="77777777" w:rsidR="00D5643C" w:rsidRDefault="00D5643C" w:rsidP="00D5643C">
      <w:pPr>
        <w:pStyle w:val="PanelPara"/>
      </w:pPr>
      <w:bookmarkStart w:id="17" w:name="_Hlk186542533"/>
      <w:bookmarkEnd w:id="16"/>
      <w:r w:rsidRPr="00A24117">
        <w:t>Each year</w:t>
      </w:r>
      <w:r>
        <w:t>,</w:t>
      </w:r>
      <w:r w:rsidRPr="00A24117">
        <w:t xml:space="preserve"> the PFCC undertakes consultation </w:t>
      </w:r>
      <w:r>
        <w:t xml:space="preserve">via a survey </w:t>
      </w:r>
      <w:r w:rsidRPr="00A24117">
        <w:t>with residents of Northamptonshire to gather their views which help to inform precept intentions</w:t>
      </w:r>
      <w:bookmarkEnd w:id="17"/>
      <w:r w:rsidRPr="00A24117">
        <w:t>.</w:t>
      </w:r>
    </w:p>
    <w:p w14:paraId="56EB1341" w14:textId="77777777" w:rsidR="00D5643C" w:rsidRPr="00A24117" w:rsidRDefault="00D5643C" w:rsidP="00D5643C">
      <w:pPr>
        <w:pStyle w:val="PanelPara"/>
      </w:pPr>
      <w:r>
        <w:t>Having drafted the new Police, Fire and Crime Plan, it was timely to consult on both the Plan and the precept intentions that underpin it as part of the same online survey.  This followed considerable consultation with communities as part the of the “big conversation” described earlier in this report.</w:t>
      </w:r>
    </w:p>
    <w:p w14:paraId="134E81AD" w14:textId="1DA7991C" w:rsidR="00D5643C" w:rsidRPr="000B2EB8" w:rsidRDefault="00D5643C" w:rsidP="00D5643C">
      <w:pPr>
        <w:pStyle w:val="PanelPara"/>
        <w:rPr>
          <w:bCs/>
        </w:rPr>
      </w:pPr>
      <w:r w:rsidRPr="000B2EB8">
        <w:lastRenderedPageBreak/>
        <w:t xml:space="preserve">The PFCC undertook </w:t>
      </w:r>
      <w:r>
        <w:t>the</w:t>
      </w:r>
      <w:r w:rsidRPr="000B2EB8">
        <w:t xml:space="preserve"> survey over the period 28</w:t>
      </w:r>
      <w:r w:rsidRPr="000B2EB8">
        <w:rPr>
          <w:vertAlign w:val="superscript"/>
        </w:rPr>
        <w:t>th</w:t>
      </w:r>
      <w:r w:rsidRPr="000B2EB8">
        <w:t xml:space="preserve"> November 2024 to </w:t>
      </w:r>
      <w:r w:rsidR="00C111D9">
        <w:t>5</w:t>
      </w:r>
      <w:r w:rsidRPr="000B2EB8">
        <w:rPr>
          <w:vertAlign w:val="superscript"/>
        </w:rPr>
        <w:t>th</w:t>
      </w:r>
      <w:r w:rsidRPr="000B2EB8">
        <w:t xml:space="preserve"> January 2025, with the intention of reaching as many people as possible to obtain the views of a demographically representative group of the county’s population.</w:t>
      </w:r>
    </w:p>
    <w:p w14:paraId="45D19440" w14:textId="77777777" w:rsidR="00D5643C" w:rsidRPr="000B2EB8" w:rsidRDefault="00D5643C" w:rsidP="00D5643C">
      <w:pPr>
        <w:pStyle w:val="PanelPara"/>
        <w:rPr>
          <w:bCs/>
        </w:rPr>
      </w:pPr>
      <w:r w:rsidRPr="000B2EB8">
        <w:t>The survey was sent out to a wide range of contacts and using many different approaches as detailed in Appendix A.</w:t>
      </w:r>
    </w:p>
    <w:p w14:paraId="14314341" w14:textId="77777777" w:rsidR="00D5643C" w:rsidRPr="000B2EB8" w:rsidRDefault="00D5643C" w:rsidP="00D5643C">
      <w:pPr>
        <w:pStyle w:val="PanelPara"/>
      </w:pPr>
      <w:r w:rsidRPr="000B2EB8">
        <w:t xml:space="preserve">This wide reach is set within the challenges of the limited timescale of the government funding settlement, the current cost of living climate and the fact that it was held over the festive season.  </w:t>
      </w:r>
    </w:p>
    <w:p w14:paraId="40EDCC96" w14:textId="77777777" w:rsidR="00D5643C" w:rsidRPr="000B2EB8" w:rsidRDefault="00D5643C" w:rsidP="00D5643C">
      <w:pPr>
        <w:pStyle w:val="PanelPara"/>
      </w:pPr>
      <w:r w:rsidRPr="000B2EB8">
        <w:t>Interim reviews were taken on the survey to assess the reach and where appropriate, additional communications were made to key areas of the county to ensure those who wished to contribute to the survey were able to do so.</w:t>
      </w:r>
    </w:p>
    <w:p w14:paraId="7DCE6444" w14:textId="3B4923BD" w:rsidR="00D5643C" w:rsidRPr="000B2EB8" w:rsidRDefault="00D5643C" w:rsidP="00D5643C">
      <w:pPr>
        <w:pStyle w:val="PanelPara"/>
      </w:pPr>
      <w:r w:rsidRPr="000B2EB8">
        <w:t>The PFCC would like to give particular appreciation to the commitment and engagement of the Chair and members of the Police, Fire and Crime Panel, local Councillors</w:t>
      </w:r>
      <w:r w:rsidR="00627ED0">
        <w:t>,</w:t>
      </w:r>
      <w:r w:rsidRPr="000B2EB8">
        <w:t xml:space="preserve"> MPs, community leaders and teams within the unitary authorities </w:t>
      </w:r>
      <w:r w:rsidR="00627ED0">
        <w:t>for their support</w:t>
      </w:r>
      <w:r w:rsidRPr="000B2EB8">
        <w:t xml:space="preserve"> disseminat</w:t>
      </w:r>
      <w:r w:rsidR="00627ED0">
        <w:t>ing</w:t>
      </w:r>
      <w:r w:rsidRPr="000B2EB8">
        <w:t xml:space="preserve"> the survey amongst local residents and contacts.</w:t>
      </w:r>
    </w:p>
    <w:p w14:paraId="71E9735F" w14:textId="77777777" w:rsidR="00D5643C" w:rsidRPr="000B2EB8" w:rsidRDefault="00D5643C" w:rsidP="00D5643C">
      <w:pPr>
        <w:pStyle w:val="PanelPara"/>
      </w:pPr>
      <w:r w:rsidRPr="000B2EB8">
        <w:t>The online survey received 1,75</w:t>
      </w:r>
      <w:r>
        <w:t>1</w:t>
      </w:r>
      <w:r w:rsidRPr="000B2EB8">
        <w:t xml:space="preserve"> responses.  This is classed as a statistically relevant sample size for the County based on a 95% level of confidence.  The PFCC has considered the results of the online survey which were:</w:t>
      </w:r>
    </w:p>
    <w:p w14:paraId="5A8CA386" w14:textId="2E9F4200" w:rsidR="0040239A" w:rsidRPr="000B2EB8" w:rsidRDefault="000B2EB8" w:rsidP="0040239A">
      <w:pPr>
        <w:pStyle w:val="PanelBullet"/>
        <w:rPr>
          <w:b/>
          <w:bCs/>
        </w:rPr>
      </w:pPr>
      <w:r w:rsidRPr="000B2EB8">
        <w:rPr>
          <w:b/>
          <w:bCs/>
        </w:rPr>
        <w:t>57.3</w:t>
      </w:r>
      <w:r w:rsidR="0040239A" w:rsidRPr="000B2EB8">
        <w:rPr>
          <w:b/>
          <w:bCs/>
        </w:rPr>
        <w:t xml:space="preserve">% of residents were prepared to pay £15 or more if they were able to for Police services. </w:t>
      </w:r>
    </w:p>
    <w:p w14:paraId="606A32A1" w14:textId="19D6C23E" w:rsidR="0040239A" w:rsidRPr="000B2EB8" w:rsidRDefault="000B2EB8" w:rsidP="0040239A">
      <w:pPr>
        <w:pStyle w:val="PanelBullet"/>
      </w:pPr>
      <w:r w:rsidRPr="000B2EB8">
        <w:t>36.4</w:t>
      </w:r>
      <w:r w:rsidR="0040239A" w:rsidRPr="000B2EB8">
        <w:t xml:space="preserve">% were not prepared to pay any more than they do now; and </w:t>
      </w:r>
    </w:p>
    <w:p w14:paraId="65253A5B" w14:textId="264191E3" w:rsidR="0040239A" w:rsidRPr="000B2EB8" w:rsidRDefault="000B2EB8" w:rsidP="0040239A">
      <w:pPr>
        <w:pStyle w:val="PanelBullet"/>
      </w:pPr>
      <w:r w:rsidRPr="000B2EB8">
        <w:t>6.3</w:t>
      </w:r>
      <w:r w:rsidR="0040239A" w:rsidRPr="000B2EB8">
        <w:t>% said they did not know.</w:t>
      </w:r>
    </w:p>
    <w:p w14:paraId="630DD3C7" w14:textId="77777777" w:rsidR="00D5643C" w:rsidRPr="00A37EFD" w:rsidRDefault="00D5643C" w:rsidP="00D5643C">
      <w:pPr>
        <w:pStyle w:val="PanelPara"/>
      </w:pPr>
      <w:bookmarkStart w:id="18" w:name="_Hlk62220860"/>
      <w:r w:rsidRPr="00A37EFD">
        <w:t>The PFCC will consider the narrative comments in the survey and more detailed analysis which will be published on the PFCC website in due course.</w:t>
      </w:r>
    </w:p>
    <w:p w14:paraId="248265B7" w14:textId="77777777" w:rsidR="00D5643C" w:rsidRPr="00A37EFD" w:rsidRDefault="00D5643C" w:rsidP="00D5643C">
      <w:pPr>
        <w:pStyle w:val="PanelPara"/>
      </w:pPr>
      <w:r w:rsidRPr="00A37EFD">
        <w:t xml:space="preserve">Results pertaining to consultation on the Plan will </w:t>
      </w:r>
      <w:r>
        <w:t xml:space="preserve">be </w:t>
      </w:r>
      <w:r w:rsidRPr="00A37EFD">
        <w:t>shared and published in due course when analysis is complete.</w:t>
      </w:r>
    </w:p>
    <w:p w14:paraId="3984F0F4" w14:textId="77777777" w:rsidR="00D5643C" w:rsidRDefault="00D5643C" w:rsidP="00D5643C">
      <w:pPr>
        <w:pStyle w:val="PanelPara"/>
      </w:pPr>
      <w:r w:rsidRPr="00A37EFD">
        <w:t>The OPFCC is holding a Police Fire and Crime Panel workshop on the 27</w:t>
      </w:r>
      <w:r w:rsidRPr="00A37EFD">
        <w:rPr>
          <w:vertAlign w:val="superscript"/>
        </w:rPr>
        <w:t>th</w:t>
      </w:r>
      <w:r w:rsidRPr="00A37EFD">
        <w:t xml:space="preserve"> January 2025</w:t>
      </w:r>
      <w:r w:rsidRPr="003701F3">
        <w:t xml:space="preserve"> regarding the budget and precept considerations for 2025/26, with all Panel members invited.  These annual workshops commenced in 2021 and have been useful to give members a deeper understanding of the detail behind the budget and precept proposals.</w:t>
      </w:r>
    </w:p>
    <w:p w14:paraId="13F48663" w14:textId="77777777" w:rsidR="00D970F0" w:rsidRDefault="00D970F0" w:rsidP="00B232A1">
      <w:pPr>
        <w:pStyle w:val="PanelHeading"/>
      </w:pPr>
    </w:p>
    <w:p w14:paraId="682AE13F" w14:textId="7ADDEA72" w:rsidR="009455E6" w:rsidRPr="00FE46A6" w:rsidRDefault="00FC4407" w:rsidP="00B232A1">
      <w:pPr>
        <w:pStyle w:val="PanelHeading"/>
      </w:pPr>
      <w:bookmarkStart w:id="19" w:name="_Hlk187325021"/>
      <w:r w:rsidRPr="00FE46A6">
        <w:t>BUDGET STRATEGY</w:t>
      </w:r>
      <w:r>
        <w:t xml:space="preserve"> – APPROACH AND SCRUTINY</w:t>
      </w:r>
    </w:p>
    <w:bookmarkEnd w:id="19"/>
    <w:p w14:paraId="6ECCA5E9" w14:textId="30D41DF7" w:rsidR="007B1055" w:rsidRDefault="007B1055" w:rsidP="007B1055">
      <w:pPr>
        <w:pStyle w:val="PanelPara"/>
      </w:pPr>
      <w:r>
        <w:t xml:space="preserve">The </w:t>
      </w:r>
      <w:r w:rsidRPr="00FE46A6">
        <w:t xml:space="preserve">PFCC seeks to maximise the allocation provided to the operational police budget and allow sufficient flexibility for the Chief Constable to meet operational challenges and foster innovation.  This is balanced with maintaining sufficient resources to fund the capital programme, maintain the Office of the PFCC and provide over £5m in commissioning and delivery activities for the public of Northamptonshire. </w:t>
      </w:r>
    </w:p>
    <w:p w14:paraId="415090F7" w14:textId="77777777" w:rsidR="0035605A" w:rsidRPr="00FE46A6" w:rsidRDefault="0035605A" w:rsidP="0035605A">
      <w:pPr>
        <w:pStyle w:val="PanelPara"/>
        <w:numPr>
          <w:ilvl w:val="0"/>
          <w:numId w:val="0"/>
        </w:numPr>
        <w:ind w:left="567"/>
      </w:pPr>
    </w:p>
    <w:p w14:paraId="602EBD8F" w14:textId="4C6ACE97" w:rsidR="007B1055" w:rsidRDefault="007B1055" w:rsidP="00B232A1">
      <w:pPr>
        <w:pStyle w:val="PanelPara"/>
      </w:pPr>
      <w:r>
        <w:lastRenderedPageBreak/>
        <w:t>The policing budget is set as follows:</w:t>
      </w:r>
    </w:p>
    <w:tbl>
      <w:tblPr>
        <w:tblW w:w="7377" w:type="dxa"/>
        <w:tblInd w:w="562" w:type="dxa"/>
        <w:tblLook w:val="04A0" w:firstRow="1" w:lastRow="0" w:firstColumn="1" w:lastColumn="0" w:noHBand="0" w:noVBand="1"/>
      </w:tblPr>
      <w:tblGrid>
        <w:gridCol w:w="1140"/>
        <w:gridCol w:w="5097"/>
        <w:gridCol w:w="1140"/>
      </w:tblGrid>
      <w:tr w:rsidR="00AE75DF" w:rsidRPr="00AE75DF" w14:paraId="637AA60D" w14:textId="77777777" w:rsidTr="00FF3F04">
        <w:trPr>
          <w:trHeight w:val="630"/>
        </w:trPr>
        <w:tc>
          <w:tcPr>
            <w:tcW w:w="1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1B9D73" w14:textId="77777777" w:rsidR="00AE75DF" w:rsidRPr="00AE75DF" w:rsidRDefault="00AE75DF" w:rsidP="00AE75DF">
            <w:pPr>
              <w:spacing w:line="240" w:lineRule="auto"/>
              <w:jc w:val="center"/>
              <w:rPr>
                <w:rFonts w:eastAsia="Times New Roman" w:cs="Calibri"/>
                <w:b/>
                <w:bCs/>
                <w:color w:val="000000"/>
                <w:sz w:val="24"/>
                <w:szCs w:val="24"/>
                <w:lang w:eastAsia="en-GB"/>
              </w:rPr>
            </w:pPr>
            <w:r w:rsidRPr="00AE75DF">
              <w:rPr>
                <w:rFonts w:eastAsia="Times New Roman" w:cs="Calibri"/>
                <w:b/>
                <w:bCs/>
                <w:color w:val="000000"/>
                <w:sz w:val="24"/>
                <w:szCs w:val="24"/>
                <w:lang w:eastAsia="en-GB"/>
              </w:rPr>
              <w:t>2024/25</w:t>
            </w:r>
            <w:r w:rsidRPr="00AE75DF">
              <w:rPr>
                <w:rFonts w:eastAsia="Times New Roman" w:cs="Calibri"/>
                <w:b/>
                <w:bCs/>
                <w:color w:val="000000"/>
                <w:sz w:val="24"/>
                <w:szCs w:val="24"/>
                <w:lang w:eastAsia="en-GB"/>
              </w:rPr>
              <w:br/>
              <w:t>£m</w:t>
            </w:r>
          </w:p>
        </w:tc>
        <w:tc>
          <w:tcPr>
            <w:tcW w:w="5097" w:type="dxa"/>
            <w:tcBorders>
              <w:top w:val="single" w:sz="4" w:space="0" w:color="auto"/>
              <w:left w:val="nil"/>
              <w:bottom w:val="single" w:sz="4" w:space="0" w:color="auto"/>
              <w:right w:val="single" w:sz="4" w:space="0" w:color="auto"/>
            </w:tcBorders>
            <w:shd w:val="clear" w:color="000000" w:fill="FFFFFF"/>
            <w:noWrap/>
            <w:vAlign w:val="center"/>
            <w:hideMark/>
          </w:tcPr>
          <w:p w14:paraId="7A7446ED" w14:textId="77777777" w:rsidR="00AE75DF" w:rsidRPr="00AE75DF" w:rsidRDefault="00AE75DF" w:rsidP="00AE75DF">
            <w:pPr>
              <w:spacing w:line="240" w:lineRule="auto"/>
              <w:jc w:val="center"/>
              <w:rPr>
                <w:rFonts w:eastAsia="Times New Roman" w:cs="Calibri"/>
                <w:b/>
                <w:bCs/>
                <w:color w:val="000000"/>
                <w:sz w:val="24"/>
                <w:szCs w:val="24"/>
                <w:lang w:eastAsia="en-GB"/>
              </w:rPr>
            </w:pPr>
            <w:r w:rsidRPr="00AE75DF">
              <w:rPr>
                <w:rFonts w:eastAsia="Times New Roman" w:cs="Calibri"/>
                <w:b/>
                <w:bCs/>
                <w:color w:val="000000"/>
                <w:sz w:val="24"/>
                <w:szCs w:val="24"/>
                <w:lang w:eastAsia="en-GB"/>
              </w:rPr>
              <w:t>Budget Breakdown</w:t>
            </w:r>
          </w:p>
        </w:tc>
        <w:tc>
          <w:tcPr>
            <w:tcW w:w="1140" w:type="dxa"/>
            <w:tcBorders>
              <w:top w:val="single" w:sz="4" w:space="0" w:color="auto"/>
              <w:left w:val="nil"/>
              <w:bottom w:val="single" w:sz="4" w:space="0" w:color="auto"/>
              <w:right w:val="single" w:sz="4" w:space="0" w:color="auto"/>
            </w:tcBorders>
            <w:shd w:val="clear" w:color="000000" w:fill="DDEBF7"/>
            <w:vAlign w:val="center"/>
            <w:hideMark/>
          </w:tcPr>
          <w:p w14:paraId="59D1DF91" w14:textId="77777777" w:rsidR="00AE75DF" w:rsidRPr="00AE75DF" w:rsidRDefault="00AE75DF" w:rsidP="00AE75DF">
            <w:pPr>
              <w:spacing w:line="240" w:lineRule="auto"/>
              <w:jc w:val="center"/>
              <w:rPr>
                <w:rFonts w:eastAsia="Times New Roman" w:cs="Calibri"/>
                <w:b/>
                <w:bCs/>
                <w:color w:val="000000"/>
                <w:sz w:val="24"/>
                <w:szCs w:val="24"/>
                <w:lang w:eastAsia="en-GB"/>
              </w:rPr>
            </w:pPr>
            <w:r w:rsidRPr="00AE75DF">
              <w:rPr>
                <w:rFonts w:eastAsia="Times New Roman" w:cs="Calibri"/>
                <w:b/>
                <w:bCs/>
                <w:color w:val="000000"/>
                <w:sz w:val="24"/>
                <w:szCs w:val="24"/>
                <w:lang w:eastAsia="en-GB"/>
              </w:rPr>
              <w:t>2025/26</w:t>
            </w:r>
            <w:r w:rsidRPr="00AE75DF">
              <w:rPr>
                <w:rFonts w:eastAsia="Times New Roman" w:cs="Calibri"/>
                <w:b/>
                <w:bCs/>
                <w:color w:val="000000"/>
                <w:sz w:val="24"/>
                <w:szCs w:val="24"/>
                <w:lang w:eastAsia="en-GB"/>
              </w:rPr>
              <w:br/>
              <w:t>£m</w:t>
            </w:r>
          </w:p>
        </w:tc>
      </w:tr>
      <w:tr w:rsidR="00AE75DF" w:rsidRPr="00AE75DF" w14:paraId="42C632EB" w14:textId="77777777" w:rsidTr="00FF3F04">
        <w:trPr>
          <w:trHeight w:val="315"/>
        </w:trPr>
        <w:tc>
          <w:tcPr>
            <w:tcW w:w="1140" w:type="dxa"/>
            <w:tcBorders>
              <w:top w:val="nil"/>
              <w:left w:val="single" w:sz="4" w:space="0" w:color="auto"/>
              <w:bottom w:val="nil"/>
              <w:right w:val="single" w:sz="4" w:space="0" w:color="auto"/>
            </w:tcBorders>
            <w:shd w:val="clear" w:color="000000" w:fill="FFFFFF"/>
            <w:noWrap/>
            <w:vAlign w:val="bottom"/>
            <w:hideMark/>
          </w:tcPr>
          <w:p w14:paraId="73411B88"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144.471</w:t>
            </w:r>
          </w:p>
        </w:tc>
        <w:tc>
          <w:tcPr>
            <w:tcW w:w="5097" w:type="dxa"/>
            <w:tcBorders>
              <w:top w:val="nil"/>
              <w:left w:val="nil"/>
              <w:bottom w:val="nil"/>
              <w:right w:val="single" w:sz="4" w:space="0" w:color="auto"/>
            </w:tcBorders>
            <w:shd w:val="clear" w:color="000000" w:fill="FFFFFF"/>
            <w:noWrap/>
            <w:vAlign w:val="bottom"/>
            <w:hideMark/>
          </w:tcPr>
          <w:p w14:paraId="23CA364E" w14:textId="77777777" w:rsidR="00AE75DF" w:rsidRPr="00AE75DF" w:rsidRDefault="00AE75DF" w:rsidP="00AE75DF">
            <w:pPr>
              <w:spacing w:line="240" w:lineRule="auto"/>
              <w:rPr>
                <w:rFonts w:eastAsia="Times New Roman" w:cs="Calibri"/>
                <w:color w:val="000000"/>
                <w:sz w:val="24"/>
                <w:szCs w:val="24"/>
                <w:lang w:eastAsia="en-GB"/>
              </w:rPr>
            </w:pPr>
            <w:r w:rsidRPr="00AE75DF">
              <w:rPr>
                <w:rFonts w:eastAsia="Times New Roman" w:cs="Calibri"/>
                <w:color w:val="000000"/>
                <w:sz w:val="24"/>
                <w:szCs w:val="24"/>
                <w:lang w:eastAsia="en-GB"/>
              </w:rPr>
              <w:t>Force</w:t>
            </w:r>
          </w:p>
        </w:tc>
        <w:tc>
          <w:tcPr>
            <w:tcW w:w="1140" w:type="dxa"/>
            <w:tcBorders>
              <w:top w:val="nil"/>
              <w:left w:val="nil"/>
              <w:bottom w:val="nil"/>
              <w:right w:val="single" w:sz="4" w:space="0" w:color="auto"/>
            </w:tcBorders>
            <w:shd w:val="clear" w:color="000000" w:fill="DDEBF7"/>
            <w:noWrap/>
            <w:vAlign w:val="bottom"/>
            <w:hideMark/>
          </w:tcPr>
          <w:p w14:paraId="1F921898"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152.372</w:t>
            </w:r>
          </w:p>
        </w:tc>
      </w:tr>
      <w:tr w:rsidR="00AE75DF" w:rsidRPr="00AE75DF" w14:paraId="55ABD620" w14:textId="77777777" w:rsidTr="00FF3F04">
        <w:trPr>
          <w:trHeight w:val="315"/>
        </w:trPr>
        <w:tc>
          <w:tcPr>
            <w:tcW w:w="1140" w:type="dxa"/>
            <w:tcBorders>
              <w:top w:val="nil"/>
              <w:left w:val="single" w:sz="4" w:space="0" w:color="auto"/>
              <w:bottom w:val="nil"/>
              <w:right w:val="single" w:sz="4" w:space="0" w:color="auto"/>
            </w:tcBorders>
            <w:shd w:val="clear" w:color="000000" w:fill="FFFFFF"/>
            <w:noWrap/>
            <w:vAlign w:val="bottom"/>
            <w:hideMark/>
          </w:tcPr>
          <w:p w14:paraId="489C47F3"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31.799</w:t>
            </w:r>
          </w:p>
        </w:tc>
        <w:tc>
          <w:tcPr>
            <w:tcW w:w="5097" w:type="dxa"/>
            <w:tcBorders>
              <w:top w:val="nil"/>
              <w:left w:val="nil"/>
              <w:bottom w:val="nil"/>
              <w:right w:val="single" w:sz="4" w:space="0" w:color="auto"/>
            </w:tcBorders>
            <w:shd w:val="clear" w:color="000000" w:fill="FFFFFF"/>
            <w:noWrap/>
            <w:vAlign w:val="bottom"/>
            <w:hideMark/>
          </w:tcPr>
          <w:p w14:paraId="2E81024E" w14:textId="77777777" w:rsidR="00AE75DF" w:rsidRPr="00AE75DF" w:rsidRDefault="00AE75DF" w:rsidP="00AE75DF">
            <w:pPr>
              <w:spacing w:line="240" w:lineRule="auto"/>
              <w:rPr>
                <w:rFonts w:eastAsia="Times New Roman" w:cs="Calibri"/>
                <w:color w:val="000000"/>
                <w:sz w:val="24"/>
                <w:szCs w:val="24"/>
                <w:lang w:eastAsia="en-GB"/>
              </w:rPr>
            </w:pPr>
            <w:r w:rsidRPr="00AE75DF">
              <w:rPr>
                <w:rFonts w:eastAsia="Times New Roman" w:cs="Calibri"/>
                <w:color w:val="000000"/>
                <w:sz w:val="24"/>
                <w:szCs w:val="24"/>
                <w:lang w:eastAsia="en-GB"/>
              </w:rPr>
              <w:t>Enabling Services</w:t>
            </w:r>
          </w:p>
        </w:tc>
        <w:tc>
          <w:tcPr>
            <w:tcW w:w="1140" w:type="dxa"/>
            <w:tcBorders>
              <w:top w:val="nil"/>
              <w:left w:val="nil"/>
              <w:bottom w:val="nil"/>
              <w:right w:val="single" w:sz="4" w:space="0" w:color="auto"/>
            </w:tcBorders>
            <w:shd w:val="clear" w:color="000000" w:fill="DDEBF7"/>
            <w:noWrap/>
            <w:vAlign w:val="bottom"/>
            <w:hideMark/>
          </w:tcPr>
          <w:p w14:paraId="264239B0"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33.869</w:t>
            </w:r>
          </w:p>
        </w:tc>
      </w:tr>
      <w:tr w:rsidR="00AE75DF" w:rsidRPr="00AE75DF" w14:paraId="1E6F87C4" w14:textId="77777777" w:rsidTr="00FF3F04">
        <w:trPr>
          <w:trHeight w:val="315"/>
        </w:trPr>
        <w:tc>
          <w:tcPr>
            <w:tcW w:w="1140" w:type="dxa"/>
            <w:tcBorders>
              <w:top w:val="single" w:sz="4" w:space="0" w:color="auto"/>
              <w:left w:val="single" w:sz="4" w:space="0" w:color="auto"/>
              <w:bottom w:val="nil"/>
              <w:right w:val="single" w:sz="4" w:space="0" w:color="auto"/>
            </w:tcBorders>
            <w:shd w:val="clear" w:color="000000" w:fill="FFFFFF"/>
            <w:noWrap/>
            <w:vAlign w:val="bottom"/>
            <w:hideMark/>
          </w:tcPr>
          <w:p w14:paraId="3C426483" w14:textId="77777777" w:rsidR="00AE75DF" w:rsidRPr="00AE75DF" w:rsidRDefault="00AE75DF" w:rsidP="00AE75DF">
            <w:pPr>
              <w:spacing w:line="240" w:lineRule="auto"/>
              <w:jc w:val="right"/>
              <w:rPr>
                <w:rFonts w:eastAsia="Times New Roman" w:cs="Calibri"/>
                <w:b/>
                <w:bCs/>
                <w:color w:val="000000"/>
                <w:sz w:val="24"/>
                <w:szCs w:val="24"/>
                <w:lang w:eastAsia="en-GB"/>
              </w:rPr>
            </w:pPr>
            <w:r w:rsidRPr="00AE75DF">
              <w:rPr>
                <w:rFonts w:eastAsia="Times New Roman" w:cs="Calibri"/>
                <w:b/>
                <w:bCs/>
                <w:color w:val="000000"/>
                <w:sz w:val="24"/>
                <w:szCs w:val="24"/>
                <w:lang w:eastAsia="en-GB"/>
              </w:rPr>
              <w:t>176.270</w:t>
            </w:r>
          </w:p>
        </w:tc>
        <w:tc>
          <w:tcPr>
            <w:tcW w:w="5097" w:type="dxa"/>
            <w:tcBorders>
              <w:top w:val="single" w:sz="4" w:space="0" w:color="auto"/>
              <w:left w:val="nil"/>
              <w:bottom w:val="nil"/>
              <w:right w:val="single" w:sz="4" w:space="0" w:color="auto"/>
            </w:tcBorders>
            <w:shd w:val="clear" w:color="000000" w:fill="FFFFFF"/>
            <w:noWrap/>
            <w:vAlign w:val="bottom"/>
            <w:hideMark/>
          </w:tcPr>
          <w:p w14:paraId="5A16DC17" w14:textId="77777777" w:rsidR="00AE75DF" w:rsidRPr="00AE75DF" w:rsidRDefault="00AE75DF" w:rsidP="00AE75DF">
            <w:pPr>
              <w:spacing w:line="240" w:lineRule="auto"/>
              <w:rPr>
                <w:rFonts w:eastAsia="Times New Roman" w:cs="Calibri"/>
                <w:b/>
                <w:bCs/>
                <w:color w:val="000000"/>
                <w:sz w:val="24"/>
                <w:szCs w:val="24"/>
                <w:lang w:eastAsia="en-GB"/>
              </w:rPr>
            </w:pPr>
            <w:r w:rsidRPr="00AE75DF">
              <w:rPr>
                <w:rFonts w:eastAsia="Times New Roman" w:cs="Calibri"/>
                <w:b/>
                <w:bCs/>
                <w:color w:val="000000"/>
                <w:sz w:val="24"/>
                <w:szCs w:val="24"/>
                <w:lang w:eastAsia="en-GB"/>
              </w:rPr>
              <w:t xml:space="preserve">FORCE BUDGET </w:t>
            </w:r>
            <w:r w:rsidRPr="00AE75DF">
              <w:rPr>
                <w:rFonts w:eastAsia="Times New Roman" w:cs="Calibri"/>
                <w:color w:val="000000"/>
                <w:sz w:val="24"/>
                <w:szCs w:val="24"/>
                <w:lang w:eastAsia="en-GB"/>
              </w:rPr>
              <w:t>(before Investments/Savings)</w:t>
            </w:r>
          </w:p>
        </w:tc>
        <w:tc>
          <w:tcPr>
            <w:tcW w:w="1140" w:type="dxa"/>
            <w:tcBorders>
              <w:top w:val="single" w:sz="4" w:space="0" w:color="auto"/>
              <w:left w:val="nil"/>
              <w:bottom w:val="nil"/>
              <w:right w:val="single" w:sz="4" w:space="0" w:color="auto"/>
            </w:tcBorders>
            <w:shd w:val="clear" w:color="000000" w:fill="DDEBF7"/>
            <w:noWrap/>
            <w:vAlign w:val="bottom"/>
            <w:hideMark/>
          </w:tcPr>
          <w:p w14:paraId="3A064AC7" w14:textId="77777777" w:rsidR="00AE75DF" w:rsidRPr="00AE75DF" w:rsidRDefault="00AE75DF" w:rsidP="00AE75DF">
            <w:pPr>
              <w:spacing w:line="240" w:lineRule="auto"/>
              <w:jc w:val="right"/>
              <w:rPr>
                <w:rFonts w:eastAsia="Times New Roman" w:cs="Calibri"/>
                <w:b/>
                <w:bCs/>
                <w:color w:val="000000"/>
                <w:sz w:val="24"/>
                <w:szCs w:val="24"/>
                <w:lang w:eastAsia="en-GB"/>
              </w:rPr>
            </w:pPr>
            <w:r w:rsidRPr="00AE75DF">
              <w:rPr>
                <w:rFonts w:eastAsia="Times New Roman" w:cs="Calibri"/>
                <w:b/>
                <w:bCs/>
                <w:color w:val="000000"/>
                <w:sz w:val="24"/>
                <w:szCs w:val="24"/>
                <w:lang w:eastAsia="en-GB"/>
              </w:rPr>
              <w:t>186.241</w:t>
            </w:r>
          </w:p>
        </w:tc>
      </w:tr>
      <w:tr w:rsidR="00AE75DF" w:rsidRPr="00AE75DF" w14:paraId="2D6F8418" w14:textId="77777777" w:rsidTr="00FF3F04">
        <w:trPr>
          <w:trHeight w:val="315"/>
        </w:trPr>
        <w:tc>
          <w:tcPr>
            <w:tcW w:w="1140" w:type="dxa"/>
            <w:tcBorders>
              <w:top w:val="nil"/>
              <w:left w:val="single" w:sz="4" w:space="0" w:color="auto"/>
              <w:bottom w:val="nil"/>
              <w:right w:val="single" w:sz="4" w:space="0" w:color="auto"/>
            </w:tcBorders>
            <w:shd w:val="clear" w:color="000000" w:fill="FFFFFF"/>
            <w:noWrap/>
            <w:vAlign w:val="bottom"/>
            <w:hideMark/>
          </w:tcPr>
          <w:p w14:paraId="37B82B04" w14:textId="77777777" w:rsidR="00AE75DF" w:rsidRPr="00AE75DF" w:rsidRDefault="00AE75DF" w:rsidP="00AE75DF">
            <w:pPr>
              <w:spacing w:line="240" w:lineRule="auto"/>
              <w:rPr>
                <w:rFonts w:eastAsia="Times New Roman" w:cs="Calibri"/>
                <w:color w:val="000000"/>
                <w:sz w:val="24"/>
                <w:szCs w:val="24"/>
                <w:lang w:eastAsia="en-GB"/>
              </w:rPr>
            </w:pPr>
            <w:r w:rsidRPr="00AE75DF">
              <w:rPr>
                <w:rFonts w:eastAsia="Times New Roman" w:cs="Calibri"/>
                <w:color w:val="000000"/>
                <w:sz w:val="24"/>
                <w:szCs w:val="24"/>
                <w:lang w:eastAsia="en-GB"/>
              </w:rPr>
              <w:t> </w:t>
            </w:r>
          </w:p>
        </w:tc>
        <w:tc>
          <w:tcPr>
            <w:tcW w:w="5097" w:type="dxa"/>
            <w:tcBorders>
              <w:top w:val="nil"/>
              <w:left w:val="nil"/>
              <w:bottom w:val="nil"/>
              <w:right w:val="single" w:sz="4" w:space="0" w:color="auto"/>
            </w:tcBorders>
            <w:shd w:val="clear" w:color="000000" w:fill="FFFFFF"/>
            <w:noWrap/>
            <w:vAlign w:val="bottom"/>
            <w:hideMark/>
          </w:tcPr>
          <w:p w14:paraId="2F5716DD" w14:textId="77777777" w:rsidR="00AE75DF" w:rsidRPr="00AE75DF" w:rsidRDefault="00AE75DF" w:rsidP="00AE75DF">
            <w:pPr>
              <w:spacing w:line="240" w:lineRule="auto"/>
              <w:rPr>
                <w:rFonts w:eastAsia="Times New Roman" w:cs="Calibri"/>
                <w:color w:val="000000"/>
                <w:sz w:val="24"/>
                <w:szCs w:val="24"/>
                <w:lang w:eastAsia="en-GB"/>
              </w:rPr>
            </w:pPr>
            <w:r w:rsidRPr="00AE75DF">
              <w:rPr>
                <w:rFonts w:eastAsia="Times New Roman" w:cs="Calibri"/>
                <w:color w:val="000000"/>
                <w:sz w:val="24"/>
                <w:szCs w:val="24"/>
                <w:lang w:eastAsia="en-GB"/>
              </w:rPr>
              <w:t> </w:t>
            </w:r>
          </w:p>
        </w:tc>
        <w:tc>
          <w:tcPr>
            <w:tcW w:w="1140" w:type="dxa"/>
            <w:tcBorders>
              <w:top w:val="nil"/>
              <w:left w:val="nil"/>
              <w:bottom w:val="nil"/>
              <w:right w:val="single" w:sz="4" w:space="0" w:color="auto"/>
            </w:tcBorders>
            <w:shd w:val="clear" w:color="000000" w:fill="DDEBF7"/>
            <w:noWrap/>
            <w:vAlign w:val="bottom"/>
            <w:hideMark/>
          </w:tcPr>
          <w:p w14:paraId="3B14F108" w14:textId="77777777" w:rsidR="00AE75DF" w:rsidRPr="00AE75DF" w:rsidRDefault="00AE75DF" w:rsidP="00AE75DF">
            <w:pPr>
              <w:spacing w:line="240" w:lineRule="auto"/>
              <w:rPr>
                <w:rFonts w:eastAsia="Times New Roman" w:cs="Calibri"/>
                <w:color w:val="000000"/>
                <w:sz w:val="24"/>
                <w:szCs w:val="24"/>
                <w:lang w:eastAsia="en-GB"/>
              </w:rPr>
            </w:pPr>
            <w:r w:rsidRPr="00AE75DF">
              <w:rPr>
                <w:rFonts w:eastAsia="Times New Roman" w:cs="Calibri"/>
                <w:color w:val="000000"/>
                <w:sz w:val="24"/>
                <w:szCs w:val="24"/>
                <w:lang w:eastAsia="en-GB"/>
              </w:rPr>
              <w:t> </w:t>
            </w:r>
          </w:p>
        </w:tc>
      </w:tr>
      <w:tr w:rsidR="00AE75DF" w:rsidRPr="00AE75DF" w14:paraId="23198AFE" w14:textId="77777777" w:rsidTr="00FF3F04">
        <w:trPr>
          <w:trHeight w:val="315"/>
        </w:trPr>
        <w:tc>
          <w:tcPr>
            <w:tcW w:w="1140" w:type="dxa"/>
            <w:tcBorders>
              <w:top w:val="nil"/>
              <w:left w:val="single" w:sz="4" w:space="0" w:color="auto"/>
              <w:bottom w:val="nil"/>
              <w:right w:val="single" w:sz="4" w:space="0" w:color="auto"/>
            </w:tcBorders>
            <w:shd w:val="clear" w:color="000000" w:fill="FFFFFF"/>
            <w:noWrap/>
            <w:vAlign w:val="bottom"/>
            <w:hideMark/>
          </w:tcPr>
          <w:p w14:paraId="2A2B4B6F"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1.314</w:t>
            </w:r>
          </w:p>
        </w:tc>
        <w:tc>
          <w:tcPr>
            <w:tcW w:w="5097" w:type="dxa"/>
            <w:tcBorders>
              <w:top w:val="nil"/>
              <w:left w:val="nil"/>
              <w:bottom w:val="nil"/>
              <w:right w:val="single" w:sz="4" w:space="0" w:color="auto"/>
            </w:tcBorders>
            <w:shd w:val="clear" w:color="000000" w:fill="FFFFFF"/>
            <w:noWrap/>
            <w:vAlign w:val="bottom"/>
            <w:hideMark/>
          </w:tcPr>
          <w:p w14:paraId="59F9BC70" w14:textId="77777777" w:rsidR="00AE75DF" w:rsidRPr="00AE75DF" w:rsidRDefault="00AE75DF" w:rsidP="00AE75DF">
            <w:pPr>
              <w:spacing w:line="240" w:lineRule="auto"/>
              <w:rPr>
                <w:rFonts w:eastAsia="Times New Roman" w:cs="Calibri"/>
                <w:color w:val="000000"/>
                <w:sz w:val="24"/>
                <w:szCs w:val="24"/>
                <w:lang w:eastAsia="en-GB"/>
              </w:rPr>
            </w:pPr>
            <w:r w:rsidRPr="00AE75DF">
              <w:rPr>
                <w:rFonts w:eastAsia="Times New Roman" w:cs="Calibri"/>
                <w:color w:val="000000"/>
                <w:sz w:val="24"/>
                <w:szCs w:val="24"/>
                <w:lang w:eastAsia="en-GB"/>
              </w:rPr>
              <w:t>OPFCC (Office)</w:t>
            </w:r>
          </w:p>
        </w:tc>
        <w:tc>
          <w:tcPr>
            <w:tcW w:w="1140" w:type="dxa"/>
            <w:tcBorders>
              <w:top w:val="nil"/>
              <w:left w:val="nil"/>
              <w:bottom w:val="nil"/>
              <w:right w:val="single" w:sz="4" w:space="0" w:color="auto"/>
            </w:tcBorders>
            <w:shd w:val="clear" w:color="000000" w:fill="DDEBF7"/>
            <w:noWrap/>
            <w:vAlign w:val="bottom"/>
            <w:hideMark/>
          </w:tcPr>
          <w:p w14:paraId="5CBEE9BB"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1.424</w:t>
            </w:r>
          </w:p>
        </w:tc>
      </w:tr>
      <w:tr w:rsidR="00AE75DF" w:rsidRPr="00AE75DF" w14:paraId="3E7B31F9" w14:textId="77777777" w:rsidTr="00FF3F04">
        <w:trPr>
          <w:trHeight w:val="315"/>
        </w:trPr>
        <w:tc>
          <w:tcPr>
            <w:tcW w:w="1140" w:type="dxa"/>
            <w:tcBorders>
              <w:top w:val="nil"/>
              <w:left w:val="single" w:sz="4" w:space="0" w:color="auto"/>
              <w:bottom w:val="nil"/>
              <w:right w:val="single" w:sz="4" w:space="0" w:color="auto"/>
            </w:tcBorders>
            <w:shd w:val="clear" w:color="000000" w:fill="FFFFFF"/>
            <w:noWrap/>
            <w:vAlign w:val="bottom"/>
            <w:hideMark/>
          </w:tcPr>
          <w:p w14:paraId="25F606DF"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5.353</w:t>
            </w:r>
          </w:p>
        </w:tc>
        <w:tc>
          <w:tcPr>
            <w:tcW w:w="5097" w:type="dxa"/>
            <w:tcBorders>
              <w:top w:val="nil"/>
              <w:left w:val="nil"/>
              <w:bottom w:val="nil"/>
              <w:right w:val="single" w:sz="4" w:space="0" w:color="auto"/>
            </w:tcBorders>
            <w:shd w:val="clear" w:color="000000" w:fill="FFFFFF"/>
            <w:noWrap/>
            <w:vAlign w:val="bottom"/>
            <w:hideMark/>
          </w:tcPr>
          <w:p w14:paraId="6A724F42" w14:textId="77777777" w:rsidR="00AE75DF" w:rsidRPr="00AE75DF" w:rsidRDefault="00AE75DF" w:rsidP="00AE75DF">
            <w:pPr>
              <w:spacing w:line="240" w:lineRule="auto"/>
              <w:rPr>
                <w:rFonts w:eastAsia="Times New Roman" w:cs="Calibri"/>
                <w:color w:val="000000"/>
                <w:sz w:val="24"/>
                <w:szCs w:val="24"/>
                <w:lang w:eastAsia="en-GB"/>
              </w:rPr>
            </w:pPr>
            <w:r w:rsidRPr="00AE75DF">
              <w:rPr>
                <w:rFonts w:eastAsia="Times New Roman" w:cs="Calibri"/>
                <w:color w:val="000000"/>
                <w:sz w:val="24"/>
                <w:szCs w:val="24"/>
                <w:lang w:eastAsia="en-GB"/>
              </w:rPr>
              <w:t>Commissioning and Delivery</w:t>
            </w:r>
          </w:p>
        </w:tc>
        <w:tc>
          <w:tcPr>
            <w:tcW w:w="1140" w:type="dxa"/>
            <w:tcBorders>
              <w:top w:val="nil"/>
              <w:left w:val="nil"/>
              <w:bottom w:val="nil"/>
              <w:right w:val="single" w:sz="4" w:space="0" w:color="auto"/>
            </w:tcBorders>
            <w:shd w:val="clear" w:color="000000" w:fill="DDEBF7"/>
            <w:noWrap/>
            <w:vAlign w:val="bottom"/>
            <w:hideMark/>
          </w:tcPr>
          <w:p w14:paraId="3E57844C"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5.551</w:t>
            </w:r>
          </w:p>
        </w:tc>
      </w:tr>
      <w:tr w:rsidR="00AE75DF" w:rsidRPr="00AE75DF" w14:paraId="1212D63F" w14:textId="77777777" w:rsidTr="00FF3F04">
        <w:trPr>
          <w:trHeight w:val="315"/>
        </w:trPr>
        <w:tc>
          <w:tcPr>
            <w:tcW w:w="1140" w:type="dxa"/>
            <w:tcBorders>
              <w:top w:val="single" w:sz="4" w:space="0" w:color="auto"/>
              <w:left w:val="single" w:sz="4" w:space="0" w:color="auto"/>
              <w:bottom w:val="nil"/>
              <w:right w:val="single" w:sz="4" w:space="0" w:color="auto"/>
            </w:tcBorders>
            <w:shd w:val="clear" w:color="000000" w:fill="FFFFFF"/>
            <w:noWrap/>
            <w:vAlign w:val="bottom"/>
            <w:hideMark/>
          </w:tcPr>
          <w:p w14:paraId="1738F98C" w14:textId="77777777" w:rsidR="00AE75DF" w:rsidRPr="00AE75DF" w:rsidRDefault="00AE75DF" w:rsidP="00AE75DF">
            <w:pPr>
              <w:spacing w:line="240" w:lineRule="auto"/>
              <w:jc w:val="right"/>
              <w:rPr>
                <w:rFonts w:eastAsia="Times New Roman" w:cs="Calibri"/>
                <w:b/>
                <w:bCs/>
                <w:color w:val="000000"/>
                <w:sz w:val="24"/>
                <w:szCs w:val="24"/>
                <w:lang w:eastAsia="en-GB"/>
              </w:rPr>
            </w:pPr>
            <w:r w:rsidRPr="00AE75DF">
              <w:rPr>
                <w:rFonts w:eastAsia="Times New Roman" w:cs="Calibri"/>
                <w:b/>
                <w:bCs/>
                <w:color w:val="000000"/>
                <w:sz w:val="24"/>
                <w:szCs w:val="24"/>
                <w:lang w:eastAsia="en-GB"/>
              </w:rPr>
              <w:t>6.667</w:t>
            </w:r>
          </w:p>
        </w:tc>
        <w:tc>
          <w:tcPr>
            <w:tcW w:w="5097" w:type="dxa"/>
            <w:tcBorders>
              <w:top w:val="single" w:sz="4" w:space="0" w:color="auto"/>
              <w:left w:val="nil"/>
              <w:bottom w:val="nil"/>
              <w:right w:val="single" w:sz="4" w:space="0" w:color="auto"/>
            </w:tcBorders>
            <w:shd w:val="clear" w:color="000000" w:fill="FFFFFF"/>
            <w:noWrap/>
            <w:vAlign w:val="bottom"/>
            <w:hideMark/>
          </w:tcPr>
          <w:p w14:paraId="7FCA2C66" w14:textId="77777777" w:rsidR="00AE75DF" w:rsidRPr="00AE75DF" w:rsidRDefault="00AE75DF" w:rsidP="00AE75DF">
            <w:pPr>
              <w:spacing w:line="240" w:lineRule="auto"/>
              <w:rPr>
                <w:rFonts w:eastAsia="Times New Roman" w:cs="Calibri"/>
                <w:b/>
                <w:bCs/>
                <w:color w:val="000000"/>
                <w:sz w:val="24"/>
                <w:szCs w:val="24"/>
                <w:lang w:eastAsia="en-GB"/>
              </w:rPr>
            </w:pPr>
            <w:r w:rsidRPr="00AE75DF">
              <w:rPr>
                <w:rFonts w:eastAsia="Times New Roman" w:cs="Calibri"/>
                <w:b/>
                <w:bCs/>
                <w:color w:val="000000"/>
                <w:sz w:val="24"/>
                <w:szCs w:val="24"/>
                <w:lang w:eastAsia="en-GB"/>
              </w:rPr>
              <w:t>PFCC BUDGET</w:t>
            </w:r>
          </w:p>
        </w:tc>
        <w:tc>
          <w:tcPr>
            <w:tcW w:w="1140" w:type="dxa"/>
            <w:tcBorders>
              <w:top w:val="single" w:sz="4" w:space="0" w:color="auto"/>
              <w:left w:val="nil"/>
              <w:bottom w:val="nil"/>
              <w:right w:val="single" w:sz="4" w:space="0" w:color="auto"/>
            </w:tcBorders>
            <w:shd w:val="clear" w:color="000000" w:fill="DDEBF7"/>
            <w:noWrap/>
            <w:vAlign w:val="bottom"/>
            <w:hideMark/>
          </w:tcPr>
          <w:p w14:paraId="0A163C45" w14:textId="77777777" w:rsidR="00AE75DF" w:rsidRPr="00AE75DF" w:rsidRDefault="00AE75DF" w:rsidP="00AE75DF">
            <w:pPr>
              <w:spacing w:line="240" w:lineRule="auto"/>
              <w:jc w:val="right"/>
              <w:rPr>
                <w:rFonts w:eastAsia="Times New Roman" w:cs="Calibri"/>
                <w:b/>
                <w:bCs/>
                <w:color w:val="000000"/>
                <w:sz w:val="24"/>
                <w:szCs w:val="24"/>
                <w:lang w:eastAsia="en-GB"/>
              </w:rPr>
            </w:pPr>
            <w:r w:rsidRPr="00AE75DF">
              <w:rPr>
                <w:rFonts w:eastAsia="Times New Roman" w:cs="Calibri"/>
                <w:b/>
                <w:bCs/>
                <w:color w:val="000000"/>
                <w:sz w:val="24"/>
                <w:szCs w:val="24"/>
                <w:lang w:eastAsia="en-GB"/>
              </w:rPr>
              <w:t>6.975</w:t>
            </w:r>
          </w:p>
        </w:tc>
      </w:tr>
      <w:tr w:rsidR="00AE75DF" w:rsidRPr="00AE75DF" w14:paraId="7A66E5A5" w14:textId="77777777" w:rsidTr="00FF3F04">
        <w:trPr>
          <w:trHeight w:val="315"/>
        </w:trPr>
        <w:tc>
          <w:tcPr>
            <w:tcW w:w="1140" w:type="dxa"/>
            <w:tcBorders>
              <w:top w:val="nil"/>
              <w:left w:val="single" w:sz="4" w:space="0" w:color="auto"/>
              <w:bottom w:val="nil"/>
              <w:right w:val="single" w:sz="4" w:space="0" w:color="auto"/>
            </w:tcBorders>
            <w:shd w:val="clear" w:color="auto" w:fill="auto"/>
            <w:noWrap/>
            <w:vAlign w:val="bottom"/>
            <w:hideMark/>
          </w:tcPr>
          <w:p w14:paraId="77B1E4AF" w14:textId="77777777" w:rsidR="00AE75DF" w:rsidRPr="00AE75DF" w:rsidRDefault="00AE75DF" w:rsidP="00AE75DF">
            <w:pPr>
              <w:spacing w:line="240" w:lineRule="auto"/>
              <w:rPr>
                <w:rFonts w:eastAsia="Times New Roman" w:cs="Calibri"/>
                <w:color w:val="000000"/>
                <w:sz w:val="24"/>
                <w:szCs w:val="24"/>
                <w:lang w:eastAsia="en-GB"/>
              </w:rPr>
            </w:pPr>
            <w:r w:rsidRPr="00AE75DF">
              <w:rPr>
                <w:rFonts w:eastAsia="Times New Roman" w:cs="Calibri"/>
                <w:color w:val="000000"/>
                <w:sz w:val="24"/>
                <w:szCs w:val="24"/>
                <w:lang w:eastAsia="en-GB"/>
              </w:rPr>
              <w:t> </w:t>
            </w:r>
          </w:p>
        </w:tc>
        <w:tc>
          <w:tcPr>
            <w:tcW w:w="5097" w:type="dxa"/>
            <w:tcBorders>
              <w:top w:val="nil"/>
              <w:left w:val="nil"/>
              <w:bottom w:val="nil"/>
              <w:right w:val="single" w:sz="4" w:space="0" w:color="auto"/>
            </w:tcBorders>
            <w:shd w:val="clear" w:color="auto" w:fill="auto"/>
            <w:noWrap/>
            <w:vAlign w:val="bottom"/>
            <w:hideMark/>
          </w:tcPr>
          <w:p w14:paraId="7E9EF772" w14:textId="77777777" w:rsidR="00AE75DF" w:rsidRPr="00AE75DF" w:rsidRDefault="00AE75DF" w:rsidP="00AE75DF">
            <w:pPr>
              <w:spacing w:line="240" w:lineRule="auto"/>
              <w:rPr>
                <w:rFonts w:eastAsia="Times New Roman" w:cs="Calibri"/>
                <w:color w:val="000000"/>
                <w:sz w:val="24"/>
                <w:szCs w:val="24"/>
                <w:lang w:eastAsia="en-GB"/>
              </w:rPr>
            </w:pPr>
            <w:r w:rsidRPr="00AE75DF">
              <w:rPr>
                <w:rFonts w:eastAsia="Times New Roman" w:cs="Calibri"/>
                <w:color w:val="000000"/>
                <w:sz w:val="24"/>
                <w:szCs w:val="24"/>
                <w:lang w:eastAsia="en-GB"/>
              </w:rPr>
              <w:t> </w:t>
            </w:r>
          </w:p>
        </w:tc>
        <w:tc>
          <w:tcPr>
            <w:tcW w:w="1140" w:type="dxa"/>
            <w:tcBorders>
              <w:top w:val="nil"/>
              <w:left w:val="nil"/>
              <w:bottom w:val="nil"/>
              <w:right w:val="single" w:sz="4" w:space="0" w:color="auto"/>
            </w:tcBorders>
            <w:shd w:val="clear" w:color="000000" w:fill="DDEBF7"/>
            <w:noWrap/>
            <w:vAlign w:val="bottom"/>
            <w:hideMark/>
          </w:tcPr>
          <w:p w14:paraId="3387C394" w14:textId="77777777" w:rsidR="00AE75DF" w:rsidRPr="00AE75DF" w:rsidRDefault="00AE75DF" w:rsidP="00AE75DF">
            <w:pPr>
              <w:spacing w:line="240" w:lineRule="auto"/>
              <w:rPr>
                <w:rFonts w:eastAsia="Times New Roman" w:cs="Calibri"/>
                <w:color w:val="000000"/>
                <w:sz w:val="24"/>
                <w:szCs w:val="24"/>
                <w:lang w:eastAsia="en-GB"/>
              </w:rPr>
            </w:pPr>
            <w:r w:rsidRPr="00AE75DF">
              <w:rPr>
                <w:rFonts w:eastAsia="Times New Roman" w:cs="Calibri"/>
                <w:color w:val="000000"/>
                <w:sz w:val="24"/>
                <w:szCs w:val="24"/>
                <w:lang w:eastAsia="en-GB"/>
              </w:rPr>
              <w:t> </w:t>
            </w:r>
          </w:p>
        </w:tc>
      </w:tr>
      <w:tr w:rsidR="00AE75DF" w:rsidRPr="00AE75DF" w14:paraId="09CF7D14" w14:textId="77777777" w:rsidTr="00FF3F04">
        <w:trPr>
          <w:trHeight w:val="315"/>
        </w:trPr>
        <w:tc>
          <w:tcPr>
            <w:tcW w:w="1140" w:type="dxa"/>
            <w:tcBorders>
              <w:top w:val="nil"/>
              <w:left w:val="single" w:sz="4" w:space="0" w:color="auto"/>
              <w:bottom w:val="nil"/>
              <w:right w:val="single" w:sz="4" w:space="0" w:color="auto"/>
            </w:tcBorders>
            <w:shd w:val="clear" w:color="000000" w:fill="FFFFFF"/>
            <w:noWrap/>
            <w:vAlign w:val="bottom"/>
            <w:hideMark/>
          </w:tcPr>
          <w:p w14:paraId="5884E5D3"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4.463</w:t>
            </w:r>
          </w:p>
        </w:tc>
        <w:tc>
          <w:tcPr>
            <w:tcW w:w="5097" w:type="dxa"/>
            <w:tcBorders>
              <w:top w:val="nil"/>
              <w:left w:val="nil"/>
              <w:bottom w:val="nil"/>
              <w:right w:val="single" w:sz="4" w:space="0" w:color="auto"/>
            </w:tcBorders>
            <w:shd w:val="clear" w:color="000000" w:fill="FFFFFF"/>
            <w:noWrap/>
            <w:vAlign w:val="bottom"/>
            <w:hideMark/>
          </w:tcPr>
          <w:p w14:paraId="7D71A54B" w14:textId="77777777" w:rsidR="00AE75DF" w:rsidRPr="00AE75DF" w:rsidRDefault="00AE75DF" w:rsidP="00AE75DF">
            <w:pPr>
              <w:spacing w:line="240" w:lineRule="auto"/>
              <w:rPr>
                <w:rFonts w:eastAsia="Times New Roman" w:cs="Calibri"/>
                <w:color w:val="000000"/>
                <w:sz w:val="24"/>
                <w:szCs w:val="24"/>
                <w:lang w:eastAsia="en-GB"/>
              </w:rPr>
            </w:pPr>
            <w:r w:rsidRPr="00AE75DF">
              <w:rPr>
                <w:rFonts w:eastAsia="Times New Roman" w:cs="Calibri"/>
                <w:color w:val="000000"/>
                <w:sz w:val="24"/>
                <w:szCs w:val="24"/>
                <w:lang w:eastAsia="en-GB"/>
              </w:rPr>
              <w:t>Capital Financing</w:t>
            </w:r>
          </w:p>
        </w:tc>
        <w:tc>
          <w:tcPr>
            <w:tcW w:w="1140" w:type="dxa"/>
            <w:tcBorders>
              <w:top w:val="nil"/>
              <w:left w:val="nil"/>
              <w:bottom w:val="nil"/>
              <w:right w:val="single" w:sz="4" w:space="0" w:color="auto"/>
            </w:tcBorders>
            <w:shd w:val="clear" w:color="000000" w:fill="DDEBF7"/>
            <w:noWrap/>
            <w:vAlign w:val="bottom"/>
            <w:hideMark/>
          </w:tcPr>
          <w:p w14:paraId="0BDF1FB1"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4.629</w:t>
            </w:r>
          </w:p>
        </w:tc>
      </w:tr>
      <w:tr w:rsidR="00AE75DF" w:rsidRPr="00AE75DF" w14:paraId="5CD37B95" w14:textId="77777777" w:rsidTr="00FF3F04">
        <w:trPr>
          <w:trHeight w:val="315"/>
        </w:trPr>
        <w:tc>
          <w:tcPr>
            <w:tcW w:w="1140" w:type="dxa"/>
            <w:tcBorders>
              <w:top w:val="nil"/>
              <w:left w:val="single" w:sz="4" w:space="0" w:color="auto"/>
              <w:bottom w:val="nil"/>
              <w:right w:val="single" w:sz="4" w:space="0" w:color="auto"/>
            </w:tcBorders>
            <w:shd w:val="clear" w:color="000000" w:fill="FFFFFF"/>
            <w:noWrap/>
            <w:vAlign w:val="bottom"/>
            <w:hideMark/>
          </w:tcPr>
          <w:p w14:paraId="77FE2F72"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(5.452)</w:t>
            </w:r>
          </w:p>
        </w:tc>
        <w:tc>
          <w:tcPr>
            <w:tcW w:w="5097" w:type="dxa"/>
            <w:tcBorders>
              <w:top w:val="nil"/>
              <w:left w:val="nil"/>
              <w:bottom w:val="nil"/>
              <w:right w:val="single" w:sz="4" w:space="0" w:color="auto"/>
            </w:tcBorders>
            <w:shd w:val="clear" w:color="000000" w:fill="FFFFFF"/>
            <w:noWrap/>
            <w:vAlign w:val="bottom"/>
            <w:hideMark/>
          </w:tcPr>
          <w:p w14:paraId="6D6F17AE" w14:textId="77777777" w:rsidR="00AE75DF" w:rsidRPr="00AE75DF" w:rsidRDefault="00AE75DF" w:rsidP="00AE75DF">
            <w:pPr>
              <w:spacing w:line="240" w:lineRule="auto"/>
              <w:rPr>
                <w:rFonts w:eastAsia="Times New Roman" w:cs="Calibri"/>
                <w:color w:val="000000"/>
                <w:sz w:val="24"/>
                <w:szCs w:val="24"/>
                <w:lang w:eastAsia="en-GB"/>
              </w:rPr>
            </w:pPr>
            <w:r w:rsidRPr="00AE75DF">
              <w:rPr>
                <w:rFonts w:eastAsia="Times New Roman" w:cs="Calibri"/>
                <w:color w:val="000000"/>
                <w:sz w:val="24"/>
                <w:szCs w:val="24"/>
                <w:lang w:eastAsia="en-GB"/>
              </w:rPr>
              <w:t>Transfers to/(from) Reserves</w:t>
            </w:r>
          </w:p>
        </w:tc>
        <w:tc>
          <w:tcPr>
            <w:tcW w:w="1140" w:type="dxa"/>
            <w:tcBorders>
              <w:top w:val="nil"/>
              <w:left w:val="nil"/>
              <w:bottom w:val="nil"/>
              <w:right w:val="single" w:sz="4" w:space="0" w:color="auto"/>
            </w:tcBorders>
            <w:shd w:val="clear" w:color="000000" w:fill="DDEBF7"/>
            <w:noWrap/>
            <w:vAlign w:val="bottom"/>
            <w:hideMark/>
          </w:tcPr>
          <w:p w14:paraId="59EC645F"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(1.216)</w:t>
            </w:r>
          </w:p>
        </w:tc>
      </w:tr>
      <w:tr w:rsidR="00AE75DF" w:rsidRPr="00AE75DF" w14:paraId="5579D731" w14:textId="77777777" w:rsidTr="00FF3F04">
        <w:trPr>
          <w:trHeight w:val="315"/>
        </w:trPr>
        <w:tc>
          <w:tcPr>
            <w:tcW w:w="1140" w:type="dxa"/>
            <w:tcBorders>
              <w:top w:val="nil"/>
              <w:left w:val="single" w:sz="4" w:space="0" w:color="auto"/>
              <w:bottom w:val="nil"/>
              <w:right w:val="single" w:sz="4" w:space="0" w:color="auto"/>
            </w:tcBorders>
            <w:shd w:val="clear" w:color="000000" w:fill="FFFFFF"/>
            <w:noWrap/>
            <w:vAlign w:val="bottom"/>
            <w:hideMark/>
          </w:tcPr>
          <w:p w14:paraId="3838F29F"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1.823</w:t>
            </w:r>
          </w:p>
        </w:tc>
        <w:tc>
          <w:tcPr>
            <w:tcW w:w="5097" w:type="dxa"/>
            <w:tcBorders>
              <w:top w:val="nil"/>
              <w:left w:val="nil"/>
              <w:bottom w:val="nil"/>
              <w:right w:val="single" w:sz="4" w:space="0" w:color="auto"/>
            </w:tcBorders>
            <w:shd w:val="clear" w:color="000000" w:fill="FFFFFF"/>
            <w:noWrap/>
            <w:vAlign w:val="bottom"/>
            <w:hideMark/>
          </w:tcPr>
          <w:p w14:paraId="7BC0A263" w14:textId="77777777" w:rsidR="00AE75DF" w:rsidRPr="00AE75DF" w:rsidRDefault="00AE75DF" w:rsidP="00AE75DF">
            <w:pPr>
              <w:spacing w:line="240" w:lineRule="auto"/>
              <w:rPr>
                <w:rFonts w:eastAsia="Times New Roman" w:cs="Calibri"/>
                <w:color w:val="000000"/>
                <w:sz w:val="24"/>
                <w:szCs w:val="24"/>
                <w:lang w:eastAsia="en-GB"/>
              </w:rPr>
            </w:pPr>
            <w:r w:rsidRPr="00AE75DF">
              <w:rPr>
                <w:rFonts w:eastAsia="Times New Roman" w:cs="Calibri"/>
                <w:color w:val="000000"/>
                <w:sz w:val="24"/>
                <w:szCs w:val="24"/>
                <w:lang w:eastAsia="en-GB"/>
              </w:rPr>
              <w:t>Investment</w:t>
            </w:r>
          </w:p>
        </w:tc>
        <w:tc>
          <w:tcPr>
            <w:tcW w:w="1140" w:type="dxa"/>
            <w:tcBorders>
              <w:top w:val="nil"/>
              <w:left w:val="nil"/>
              <w:bottom w:val="nil"/>
              <w:right w:val="single" w:sz="4" w:space="0" w:color="auto"/>
            </w:tcBorders>
            <w:shd w:val="clear" w:color="000000" w:fill="DDEBF7"/>
            <w:noWrap/>
            <w:vAlign w:val="bottom"/>
            <w:hideMark/>
          </w:tcPr>
          <w:p w14:paraId="2822ADFF"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1.000</w:t>
            </w:r>
          </w:p>
        </w:tc>
      </w:tr>
      <w:tr w:rsidR="00AE75DF" w:rsidRPr="00AE75DF" w14:paraId="00BEBB45" w14:textId="77777777" w:rsidTr="00FF3F04">
        <w:trPr>
          <w:trHeight w:val="315"/>
        </w:trPr>
        <w:tc>
          <w:tcPr>
            <w:tcW w:w="1140" w:type="dxa"/>
            <w:tcBorders>
              <w:top w:val="nil"/>
              <w:left w:val="single" w:sz="4" w:space="0" w:color="auto"/>
              <w:bottom w:val="nil"/>
              <w:right w:val="single" w:sz="4" w:space="0" w:color="auto"/>
            </w:tcBorders>
            <w:shd w:val="clear" w:color="000000" w:fill="FFFFFF"/>
            <w:noWrap/>
            <w:vAlign w:val="bottom"/>
            <w:hideMark/>
          </w:tcPr>
          <w:p w14:paraId="3E415E8C"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(0.803)</w:t>
            </w:r>
          </w:p>
        </w:tc>
        <w:tc>
          <w:tcPr>
            <w:tcW w:w="5097" w:type="dxa"/>
            <w:tcBorders>
              <w:top w:val="nil"/>
              <w:left w:val="nil"/>
              <w:bottom w:val="nil"/>
              <w:right w:val="single" w:sz="4" w:space="0" w:color="auto"/>
            </w:tcBorders>
            <w:shd w:val="clear" w:color="000000" w:fill="FFFFFF"/>
            <w:noWrap/>
            <w:vAlign w:val="bottom"/>
            <w:hideMark/>
          </w:tcPr>
          <w:p w14:paraId="6CD50257" w14:textId="5D26227B" w:rsidR="00AE75DF" w:rsidRPr="00AE75DF" w:rsidRDefault="00AE75DF" w:rsidP="00AE75DF">
            <w:pPr>
              <w:spacing w:line="240" w:lineRule="auto"/>
              <w:rPr>
                <w:rFonts w:eastAsia="Times New Roman" w:cs="Calibri"/>
                <w:color w:val="000000"/>
                <w:sz w:val="24"/>
                <w:szCs w:val="24"/>
                <w:lang w:eastAsia="en-GB"/>
              </w:rPr>
            </w:pPr>
            <w:r w:rsidRPr="00AE75DF">
              <w:rPr>
                <w:rFonts w:eastAsia="Times New Roman" w:cs="Calibri"/>
                <w:color w:val="000000"/>
                <w:sz w:val="24"/>
                <w:szCs w:val="24"/>
                <w:lang w:eastAsia="en-GB"/>
              </w:rPr>
              <w:t xml:space="preserve">Savings </w:t>
            </w:r>
            <w:r w:rsidR="00FF3F04">
              <w:rPr>
                <w:rFonts w:eastAsia="Times New Roman" w:cs="Calibri"/>
                <w:color w:val="000000"/>
                <w:sz w:val="24"/>
                <w:szCs w:val="24"/>
                <w:lang w:eastAsia="en-GB"/>
              </w:rPr>
              <w:t>Plans</w:t>
            </w:r>
          </w:p>
        </w:tc>
        <w:tc>
          <w:tcPr>
            <w:tcW w:w="1140" w:type="dxa"/>
            <w:tcBorders>
              <w:top w:val="nil"/>
              <w:left w:val="nil"/>
              <w:bottom w:val="nil"/>
              <w:right w:val="single" w:sz="4" w:space="0" w:color="auto"/>
            </w:tcBorders>
            <w:shd w:val="clear" w:color="000000" w:fill="DDEBF7"/>
            <w:noWrap/>
            <w:vAlign w:val="bottom"/>
            <w:hideMark/>
          </w:tcPr>
          <w:p w14:paraId="42C7A982" w14:textId="77777777" w:rsidR="00AE75DF" w:rsidRPr="00AE75DF" w:rsidRDefault="00AE75DF" w:rsidP="00AE75DF">
            <w:pPr>
              <w:spacing w:line="240" w:lineRule="auto"/>
              <w:jc w:val="right"/>
              <w:rPr>
                <w:rFonts w:eastAsia="Times New Roman" w:cs="Calibri"/>
                <w:color w:val="000000"/>
                <w:sz w:val="24"/>
                <w:szCs w:val="24"/>
                <w:lang w:eastAsia="en-GB"/>
              </w:rPr>
            </w:pPr>
            <w:r w:rsidRPr="00AE75DF">
              <w:rPr>
                <w:rFonts w:eastAsia="Times New Roman" w:cs="Calibri"/>
                <w:color w:val="000000"/>
                <w:sz w:val="24"/>
                <w:szCs w:val="24"/>
                <w:lang w:eastAsia="en-GB"/>
              </w:rPr>
              <w:t>(3.435)</w:t>
            </w:r>
          </w:p>
        </w:tc>
      </w:tr>
      <w:tr w:rsidR="00AE75DF" w:rsidRPr="00AE75DF" w14:paraId="474DBF97" w14:textId="77777777" w:rsidTr="00FF3F04">
        <w:trPr>
          <w:trHeight w:val="315"/>
        </w:trPr>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22EDC8" w14:textId="77777777" w:rsidR="00AE75DF" w:rsidRPr="00AE75DF" w:rsidRDefault="00AE75DF" w:rsidP="00AE75DF">
            <w:pPr>
              <w:spacing w:line="240" w:lineRule="auto"/>
              <w:jc w:val="right"/>
              <w:rPr>
                <w:rFonts w:eastAsia="Times New Roman" w:cs="Calibri"/>
                <w:b/>
                <w:bCs/>
                <w:color w:val="000000"/>
                <w:sz w:val="24"/>
                <w:szCs w:val="24"/>
                <w:lang w:eastAsia="en-GB"/>
              </w:rPr>
            </w:pPr>
            <w:r w:rsidRPr="00AE75DF">
              <w:rPr>
                <w:rFonts w:eastAsia="Times New Roman" w:cs="Calibri"/>
                <w:b/>
                <w:bCs/>
                <w:color w:val="000000"/>
                <w:sz w:val="24"/>
                <w:szCs w:val="24"/>
                <w:lang w:eastAsia="en-GB"/>
              </w:rPr>
              <w:t>182.968</w:t>
            </w:r>
          </w:p>
        </w:tc>
        <w:tc>
          <w:tcPr>
            <w:tcW w:w="5097" w:type="dxa"/>
            <w:tcBorders>
              <w:top w:val="single" w:sz="4" w:space="0" w:color="auto"/>
              <w:left w:val="nil"/>
              <w:bottom w:val="single" w:sz="4" w:space="0" w:color="auto"/>
              <w:right w:val="single" w:sz="4" w:space="0" w:color="auto"/>
            </w:tcBorders>
            <w:shd w:val="clear" w:color="000000" w:fill="FFFFFF"/>
            <w:noWrap/>
            <w:vAlign w:val="bottom"/>
            <w:hideMark/>
          </w:tcPr>
          <w:p w14:paraId="4708CF79" w14:textId="77777777" w:rsidR="00AE75DF" w:rsidRPr="00AE75DF" w:rsidRDefault="00AE75DF" w:rsidP="00AE75DF">
            <w:pPr>
              <w:spacing w:line="240" w:lineRule="auto"/>
              <w:rPr>
                <w:rFonts w:eastAsia="Times New Roman" w:cs="Calibri"/>
                <w:b/>
                <w:bCs/>
                <w:color w:val="000000"/>
                <w:sz w:val="24"/>
                <w:szCs w:val="24"/>
                <w:lang w:eastAsia="en-GB"/>
              </w:rPr>
            </w:pPr>
            <w:r w:rsidRPr="00AE75DF">
              <w:rPr>
                <w:rFonts w:eastAsia="Times New Roman" w:cs="Calibri"/>
                <w:b/>
                <w:bCs/>
                <w:color w:val="000000"/>
                <w:sz w:val="24"/>
                <w:szCs w:val="24"/>
                <w:lang w:eastAsia="en-GB"/>
              </w:rPr>
              <w:t>TOTAL BUDGET</w:t>
            </w:r>
          </w:p>
        </w:tc>
        <w:tc>
          <w:tcPr>
            <w:tcW w:w="1140" w:type="dxa"/>
            <w:tcBorders>
              <w:top w:val="single" w:sz="4" w:space="0" w:color="auto"/>
              <w:left w:val="nil"/>
              <w:bottom w:val="single" w:sz="4" w:space="0" w:color="auto"/>
              <w:right w:val="single" w:sz="4" w:space="0" w:color="auto"/>
            </w:tcBorders>
            <w:shd w:val="clear" w:color="000000" w:fill="DDEBF7"/>
            <w:noWrap/>
            <w:vAlign w:val="bottom"/>
            <w:hideMark/>
          </w:tcPr>
          <w:p w14:paraId="380C34AE" w14:textId="77777777" w:rsidR="00AE75DF" w:rsidRPr="00AE75DF" w:rsidRDefault="00AE75DF" w:rsidP="00AE75DF">
            <w:pPr>
              <w:spacing w:line="240" w:lineRule="auto"/>
              <w:jc w:val="right"/>
              <w:rPr>
                <w:rFonts w:eastAsia="Times New Roman" w:cs="Calibri"/>
                <w:b/>
                <w:bCs/>
                <w:color w:val="000000"/>
                <w:sz w:val="24"/>
                <w:szCs w:val="24"/>
                <w:lang w:eastAsia="en-GB"/>
              </w:rPr>
            </w:pPr>
            <w:r w:rsidRPr="00AE75DF">
              <w:rPr>
                <w:rFonts w:eastAsia="Times New Roman" w:cs="Calibri"/>
                <w:b/>
                <w:bCs/>
                <w:color w:val="000000"/>
                <w:sz w:val="24"/>
                <w:szCs w:val="24"/>
                <w:lang w:eastAsia="en-GB"/>
              </w:rPr>
              <w:t>194.193</w:t>
            </w:r>
          </w:p>
        </w:tc>
      </w:tr>
    </w:tbl>
    <w:p w14:paraId="1D1C3488" w14:textId="77777777" w:rsidR="007B1055" w:rsidRDefault="007B1055" w:rsidP="007B1055">
      <w:pPr>
        <w:pStyle w:val="PanelPara"/>
        <w:numPr>
          <w:ilvl w:val="0"/>
          <w:numId w:val="0"/>
        </w:numPr>
        <w:ind w:left="567"/>
      </w:pPr>
    </w:p>
    <w:p w14:paraId="0D4469A9" w14:textId="2DE2B1CB" w:rsidR="009811CA" w:rsidRPr="00503283" w:rsidRDefault="009811CA" w:rsidP="00DA742D">
      <w:pPr>
        <w:pStyle w:val="PanelPara"/>
      </w:pPr>
      <w:bookmarkStart w:id="20" w:name="_Hlk156747272"/>
      <w:bookmarkEnd w:id="18"/>
      <w:r w:rsidRPr="00503283">
        <w:t xml:space="preserve">The budget is prepared under the </w:t>
      </w:r>
      <w:r w:rsidR="00DA742D" w:rsidRPr="00503283">
        <w:t>J</w:t>
      </w:r>
      <w:r w:rsidRPr="00503283">
        <w:t xml:space="preserve">oint </w:t>
      </w:r>
      <w:r w:rsidR="00DA742D" w:rsidRPr="00503283">
        <w:t>F</w:t>
      </w:r>
      <w:r w:rsidR="00A86088" w:rsidRPr="00503283">
        <w:t xml:space="preserve">inance </w:t>
      </w:r>
      <w:r w:rsidR="00DA742D" w:rsidRPr="00503283">
        <w:t>T</w:t>
      </w:r>
      <w:r w:rsidRPr="00503283">
        <w:t xml:space="preserve">eam </w:t>
      </w:r>
      <w:r w:rsidR="00DA742D" w:rsidRPr="00503283">
        <w:t xml:space="preserve">using </w:t>
      </w:r>
      <w:r w:rsidRPr="00503283">
        <w:t>an approach which provide</w:t>
      </w:r>
      <w:r w:rsidR="00DA742D" w:rsidRPr="00503283">
        <w:t>s</w:t>
      </w:r>
      <w:r w:rsidRPr="00503283">
        <w:t xml:space="preserve"> consistency across Fir</w:t>
      </w:r>
      <w:r w:rsidR="00174CE0" w:rsidRPr="00503283">
        <w:t xml:space="preserve">e </w:t>
      </w:r>
      <w:r w:rsidRPr="00503283">
        <w:t>and</w:t>
      </w:r>
      <w:r w:rsidR="00174CE0" w:rsidRPr="00503283">
        <w:t xml:space="preserve"> </w:t>
      </w:r>
      <w:r w:rsidRPr="00503283">
        <w:t xml:space="preserve">Police. </w:t>
      </w:r>
      <w:r w:rsidR="00DA742D" w:rsidRPr="00503283">
        <w:t xml:space="preserve"> </w:t>
      </w:r>
      <w:r w:rsidRPr="00503283">
        <w:t xml:space="preserve">This has enabled comparability of assumptions and principles, together with best practice, resilience and a more efficient </w:t>
      </w:r>
      <w:r w:rsidR="00DA742D" w:rsidRPr="00503283">
        <w:t>process</w:t>
      </w:r>
      <w:r w:rsidRPr="00503283">
        <w:t xml:space="preserve"> applied to budgeting for all services.</w:t>
      </w:r>
    </w:p>
    <w:p w14:paraId="5C01D357" w14:textId="77777777" w:rsidR="00D970F0" w:rsidRPr="00503283" w:rsidRDefault="00D970F0" w:rsidP="00D970F0">
      <w:pPr>
        <w:pStyle w:val="PanelPara"/>
      </w:pPr>
      <w:r w:rsidRPr="00503283">
        <w:t xml:space="preserve">Following the preparation of the budget strategy and approach in September, briefing sessions took place with all budget holders and the strategy was shared with the Joint Independent Audit Committee (JIAC) for further scrutiny and review. </w:t>
      </w:r>
    </w:p>
    <w:p w14:paraId="0D14D4A8" w14:textId="32026B09" w:rsidR="009811CA" w:rsidRDefault="009811CA" w:rsidP="00D970F0">
      <w:pPr>
        <w:pStyle w:val="PanelPara"/>
      </w:pPr>
      <w:r w:rsidRPr="00503283">
        <w:t xml:space="preserve">The budget has been prepared on a zero-base where possible, in full consultation with budget holders, aligned to the Police, Fire and </w:t>
      </w:r>
      <w:r w:rsidR="00DA742D" w:rsidRPr="00503283">
        <w:t>Crime</w:t>
      </w:r>
      <w:r w:rsidRPr="00503283">
        <w:t xml:space="preserve"> Plan and tested against the MTFP. </w:t>
      </w:r>
      <w:r w:rsidR="00D970F0">
        <w:t xml:space="preserve"> This</w:t>
      </w:r>
      <w:r w:rsidRPr="00503283">
        <w:t xml:space="preserve"> ensures that efficiencies are taken from this process where possible </w:t>
      </w:r>
      <w:r w:rsidR="00D970F0">
        <w:t xml:space="preserve">and </w:t>
      </w:r>
      <w:r w:rsidRPr="00503283">
        <w:t xml:space="preserve">that only approved increases, inflation and unavoidable pressures are built in. </w:t>
      </w:r>
      <w:r w:rsidR="00DA742D" w:rsidRPr="00503283">
        <w:t xml:space="preserve"> </w:t>
      </w:r>
      <w:r w:rsidRPr="00503283">
        <w:t>Detailed workings are prepared</w:t>
      </w:r>
      <w:r w:rsidR="00DA742D" w:rsidRPr="00503283">
        <w:t>,</w:t>
      </w:r>
      <w:r w:rsidRPr="00503283">
        <w:t xml:space="preserve"> and the format of the budget models are consistent and </w:t>
      </w:r>
      <w:r w:rsidR="00A86088" w:rsidRPr="00503283">
        <w:t xml:space="preserve">contain </w:t>
      </w:r>
      <w:r w:rsidRPr="00503283">
        <w:t>built</w:t>
      </w:r>
      <w:r w:rsidR="00503283" w:rsidRPr="00503283">
        <w:t>-</w:t>
      </w:r>
      <w:r w:rsidRPr="00503283">
        <w:t>in checks and balances to ensure the correct information is fed through.</w:t>
      </w:r>
    </w:p>
    <w:p w14:paraId="695AD440" w14:textId="4F97F78C" w:rsidR="007B1055" w:rsidRDefault="007B1055" w:rsidP="007B1055">
      <w:pPr>
        <w:pStyle w:val="PanelPara"/>
      </w:pPr>
      <w:r>
        <w:t>T</w:t>
      </w:r>
      <w:r w:rsidRPr="00237D13">
        <w:t>here has been a significant amount of scrutiny and challenge on the budget, and as part of these discussions and negotiations, the PFCC has sought and received assurances on the robustness of budgeting activity.</w:t>
      </w:r>
    </w:p>
    <w:p w14:paraId="1603A730" w14:textId="77777777" w:rsidR="0035605A" w:rsidRDefault="0035605A" w:rsidP="0035605A">
      <w:pPr>
        <w:pStyle w:val="PanelPara"/>
        <w:numPr>
          <w:ilvl w:val="0"/>
          <w:numId w:val="0"/>
        </w:numPr>
        <w:ind w:left="567" w:hanging="567"/>
      </w:pPr>
    </w:p>
    <w:p w14:paraId="7ABB268C" w14:textId="77777777" w:rsidR="0035605A" w:rsidRDefault="0035605A" w:rsidP="0035605A">
      <w:pPr>
        <w:pStyle w:val="PanelPara"/>
        <w:numPr>
          <w:ilvl w:val="0"/>
          <w:numId w:val="0"/>
        </w:numPr>
        <w:ind w:left="567" w:hanging="567"/>
      </w:pPr>
    </w:p>
    <w:p w14:paraId="6052830B" w14:textId="77777777" w:rsidR="0035605A" w:rsidRDefault="0035605A" w:rsidP="0035605A">
      <w:pPr>
        <w:pStyle w:val="PanelPara"/>
        <w:numPr>
          <w:ilvl w:val="0"/>
          <w:numId w:val="0"/>
        </w:numPr>
        <w:ind w:left="567" w:hanging="567"/>
      </w:pPr>
    </w:p>
    <w:p w14:paraId="60465057" w14:textId="77777777" w:rsidR="0035605A" w:rsidRDefault="0035605A" w:rsidP="0035605A">
      <w:pPr>
        <w:pStyle w:val="PanelPara"/>
        <w:numPr>
          <w:ilvl w:val="0"/>
          <w:numId w:val="0"/>
        </w:numPr>
        <w:ind w:left="567" w:hanging="567"/>
      </w:pPr>
    </w:p>
    <w:p w14:paraId="0022388D" w14:textId="77777777" w:rsidR="0035605A" w:rsidRDefault="0035605A" w:rsidP="0035605A">
      <w:pPr>
        <w:pStyle w:val="PanelPara"/>
        <w:numPr>
          <w:ilvl w:val="0"/>
          <w:numId w:val="0"/>
        </w:numPr>
        <w:ind w:left="567" w:hanging="567"/>
      </w:pPr>
    </w:p>
    <w:p w14:paraId="1F56C0C7" w14:textId="77777777" w:rsidR="0035605A" w:rsidRPr="00503283" w:rsidRDefault="0035605A" w:rsidP="0035605A">
      <w:pPr>
        <w:pStyle w:val="PanelPara"/>
        <w:numPr>
          <w:ilvl w:val="0"/>
          <w:numId w:val="0"/>
        </w:numPr>
        <w:ind w:left="567" w:hanging="567"/>
      </w:pPr>
    </w:p>
    <w:p w14:paraId="2CE6450B" w14:textId="5175BD4A" w:rsidR="00107C61" w:rsidRPr="00503283" w:rsidRDefault="009811CA" w:rsidP="00DA742D">
      <w:pPr>
        <w:pStyle w:val="PanelPara"/>
      </w:pPr>
      <w:r w:rsidRPr="00503283">
        <w:lastRenderedPageBreak/>
        <w:t xml:space="preserve">The table below sets out the preparation and scrutiny elements </w:t>
      </w:r>
      <w:r w:rsidR="0037796D" w:rsidRPr="00503283">
        <w:t>of the budgeting process</w:t>
      </w:r>
      <w:r w:rsidR="00191853" w:rsidRPr="00503283">
        <w:t>:</w:t>
      </w:r>
    </w:p>
    <w:bookmarkEnd w:id="20"/>
    <w:p w14:paraId="20570740" w14:textId="5446B005" w:rsidR="008A79C0" w:rsidRPr="007F0EA3" w:rsidRDefault="00191853" w:rsidP="00191853">
      <w:pPr>
        <w:tabs>
          <w:tab w:val="left" w:pos="567"/>
        </w:tabs>
        <w:spacing w:line="240" w:lineRule="auto"/>
        <w:ind w:left="567" w:hanging="567"/>
        <w:rPr>
          <w:rFonts w:ascii="Arial" w:hAnsi="Arial" w:cs="Arial"/>
          <w:kern w:val="36"/>
        </w:rPr>
      </w:pPr>
      <w:r w:rsidRPr="007F0EA3">
        <w:rPr>
          <w:rFonts w:ascii="Arial" w:hAnsi="Arial" w:cs="Arial"/>
          <w:noProof/>
          <w:kern w:val="36"/>
        </w:rPr>
        <w:drawing>
          <wp:inline distT="0" distB="0" distL="0" distR="0" wp14:anchorId="36DB939F" wp14:editId="6F2C1144">
            <wp:extent cx="6120130" cy="4211955"/>
            <wp:effectExtent l="57150" t="38100" r="13970" b="93345"/>
            <wp:docPr id="1" name="Diagram 1">
              <a:extLst xmlns:a="http://schemas.openxmlformats.org/drawingml/2006/main">
                <a:ext uri="{FF2B5EF4-FFF2-40B4-BE49-F238E27FC236}">
                  <a16:creationId xmlns:a16="http://schemas.microsoft.com/office/drawing/2014/main" id="{AD664C20-7B26-5365-F78B-95BC80D3F6D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5BDD580" w14:textId="77777777" w:rsidR="008F0349" w:rsidRPr="00A81E04" w:rsidRDefault="008F0349" w:rsidP="004364E9">
      <w:pPr>
        <w:tabs>
          <w:tab w:val="left" w:pos="567"/>
        </w:tabs>
        <w:spacing w:line="240" w:lineRule="auto"/>
        <w:jc w:val="both"/>
        <w:rPr>
          <w:rFonts w:ascii="Arial" w:hAnsi="Arial" w:cs="Arial"/>
          <w:kern w:val="36"/>
          <w:highlight w:val="yellow"/>
        </w:rPr>
      </w:pPr>
    </w:p>
    <w:p w14:paraId="308805A8" w14:textId="352D6098" w:rsidR="00191853" w:rsidRPr="007F0EA3" w:rsidRDefault="009811CA" w:rsidP="00191853">
      <w:pPr>
        <w:pStyle w:val="PanelPara"/>
      </w:pPr>
      <w:bookmarkStart w:id="21" w:name="_Hlk187417264"/>
      <w:r w:rsidRPr="007F0EA3">
        <w:t>At the December Accountability Board</w:t>
      </w:r>
      <w:r w:rsidR="00191853" w:rsidRPr="007F0EA3">
        <w:t>,</w:t>
      </w:r>
      <w:r w:rsidRPr="007F0EA3">
        <w:t xml:space="preserve"> the PFCC </w:t>
      </w:r>
      <w:r w:rsidR="00191853" w:rsidRPr="007F0EA3">
        <w:t>commended the work on proposed budgets and approved investments in principle whilst final funding information was awaited.  The PFCC subsequently</w:t>
      </w:r>
      <w:r w:rsidR="00C40200" w:rsidRPr="007F0EA3">
        <w:t xml:space="preserve"> approved the budget subject to agreement on the precept and the sum of £</w:t>
      </w:r>
      <w:r w:rsidR="00191853" w:rsidRPr="007F0EA3">
        <w:t>1</w:t>
      </w:r>
      <w:r w:rsidR="00C40200" w:rsidRPr="007F0EA3">
        <w:t xml:space="preserve">m </w:t>
      </w:r>
      <w:r w:rsidR="00FF3003" w:rsidRPr="007F0EA3">
        <w:t>for investments requested by the Chief Constable.</w:t>
      </w:r>
      <w:r w:rsidR="00D970F0">
        <w:t xml:space="preserve">  This included a commitment by the Chief Constable to balance investment with meeting the savings/efficiencies challenge.</w:t>
      </w:r>
    </w:p>
    <w:bookmarkEnd w:id="21"/>
    <w:p w14:paraId="0F0A162B" w14:textId="77777777" w:rsidR="00376315" w:rsidRPr="00A81E04" w:rsidRDefault="00376315" w:rsidP="00191853">
      <w:pPr>
        <w:spacing w:line="240" w:lineRule="auto"/>
        <w:jc w:val="both"/>
        <w:rPr>
          <w:rFonts w:ascii="Arial" w:hAnsi="Arial" w:cs="Arial"/>
          <w:highlight w:val="yellow"/>
        </w:rPr>
      </w:pPr>
    </w:p>
    <w:p w14:paraId="44C41754" w14:textId="77777777" w:rsidR="00AE75DF" w:rsidRDefault="00AE75DF">
      <w:pPr>
        <w:spacing w:line="240" w:lineRule="auto"/>
        <w:rPr>
          <w:rFonts w:asciiTheme="minorHAnsi" w:hAnsiTheme="minorHAnsi" w:cstheme="minorHAnsi"/>
          <w:b/>
          <w:sz w:val="24"/>
          <w:szCs w:val="24"/>
        </w:rPr>
      </w:pPr>
      <w:r>
        <w:br w:type="page"/>
      </w:r>
    </w:p>
    <w:p w14:paraId="38345583" w14:textId="36B7D070" w:rsidR="00E65FA4" w:rsidRPr="00BE708F" w:rsidRDefault="00FC4407" w:rsidP="00AE5591">
      <w:pPr>
        <w:pStyle w:val="PanelHeading"/>
      </w:pPr>
      <w:r w:rsidRPr="00BE708F">
        <w:lastRenderedPageBreak/>
        <w:t>2025/26 BUDGET CONSENTED TO THE CHIEF CONSTABLE – THE POLICE BUDGET</w:t>
      </w:r>
    </w:p>
    <w:p w14:paraId="5229E688" w14:textId="4DA43F73" w:rsidR="004D2F09" w:rsidRPr="00237D13" w:rsidRDefault="00556444" w:rsidP="004D2F09">
      <w:pPr>
        <w:pStyle w:val="PanelPara"/>
      </w:pPr>
      <w:bookmarkStart w:id="22" w:name="_Hlk187325263"/>
      <w:r w:rsidRPr="00237D13">
        <w:t xml:space="preserve">The </w:t>
      </w:r>
      <w:r w:rsidR="007B1055">
        <w:t xml:space="preserve">net </w:t>
      </w:r>
      <w:r w:rsidR="0035748F" w:rsidRPr="00237D13">
        <w:t xml:space="preserve">operational </w:t>
      </w:r>
      <w:r w:rsidR="009E47D7" w:rsidRPr="00237D13">
        <w:t xml:space="preserve">police </w:t>
      </w:r>
      <w:r w:rsidR="00B200EE" w:rsidRPr="00237D13">
        <w:t>budget</w:t>
      </w:r>
      <w:r w:rsidR="00656A64" w:rsidRPr="00237D13">
        <w:t xml:space="preserve"> </w:t>
      </w:r>
      <w:r w:rsidR="0035748F" w:rsidRPr="00237D13">
        <w:t xml:space="preserve">allocated to the Chief Constable </w:t>
      </w:r>
      <w:r w:rsidRPr="00237D13">
        <w:t xml:space="preserve">for </w:t>
      </w:r>
      <w:r w:rsidR="00220144" w:rsidRPr="00237D13">
        <w:t>202</w:t>
      </w:r>
      <w:r w:rsidR="00237D13" w:rsidRPr="00237D13">
        <w:t>5</w:t>
      </w:r>
      <w:r w:rsidR="00220144" w:rsidRPr="00237D13">
        <w:t>/2</w:t>
      </w:r>
      <w:r w:rsidR="00237D13" w:rsidRPr="00237D13">
        <w:t>6</w:t>
      </w:r>
      <w:r w:rsidR="00FE0DE6" w:rsidRPr="00237D13">
        <w:t xml:space="preserve"> is </w:t>
      </w:r>
      <w:r w:rsidR="00FE0DE6" w:rsidRPr="00237D13">
        <w:rPr>
          <w:b/>
          <w:bCs/>
        </w:rPr>
        <w:t>£</w:t>
      </w:r>
      <w:r w:rsidR="004D2F09" w:rsidRPr="00237D13">
        <w:rPr>
          <w:b/>
          <w:bCs/>
        </w:rPr>
        <w:t>1</w:t>
      </w:r>
      <w:r w:rsidR="00237D13" w:rsidRPr="00237D13">
        <w:rPr>
          <w:b/>
          <w:bCs/>
        </w:rPr>
        <w:t>8</w:t>
      </w:r>
      <w:r w:rsidR="00AE75DF">
        <w:rPr>
          <w:b/>
          <w:bCs/>
        </w:rPr>
        <w:t>3.805</w:t>
      </w:r>
      <w:r w:rsidR="00FE0DE6" w:rsidRPr="00237D13">
        <w:rPr>
          <w:b/>
          <w:bCs/>
        </w:rPr>
        <w:t>m</w:t>
      </w:r>
      <w:r w:rsidR="00FE0DE6" w:rsidRPr="00237D13">
        <w:t xml:space="preserve">, </w:t>
      </w:r>
      <w:r w:rsidRPr="00237D13">
        <w:t xml:space="preserve">an increase of </w:t>
      </w:r>
      <w:r w:rsidR="004D2F09" w:rsidRPr="00237D13">
        <w:t>over</w:t>
      </w:r>
      <w:r w:rsidR="00107C61" w:rsidRPr="00237D13">
        <w:t xml:space="preserve"> £</w:t>
      </w:r>
      <w:r w:rsidR="00AE75DF">
        <w:t>6.5</w:t>
      </w:r>
      <w:r w:rsidR="00107C61" w:rsidRPr="00237D13">
        <w:t>m</w:t>
      </w:r>
      <w:r w:rsidRPr="00237D13">
        <w:t xml:space="preserve"> </w:t>
      </w:r>
      <w:r w:rsidR="00131E14" w:rsidRPr="00237D13">
        <w:t xml:space="preserve">from </w:t>
      </w:r>
      <w:r w:rsidR="00220144" w:rsidRPr="00237D13">
        <w:t>202</w:t>
      </w:r>
      <w:r w:rsidR="00237D13" w:rsidRPr="00237D13">
        <w:t>4</w:t>
      </w:r>
      <w:r w:rsidR="00220144" w:rsidRPr="00237D13">
        <w:t>/2</w:t>
      </w:r>
      <w:r w:rsidR="00237D13" w:rsidRPr="00237D13">
        <w:t>5</w:t>
      </w:r>
      <w:r w:rsidR="004106DF" w:rsidRPr="00237D13">
        <w:t xml:space="preserve"> as follows:</w:t>
      </w:r>
    </w:p>
    <w:tbl>
      <w:tblPr>
        <w:tblW w:w="7120" w:type="dxa"/>
        <w:tblInd w:w="562" w:type="dxa"/>
        <w:tblLook w:val="04A0" w:firstRow="1" w:lastRow="0" w:firstColumn="1" w:lastColumn="0" w:noHBand="0" w:noVBand="1"/>
      </w:tblPr>
      <w:tblGrid>
        <w:gridCol w:w="1220"/>
        <w:gridCol w:w="4680"/>
        <w:gridCol w:w="1220"/>
      </w:tblGrid>
      <w:tr w:rsidR="00FF3F04" w:rsidRPr="00FF3F04" w14:paraId="4C212DAF" w14:textId="77777777" w:rsidTr="00FF3F04">
        <w:trPr>
          <w:trHeight w:val="630"/>
        </w:trPr>
        <w:tc>
          <w:tcPr>
            <w:tcW w:w="1220" w:type="dxa"/>
            <w:tcBorders>
              <w:top w:val="single" w:sz="4" w:space="0" w:color="auto"/>
              <w:left w:val="single" w:sz="4" w:space="0" w:color="auto"/>
              <w:bottom w:val="single" w:sz="4" w:space="0" w:color="auto"/>
              <w:right w:val="single" w:sz="4" w:space="0" w:color="auto"/>
            </w:tcBorders>
            <w:shd w:val="clear" w:color="000000" w:fill="FFFFFF"/>
            <w:vAlign w:val="center"/>
            <w:hideMark/>
          </w:tcPr>
          <w:bookmarkEnd w:id="22"/>
          <w:p w14:paraId="46632EE3" w14:textId="77777777" w:rsidR="00FF3F04" w:rsidRPr="00FF3F04" w:rsidRDefault="00FF3F04" w:rsidP="00FF3F04">
            <w:pPr>
              <w:spacing w:line="240" w:lineRule="auto"/>
              <w:jc w:val="center"/>
              <w:rPr>
                <w:rFonts w:eastAsia="Times New Roman" w:cs="Calibri"/>
                <w:b/>
                <w:bCs/>
                <w:color w:val="000000"/>
                <w:sz w:val="24"/>
                <w:szCs w:val="24"/>
                <w:lang w:eastAsia="en-GB"/>
              </w:rPr>
            </w:pPr>
            <w:r w:rsidRPr="00FF3F04">
              <w:rPr>
                <w:rFonts w:eastAsia="Times New Roman" w:cs="Calibri"/>
                <w:b/>
                <w:bCs/>
                <w:color w:val="000000"/>
                <w:sz w:val="24"/>
                <w:szCs w:val="24"/>
                <w:lang w:eastAsia="en-GB"/>
              </w:rPr>
              <w:t>2024/25</w:t>
            </w:r>
            <w:r w:rsidRPr="00FF3F04">
              <w:rPr>
                <w:rFonts w:eastAsia="Times New Roman" w:cs="Calibri"/>
                <w:b/>
                <w:bCs/>
                <w:color w:val="000000"/>
                <w:sz w:val="24"/>
                <w:szCs w:val="24"/>
                <w:lang w:eastAsia="en-GB"/>
              </w:rPr>
              <w:br/>
              <w:t>£m</w:t>
            </w:r>
          </w:p>
        </w:tc>
        <w:tc>
          <w:tcPr>
            <w:tcW w:w="4680" w:type="dxa"/>
            <w:tcBorders>
              <w:top w:val="single" w:sz="4" w:space="0" w:color="auto"/>
              <w:left w:val="nil"/>
              <w:bottom w:val="single" w:sz="4" w:space="0" w:color="auto"/>
              <w:right w:val="single" w:sz="4" w:space="0" w:color="auto"/>
            </w:tcBorders>
            <w:shd w:val="clear" w:color="000000" w:fill="FFFFFF"/>
            <w:noWrap/>
            <w:vAlign w:val="center"/>
            <w:hideMark/>
          </w:tcPr>
          <w:p w14:paraId="660A9E31" w14:textId="77777777" w:rsidR="00FF3F04" w:rsidRPr="00FF3F04" w:rsidRDefault="00FF3F04" w:rsidP="00FF3F04">
            <w:pPr>
              <w:spacing w:line="240" w:lineRule="auto"/>
              <w:jc w:val="center"/>
              <w:rPr>
                <w:rFonts w:eastAsia="Times New Roman" w:cs="Calibri"/>
                <w:b/>
                <w:bCs/>
                <w:color w:val="000000"/>
                <w:sz w:val="24"/>
                <w:szCs w:val="24"/>
                <w:lang w:eastAsia="en-GB"/>
              </w:rPr>
            </w:pPr>
            <w:r w:rsidRPr="00FF3F04">
              <w:rPr>
                <w:rFonts w:eastAsia="Times New Roman" w:cs="Calibri"/>
                <w:b/>
                <w:bCs/>
                <w:color w:val="000000"/>
                <w:sz w:val="24"/>
                <w:szCs w:val="24"/>
                <w:lang w:eastAsia="en-GB"/>
              </w:rPr>
              <w:t>Police Budget Breakdown</w:t>
            </w:r>
          </w:p>
        </w:tc>
        <w:tc>
          <w:tcPr>
            <w:tcW w:w="1220" w:type="dxa"/>
            <w:tcBorders>
              <w:top w:val="single" w:sz="4" w:space="0" w:color="auto"/>
              <w:left w:val="nil"/>
              <w:bottom w:val="single" w:sz="4" w:space="0" w:color="auto"/>
              <w:right w:val="single" w:sz="4" w:space="0" w:color="auto"/>
            </w:tcBorders>
            <w:shd w:val="clear" w:color="000000" w:fill="DDEBF7"/>
            <w:vAlign w:val="center"/>
            <w:hideMark/>
          </w:tcPr>
          <w:p w14:paraId="4063B4F0" w14:textId="77777777" w:rsidR="00FF3F04" w:rsidRPr="00FF3F04" w:rsidRDefault="00FF3F04" w:rsidP="00FF3F04">
            <w:pPr>
              <w:spacing w:line="240" w:lineRule="auto"/>
              <w:jc w:val="center"/>
              <w:rPr>
                <w:rFonts w:eastAsia="Times New Roman" w:cs="Calibri"/>
                <w:b/>
                <w:bCs/>
                <w:color w:val="000000"/>
                <w:sz w:val="24"/>
                <w:szCs w:val="24"/>
                <w:lang w:eastAsia="en-GB"/>
              </w:rPr>
            </w:pPr>
            <w:r w:rsidRPr="00FF3F04">
              <w:rPr>
                <w:rFonts w:eastAsia="Times New Roman" w:cs="Calibri"/>
                <w:b/>
                <w:bCs/>
                <w:color w:val="000000"/>
                <w:sz w:val="24"/>
                <w:szCs w:val="24"/>
                <w:lang w:eastAsia="en-GB"/>
              </w:rPr>
              <w:t>2025/26</w:t>
            </w:r>
            <w:r w:rsidRPr="00FF3F04">
              <w:rPr>
                <w:rFonts w:eastAsia="Times New Roman" w:cs="Calibri"/>
                <w:b/>
                <w:bCs/>
                <w:color w:val="000000"/>
                <w:sz w:val="24"/>
                <w:szCs w:val="24"/>
                <w:lang w:eastAsia="en-GB"/>
              </w:rPr>
              <w:br/>
              <w:t>£m</w:t>
            </w:r>
          </w:p>
        </w:tc>
      </w:tr>
      <w:tr w:rsidR="00FF3F04" w:rsidRPr="00FF3F04" w14:paraId="6693F840" w14:textId="77777777" w:rsidTr="00FF3F04">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2FE26BE4" w14:textId="77777777" w:rsidR="00FF3F04" w:rsidRPr="00FF3F04" w:rsidRDefault="00FF3F04" w:rsidP="00FF3F04">
            <w:pPr>
              <w:spacing w:line="240" w:lineRule="auto"/>
              <w:jc w:val="right"/>
              <w:rPr>
                <w:rFonts w:eastAsia="Times New Roman" w:cs="Calibri"/>
                <w:color w:val="000000"/>
                <w:sz w:val="24"/>
                <w:szCs w:val="24"/>
                <w:lang w:eastAsia="en-GB"/>
              </w:rPr>
            </w:pPr>
            <w:r w:rsidRPr="00FF3F04">
              <w:rPr>
                <w:rFonts w:eastAsia="Times New Roman" w:cs="Calibri"/>
                <w:color w:val="000000"/>
                <w:sz w:val="24"/>
                <w:szCs w:val="24"/>
                <w:lang w:eastAsia="en-GB"/>
              </w:rPr>
              <w:t>97.537</w:t>
            </w:r>
          </w:p>
        </w:tc>
        <w:tc>
          <w:tcPr>
            <w:tcW w:w="4680" w:type="dxa"/>
            <w:tcBorders>
              <w:top w:val="nil"/>
              <w:left w:val="nil"/>
              <w:bottom w:val="nil"/>
              <w:right w:val="single" w:sz="4" w:space="0" w:color="auto"/>
            </w:tcBorders>
            <w:shd w:val="clear" w:color="auto" w:fill="auto"/>
            <w:noWrap/>
            <w:vAlign w:val="bottom"/>
            <w:hideMark/>
          </w:tcPr>
          <w:p w14:paraId="1C51D116" w14:textId="77777777" w:rsidR="00FF3F04" w:rsidRPr="00FF3F04" w:rsidRDefault="00FF3F04" w:rsidP="00FF3F04">
            <w:pPr>
              <w:spacing w:line="240" w:lineRule="auto"/>
              <w:rPr>
                <w:rFonts w:eastAsia="Times New Roman" w:cs="Calibri"/>
                <w:color w:val="000000"/>
                <w:sz w:val="24"/>
                <w:szCs w:val="24"/>
                <w:lang w:eastAsia="en-GB"/>
              </w:rPr>
            </w:pPr>
            <w:r w:rsidRPr="00FF3F04">
              <w:rPr>
                <w:rFonts w:eastAsia="Times New Roman" w:cs="Calibri"/>
                <w:color w:val="000000"/>
                <w:sz w:val="24"/>
                <w:szCs w:val="24"/>
                <w:lang w:eastAsia="en-GB"/>
              </w:rPr>
              <w:t>Police Officers</w:t>
            </w:r>
          </w:p>
        </w:tc>
        <w:tc>
          <w:tcPr>
            <w:tcW w:w="1220" w:type="dxa"/>
            <w:tcBorders>
              <w:top w:val="nil"/>
              <w:left w:val="nil"/>
              <w:bottom w:val="nil"/>
              <w:right w:val="single" w:sz="4" w:space="0" w:color="auto"/>
            </w:tcBorders>
            <w:shd w:val="clear" w:color="000000" w:fill="DDEBF7"/>
            <w:noWrap/>
            <w:vAlign w:val="bottom"/>
            <w:hideMark/>
          </w:tcPr>
          <w:p w14:paraId="09CF08DF" w14:textId="77777777" w:rsidR="00FF3F04" w:rsidRPr="00FF3F04" w:rsidRDefault="00FF3F04" w:rsidP="00FF3F04">
            <w:pPr>
              <w:spacing w:line="240" w:lineRule="auto"/>
              <w:jc w:val="right"/>
              <w:rPr>
                <w:rFonts w:eastAsia="Times New Roman" w:cs="Calibri"/>
                <w:color w:val="000000"/>
                <w:sz w:val="24"/>
                <w:szCs w:val="24"/>
                <w:lang w:eastAsia="en-GB"/>
              </w:rPr>
            </w:pPr>
            <w:r w:rsidRPr="00FF3F04">
              <w:rPr>
                <w:rFonts w:eastAsia="Times New Roman" w:cs="Calibri"/>
                <w:color w:val="000000"/>
                <w:sz w:val="24"/>
                <w:szCs w:val="24"/>
                <w:lang w:eastAsia="en-GB"/>
              </w:rPr>
              <w:t>103.576</w:t>
            </w:r>
          </w:p>
        </w:tc>
      </w:tr>
      <w:tr w:rsidR="00FF3F04" w:rsidRPr="00FF3F04" w14:paraId="488A0DA4" w14:textId="77777777" w:rsidTr="00FF3F04">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55A793A7" w14:textId="77777777" w:rsidR="00FF3F04" w:rsidRPr="00FF3F04" w:rsidRDefault="00FF3F04" w:rsidP="00FF3F04">
            <w:pPr>
              <w:spacing w:line="240" w:lineRule="auto"/>
              <w:jc w:val="right"/>
              <w:rPr>
                <w:rFonts w:eastAsia="Times New Roman" w:cs="Calibri"/>
                <w:color w:val="000000"/>
                <w:sz w:val="24"/>
                <w:szCs w:val="24"/>
                <w:lang w:eastAsia="en-GB"/>
              </w:rPr>
            </w:pPr>
            <w:r w:rsidRPr="00FF3F04">
              <w:rPr>
                <w:rFonts w:eastAsia="Times New Roman" w:cs="Calibri"/>
                <w:color w:val="000000"/>
                <w:sz w:val="24"/>
                <w:szCs w:val="24"/>
                <w:lang w:eastAsia="en-GB"/>
              </w:rPr>
              <w:t>32.072</w:t>
            </w:r>
          </w:p>
        </w:tc>
        <w:tc>
          <w:tcPr>
            <w:tcW w:w="4680" w:type="dxa"/>
            <w:tcBorders>
              <w:top w:val="nil"/>
              <w:left w:val="nil"/>
              <w:bottom w:val="nil"/>
              <w:right w:val="single" w:sz="4" w:space="0" w:color="auto"/>
            </w:tcBorders>
            <w:shd w:val="clear" w:color="000000" w:fill="FFFFFF"/>
            <w:noWrap/>
            <w:vAlign w:val="bottom"/>
            <w:hideMark/>
          </w:tcPr>
          <w:p w14:paraId="18D856CC" w14:textId="77777777" w:rsidR="00FF3F04" w:rsidRPr="00FF3F04" w:rsidRDefault="00FF3F04" w:rsidP="00FF3F04">
            <w:pPr>
              <w:spacing w:line="240" w:lineRule="auto"/>
              <w:rPr>
                <w:rFonts w:eastAsia="Times New Roman" w:cs="Calibri"/>
                <w:color w:val="000000"/>
                <w:sz w:val="24"/>
                <w:szCs w:val="24"/>
                <w:lang w:eastAsia="en-GB"/>
              </w:rPr>
            </w:pPr>
            <w:r w:rsidRPr="00FF3F04">
              <w:rPr>
                <w:rFonts w:eastAsia="Times New Roman" w:cs="Calibri"/>
                <w:color w:val="000000"/>
                <w:sz w:val="24"/>
                <w:szCs w:val="24"/>
                <w:lang w:eastAsia="en-GB"/>
              </w:rPr>
              <w:t>Police Staff (Operational)</w:t>
            </w:r>
          </w:p>
        </w:tc>
        <w:tc>
          <w:tcPr>
            <w:tcW w:w="1220" w:type="dxa"/>
            <w:tcBorders>
              <w:top w:val="nil"/>
              <w:left w:val="nil"/>
              <w:bottom w:val="nil"/>
              <w:right w:val="single" w:sz="4" w:space="0" w:color="auto"/>
            </w:tcBorders>
            <w:shd w:val="clear" w:color="000000" w:fill="DDEBF7"/>
            <w:noWrap/>
            <w:vAlign w:val="bottom"/>
            <w:hideMark/>
          </w:tcPr>
          <w:p w14:paraId="3E867D84" w14:textId="77777777" w:rsidR="00FF3F04" w:rsidRPr="00FF3F04" w:rsidRDefault="00FF3F04" w:rsidP="00FF3F04">
            <w:pPr>
              <w:spacing w:line="240" w:lineRule="auto"/>
              <w:jc w:val="right"/>
              <w:rPr>
                <w:rFonts w:eastAsia="Times New Roman" w:cs="Calibri"/>
                <w:color w:val="000000"/>
                <w:sz w:val="24"/>
                <w:szCs w:val="24"/>
                <w:lang w:eastAsia="en-GB"/>
              </w:rPr>
            </w:pPr>
            <w:r w:rsidRPr="00FF3F04">
              <w:rPr>
                <w:rFonts w:eastAsia="Times New Roman" w:cs="Calibri"/>
                <w:color w:val="000000"/>
                <w:sz w:val="24"/>
                <w:szCs w:val="24"/>
                <w:lang w:eastAsia="en-GB"/>
              </w:rPr>
              <w:t>36.323</w:t>
            </w:r>
          </w:p>
        </w:tc>
      </w:tr>
      <w:tr w:rsidR="00FF3F04" w:rsidRPr="00FF3F04" w14:paraId="2621A353" w14:textId="77777777" w:rsidTr="00FF3F04">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733A1A80" w14:textId="77777777" w:rsidR="00FF3F04" w:rsidRPr="00FF3F04" w:rsidRDefault="00FF3F04" w:rsidP="00FF3F04">
            <w:pPr>
              <w:spacing w:line="240" w:lineRule="auto"/>
              <w:jc w:val="right"/>
              <w:rPr>
                <w:rFonts w:eastAsia="Times New Roman" w:cs="Calibri"/>
                <w:color w:val="000000"/>
                <w:sz w:val="24"/>
                <w:szCs w:val="24"/>
                <w:lang w:eastAsia="en-GB"/>
              </w:rPr>
            </w:pPr>
            <w:r w:rsidRPr="00FF3F04">
              <w:rPr>
                <w:rFonts w:eastAsia="Times New Roman" w:cs="Calibri"/>
                <w:color w:val="000000"/>
                <w:sz w:val="24"/>
                <w:szCs w:val="24"/>
                <w:lang w:eastAsia="en-GB"/>
              </w:rPr>
              <w:t>3.973</w:t>
            </w:r>
          </w:p>
        </w:tc>
        <w:tc>
          <w:tcPr>
            <w:tcW w:w="4680" w:type="dxa"/>
            <w:tcBorders>
              <w:top w:val="nil"/>
              <w:left w:val="nil"/>
              <w:bottom w:val="nil"/>
              <w:right w:val="single" w:sz="4" w:space="0" w:color="auto"/>
            </w:tcBorders>
            <w:shd w:val="clear" w:color="000000" w:fill="FFFFFF"/>
            <w:noWrap/>
            <w:vAlign w:val="bottom"/>
            <w:hideMark/>
          </w:tcPr>
          <w:p w14:paraId="17179D1C" w14:textId="77777777" w:rsidR="00FF3F04" w:rsidRPr="00FF3F04" w:rsidRDefault="00FF3F04" w:rsidP="00FF3F04">
            <w:pPr>
              <w:spacing w:line="240" w:lineRule="auto"/>
              <w:rPr>
                <w:rFonts w:eastAsia="Times New Roman" w:cs="Calibri"/>
                <w:color w:val="000000"/>
                <w:sz w:val="24"/>
                <w:szCs w:val="24"/>
                <w:lang w:eastAsia="en-GB"/>
              </w:rPr>
            </w:pPr>
            <w:r w:rsidRPr="00FF3F04">
              <w:rPr>
                <w:rFonts w:eastAsia="Times New Roman" w:cs="Calibri"/>
                <w:color w:val="000000"/>
                <w:sz w:val="24"/>
                <w:szCs w:val="24"/>
                <w:lang w:eastAsia="en-GB"/>
              </w:rPr>
              <w:t>PCSOs</w:t>
            </w:r>
          </w:p>
        </w:tc>
        <w:tc>
          <w:tcPr>
            <w:tcW w:w="1220" w:type="dxa"/>
            <w:tcBorders>
              <w:top w:val="nil"/>
              <w:left w:val="nil"/>
              <w:bottom w:val="nil"/>
              <w:right w:val="single" w:sz="4" w:space="0" w:color="auto"/>
            </w:tcBorders>
            <w:shd w:val="clear" w:color="000000" w:fill="DDEBF7"/>
            <w:noWrap/>
            <w:vAlign w:val="bottom"/>
            <w:hideMark/>
          </w:tcPr>
          <w:p w14:paraId="7FF2F157" w14:textId="77777777" w:rsidR="00FF3F04" w:rsidRPr="00FF3F04" w:rsidRDefault="00FF3F04" w:rsidP="00FF3F04">
            <w:pPr>
              <w:spacing w:line="240" w:lineRule="auto"/>
              <w:jc w:val="right"/>
              <w:rPr>
                <w:rFonts w:eastAsia="Times New Roman" w:cs="Calibri"/>
                <w:color w:val="000000"/>
                <w:sz w:val="24"/>
                <w:szCs w:val="24"/>
                <w:lang w:eastAsia="en-GB"/>
              </w:rPr>
            </w:pPr>
            <w:r w:rsidRPr="00FF3F04">
              <w:rPr>
                <w:rFonts w:eastAsia="Times New Roman" w:cs="Calibri"/>
                <w:color w:val="000000"/>
                <w:sz w:val="24"/>
                <w:szCs w:val="24"/>
                <w:lang w:eastAsia="en-GB"/>
              </w:rPr>
              <w:t>4.169</w:t>
            </w:r>
          </w:p>
        </w:tc>
      </w:tr>
      <w:tr w:rsidR="00FF3F04" w:rsidRPr="00FF3F04" w14:paraId="48589576" w14:textId="77777777" w:rsidTr="00FF3F04">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73835F6C" w14:textId="77777777" w:rsidR="00FF3F04" w:rsidRPr="00FF3F04" w:rsidRDefault="00FF3F04" w:rsidP="00FF3F04">
            <w:pPr>
              <w:spacing w:line="240" w:lineRule="auto"/>
              <w:jc w:val="right"/>
              <w:rPr>
                <w:rFonts w:eastAsia="Times New Roman" w:cs="Calibri"/>
                <w:color w:val="000000"/>
                <w:sz w:val="24"/>
                <w:szCs w:val="24"/>
                <w:lang w:eastAsia="en-GB"/>
              </w:rPr>
            </w:pPr>
            <w:r w:rsidRPr="00FF3F04">
              <w:rPr>
                <w:rFonts w:eastAsia="Times New Roman" w:cs="Calibri"/>
                <w:color w:val="000000"/>
                <w:sz w:val="24"/>
                <w:szCs w:val="24"/>
                <w:lang w:eastAsia="en-GB"/>
              </w:rPr>
              <w:t>1.235</w:t>
            </w:r>
          </w:p>
        </w:tc>
        <w:tc>
          <w:tcPr>
            <w:tcW w:w="4680" w:type="dxa"/>
            <w:tcBorders>
              <w:top w:val="nil"/>
              <w:left w:val="nil"/>
              <w:bottom w:val="nil"/>
              <w:right w:val="single" w:sz="4" w:space="0" w:color="auto"/>
            </w:tcBorders>
            <w:shd w:val="clear" w:color="000000" w:fill="FFFFFF"/>
            <w:noWrap/>
            <w:vAlign w:val="bottom"/>
            <w:hideMark/>
          </w:tcPr>
          <w:p w14:paraId="11F09BE3" w14:textId="77777777" w:rsidR="00FF3F04" w:rsidRPr="00FF3F04" w:rsidRDefault="00FF3F04" w:rsidP="00FF3F04">
            <w:pPr>
              <w:spacing w:line="240" w:lineRule="auto"/>
              <w:rPr>
                <w:rFonts w:eastAsia="Times New Roman" w:cs="Calibri"/>
                <w:color w:val="000000"/>
                <w:sz w:val="24"/>
                <w:szCs w:val="24"/>
                <w:lang w:eastAsia="en-GB"/>
              </w:rPr>
            </w:pPr>
            <w:r w:rsidRPr="00FF3F04">
              <w:rPr>
                <w:rFonts w:eastAsia="Times New Roman" w:cs="Calibri"/>
                <w:color w:val="000000"/>
                <w:sz w:val="24"/>
                <w:szCs w:val="24"/>
                <w:lang w:eastAsia="en-GB"/>
              </w:rPr>
              <w:t>Other Pension Costs</w:t>
            </w:r>
          </w:p>
        </w:tc>
        <w:tc>
          <w:tcPr>
            <w:tcW w:w="1220" w:type="dxa"/>
            <w:tcBorders>
              <w:top w:val="nil"/>
              <w:left w:val="nil"/>
              <w:bottom w:val="nil"/>
              <w:right w:val="single" w:sz="4" w:space="0" w:color="auto"/>
            </w:tcBorders>
            <w:shd w:val="clear" w:color="000000" w:fill="DDEBF7"/>
            <w:noWrap/>
            <w:vAlign w:val="bottom"/>
            <w:hideMark/>
          </w:tcPr>
          <w:p w14:paraId="56990B6F" w14:textId="77777777" w:rsidR="00FF3F04" w:rsidRPr="00FF3F04" w:rsidRDefault="00FF3F04" w:rsidP="00FF3F04">
            <w:pPr>
              <w:spacing w:line="240" w:lineRule="auto"/>
              <w:jc w:val="right"/>
              <w:rPr>
                <w:rFonts w:eastAsia="Times New Roman" w:cs="Calibri"/>
                <w:color w:val="000000"/>
                <w:sz w:val="24"/>
                <w:szCs w:val="24"/>
                <w:lang w:eastAsia="en-GB"/>
              </w:rPr>
            </w:pPr>
            <w:r w:rsidRPr="00FF3F04">
              <w:rPr>
                <w:rFonts w:eastAsia="Times New Roman" w:cs="Calibri"/>
                <w:color w:val="000000"/>
                <w:sz w:val="24"/>
                <w:szCs w:val="24"/>
                <w:lang w:eastAsia="en-GB"/>
              </w:rPr>
              <w:t>1.320</w:t>
            </w:r>
          </w:p>
        </w:tc>
      </w:tr>
      <w:tr w:rsidR="00FF3F04" w:rsidRPr="00FF3F04" w14:paraId="4AE60C81" w14:textId="77777777" w:rsidTr="00FF3F04">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096ABE8A" w14:textId="77777777" w:rsidR="00FF3F04" w:rsidRPr="00FF3F04" w:rsidRDefault="00FF3F04" w:rsidP="00FF3F04">
            <w:pPr>
              <w:spacing w:line="240" w:lineRule="auto"/>
              <w:jc w:val="right"/>
              <w:rPr>
                <w:rFonts w:eastAsia="Times New Roman" w:cs="Calibri"/>
                <w:color w:val="000000"/>
                <w:sz w:val="24"/>
                <w:szCs w:val="24"/>
                <w:lang w:eastAsia="en-GB"/>
              </w:rPr>
            </w:pPr>
            <w:r w:rsidRPr="00FF3F04">
              <w:rPr>
                <w:rFonts w:eastAsia="Times New Roman" w:cs="Calibri"/>
                <w:color w:val="000000"/>
                <w:sz w:val="24"/>
                <w:szCs w:val="24"/>
                <w:lang w:eastAsia="en-GB"/>
              </w:rPr>
              <w:t>0.616</w:t>
            </w:r>
          </w:p>
        </w:tc>
        <w:tc>
          <w:tcPr>
            <w:tcW w:w="4680" w:type="dxa"/>
            <w:tcBorders>
              <w:top w:val="nil"/>
              <w:left w:val="nil"/>
              <w:bottom w:val="nil"/>
              <w:right w:val="single" w:sz="4" w:space="0" w:color="auto"/>
            </w:tcBorders>
            <w:shd w:val="clear" w:color="000000" w:fill="FFFFFF"/>
            <w:noWrap/>
            <w:vAlign w:val="bottom"/>
            <w:hideMark/>
          </w:tcPr>
          <w:p w14:paraId="5F1C7279" w14:textId="77777777" w:rsidR="00FF3F04" w:rsidRPr="00FF3F04" w:rsidRDefault="00FF3F04" w:rsidP="00FF3F04">
            <w:pPr>
              <w:spacing w:line="240" w:lineRule="auto"/>
              <w:rPr>
                <w:rFonts w:eastAsia="Times New Roman" w:cs="Calibri"/>
                <w:color w:val="000000"/>
                <w:sz w:val="24"/>
                <w:szCs w:val="24"/>
                <w:lang w:eastAsia="en-GB"/>
              </w:rPr>
            </w:pPr>
            <w:r w:rsidRPr="00FF3F04">
              <w:rPr>
                <w:rFonts w:eastAsia="Times New Roman" w:cs="Calibri"/>
                <w:color w:val="000000"/>
                <w:sz w:val="24"/>
                <w:szCs w:val="24"/>
                <w:lang w:eastAsia="en-GB"/>
              </w:rPr>
              <w:t>Other Employee Expenses</w:t>
            </w:r>
          </w:p>
        </w:tc>
        <w:tc>
          <w:tcPr>
            <w:tcW w:w="1220" w:type="dxa"/>
            <w:tcBorders>
              <w:top w:val="nil"/>
              <w:left w:val="nil"/>
              <w:bottom w:val="nil"/>
              <w:right w:val="single" w:sz="4" w:space="0" w:color="auto"/>
            </w:tcBorders>
            <w:shd w:val="clear" w:color="000000" w:fill="DDEBF7"/>
            <w:noWrap/>
            <w:vAlign w:val="bottom"/>
            <w:hideMark/>
          </w:tcPr>
          <w:p w14:paraId="61606A97" w14:textId="77777777" w:rsidR="00FF3F04" w:rsidRPr="00FF3F04" w:rsidRDefault="00FF3F04" w:rsidP="00FF3F04">
            <w:pPr>
              <w:spacing w:line="240" w:lineRule="auto"/>
              <w:jc w:val="right"/>
              <w:rPr>
                <w:rFonts w:eastAsia="Times New Roman" w:cs="Calibri"/>
                <w:color w:val="000000"/>
                <w:sz w:val="24"/>
                <w:szCs w:val="24"/>
                <w:lang w:eastAsia="en-GB"/>
              </w:rPr>
            </w:pPr>
            <w:r w:rsidRPr="00FF3F04">
              <w:rPr>
                <w:rFonts w:eastAsia="Times New Roman" w:cs="Calibri"/>
                <w:color w:val="000000"/>
                <w:sz w:val="24"/>
                <w:szCs w:val="24"/>
                <w:lang w:eastAsia="en-GB"/>
              </w:rPr>
              <w:t>0.713</w:t>
            </w:r>
          </w:p>
        </w:tc>
      </w:tr>
      <w:tr w:rsidR="00FF3F04" w:rsidRPr="00FF3F04" w14:paraId="6494BCE0" w14:textId="77777777" w:rsidTr="00FF3F04">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767A8F0C" w14:textId="77777777" w:rsidR="00FF3F04" w:rsidRPr="00FF3F04" w:rsidRDefault="00FF3F04" w:rsidP="00FF3F04">
            <w:pPr>
              <w:spacing w:line="240" w:lineRule="auto"/>
              <w:jc w:val="right"/>
              <w:rPr>
                <w:rFonts w:eastAsia="Times New Roman" w:cs="Calibri"/>
                <w:color w:val="000000"/>
                <w:sz w:val="24"/>
                <w:szCs w:val="24"/>
                <w:lang w:eastAsia="en-GB"/>
              </w:rPr>
            </w:pPr>
            <w:r w:rsidRPr="00FF3F04">
              <w:rPr>
                <w:rFonts w:eastAsia="Times New Roman" w:cs="Calibri"/>
                <w:color w:val="000000"/>
                <w:sz w:val="24"/>
                <w:szCs w:val="24"/>
                <w:lang w:eastAsia="en-GB"/>
              </w:rPr>
              <w:t>31.799</w:t>
            </w:r>
          </w:p>
        </w:tc>
        <w:tc>
          <w:tcPr>
            <w:tcW w:w="4680" w:type="dxa"/>
            <w:tcBorders>
              <w:top w:val="nil"/>
              <w:left w:val="nil"/>
              <w:bottom w:val="nil"/>
              <w:right w:val="single" w:sz="4" w:space="0" w:color="auto"/>
            </w:tcBorders>
            <w:shd w:val="clear" w:color="000000" w:fill="FFFFFF"/>
            <w:noWrap/>
            <w:vAlign w:val="bottom"/>
            <w:hideMark/>
          </w:tcPr>
          <w:p w14:paraId="56CEA58F" w14:textId="77777777" w:rsidR="00FF3F04" w:rsidRPr="00FF3F04" w:rsidRDefault="00FF3F04" w:rsidP="00FF3F04">
            <w:pPr>
              <w:spacing w:line="240" w:lineRule="auto"/>
              <w:rPr>
                <w:rFonts w:eastAsia="Times New Roman" w:cs="Calibri"/>
                <w:color w:val="000000"/>
                <w:sz w:val="24"/>
                <w:szCs w:val="24"/>
                <w:lang w:eastAsia="en-GB"/>
              </w:rPr>
            </w:pPr>
            <w:r w:rsidRPr="00FF3F04">
              <w:rPr>
                <w:rFonts w:eastAsia="Times New Roman" w:cs="Calibri"/>
                <w:color w:val="000000"/>
                <w:sz w:val="24"/>
                <w:szCs w:val="24"/>
                <w:lang w:eastAsia="en-GB"/>
              </w:rPr>
              <w:t>Enabling Services</w:t>
            </w:r>
          </w:p>
        </w:tc>
        <w:tc>
          <w:tcPr>
            <w:tcW w:w="1220" w:type="dxa"/>
            <w:tcBorders>
              <w:top w:val="nil"/>
              <w:left w:val="nil"/>
              <w:bottom w:val="nil"/>
              <w:right w:val="single" w:sz="4" w:space="0" w:color="auto"/>
            </w:tcBorders>
            <w:shd w:val="clear" w:color="000000" w:fill="DDEBF7"/>
            <w:noWrap/>
            <w:vAlign w:val="bottom"/>
            <w:hideMark/>
          </w:tcPr>
          <w:p w14:paraId="50B255DC" w14:textId="77777777" w:rsidR="00FF3F04" w:rsidRPr="00FF3F04" w:rsidRDefault="00FF3F04" w:rsidP="00FF3F04">
            <w:pPr>
              <w:spacing w:line="240" w:lineRule="auto"/>
              <w:jc w:val="right"/>
              <w:rPr>
                <w:rFonts w:eastAsia="Times New Roman" w:cs="Calibri"/>
                <w:color w:val="000000"/>
                <w:sz w:val="24"/>
                <w:szCs w:val="24"/>
                <w:lang w:eastAsia="en-GB"/>
              </w:rPr>
            </w:pPr>
            <w:r w:rsidRPr="00FF3F04">
              <w:rPr>
                <w:rFonts w:eastAsia="Times New Roman" w:cs="Calibri"/>
                <w:color w:val="000000"/>
                <w:sz w:val="24"/>
                <w:szCs w:val="24"/>
                <w:lang w:eastAsia="en-GB"/>
              </w:rPr>
              <w:t>33.869</w:t>
            </w:r>
          </w:p>
        </w:tc>
      </w:tr>
      <w:tr w:rsidR="00FF3F04" w:rsidRPr="00FF3F04" w14:paraId="125847CA" w14:textId="77777777" w:rsidTr="00FF3F04">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391EC30E" w14:textId="77777777" w:rsidR="00FF3F04" w:rsidRPr="00FF3F04" w:rsidRDefault="00FF3F04" w:rsidP="00FF3F04">
            <w:pPr>
              <w:spacing w:line="240" w:lineRule="auto"/>
              <w:jc w:val="right"/>
              <w:rPr>
                <w:rFonts w:eastAsia="Times New Roman" w:cs="Calibri"/>
                <w:color w:val="000000"/>
                <w:sz w:val="24"/>
                <w:szCs w:val="24"/>
                <w:lang w:eastAsia="en-GB"/>
              </w:rPr>
            </w:pPr>
            <w:r w:rsidRPr="00FF3F04">
              <w:rPr>
                <w:rFonts w:eastAsia="Times New Roman" w:cs="Calibri"/>
                <w:color w:val="000000"/>
                <w:sz w:val="24"/>
                <w:szCs w:val="24"/>
                <w:lang w:eastAsia="en-GB"/>
              </w:rPr>
              <w:t>1.814</w:t>
            </w:r>
          </w:p>
        </w:tc>
        <w:tc>
          <w:tcPr>
            <w:tcW w:w="4680" w:type="dxa"/>
            <w:tcBorders>
              <w:top w:val="nil"/>
              <w:left w:val="nil"/>
              <w:bottom w:val="nil"/>
              <w:right w:val="single" w:sz="4" w:space="0" w:color="auto"/>
            </w:tcBorders>
            <w:shd w:val="clear" w:color="000000" w:fill="FFFFFF"/>
            <w:noWrap/>
            <w:vAlign w:val="bottom"/>
            <w:hideMark/>
          </w:tcPr>
          <w:p w14:paraId="6C2DB637" w14:textId="77777777" w:rsidR="00FF3F04" w:rsidRPr="00FF3F04" w:rsidRDefault="00FF3F04" w:rsidP="00FF3F04">
            <w:pPr>
              <w:spacing w:line="240" w:lineRule="auto"/>
              <w:rPr>
                <w:rFonts w:eastAsia="Times New Roman" w:cs="Calibri"/>
                <w:color w:val="000000"/>
                <w:sz w:val="24"/>
                <w:szCs w:val="24"/>
                <w:lang w:eastAsia="en-GB"/>
              </w:rPr>
            </w:pPr>
            <w:r w:rsidRPr="00FF3F04">
              <w:rPr>
                <w:rFonts w:eastAsia="Times New Roman" w:cs="Calibri"/>
                <w:color w:val="000000"/>
                <w:sz w:val="24"/>
                <w:szCs w:val="24"/>
                <w:lang w:eastAsia="en-GB"/>
              </w:rPr>
              <w:t>National ICT Charges (inc. PNC)</w:t>
            </w:r>
          </w:p>
        </w:tc>
        <w:tc>
          <w:tcPr>
            <w:tcW w:w="1220" w:type="dxa"/>
            <w:tcBorders>
              <w:top w:val="nil"/>
              <w:left w:val="nil"/>
              <w:bottom w:val="nil"/>
              <w:right w:val="single" w:sz="4" w:space="0" w:color="auto"/>
            </w:tcBorders>
            <w:shd w:val="clear" w:color="000000" w:fill="DDEBF7"/>
            <w:noWrap/>
            <w:vAlign w:val="bottom"/>
            <w:hideMark/>
          </w:tcPr>
          <w:p w14:paraId="30B45CC9" w14:textId="77777777" w:rsidR="00FF3F04" w:rsidRPr="00FF3F04" w:rsidRDefault="00FF3F04" w:rsidP="00FF3F04">
            <w:pPr>
              <w:spacing w:line="240" w:lineRule="auto"/>
              <w:jc w:val="right"/>
              <w:rPr>
                <w:rFonts w:eastAsia="Times New Roman" w:cs="Calibri"/>
                <w:color w:val="000000"/>
                <w:sz w:val="24"/>
                <w:szCs w:val="24"/>
                <w:lang w:eastAsia="en-GB"/>
              </w:rPr>
            </w:pPr>
            <w:r w:rsidRPr="00FF3F04">
              <w:rPr>
                <w:rFonts w:eastAsia="Times New Roman" w:cs="Calibri"/>
                <w:color w:val="000000"/>
                <w:sz w:val="24"/>
                <w:szCs w:val="24"/>
                <w:lang w:eastAsia="en-GB"/>
              </w:rPr>
              <w:t>2.094</w:t>
            </w:r>
          </w:p>
        </w:tc>
      </w:tr>
      <w:tr w:rsidR="00FF3F04" w:rsidRPr="00FF3F04" w14:paraId="48CCBF23" w14:textId="77777777" w:rsidTr="00FF3F04">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5FC6CFC5" w14:textId="77777777" w:rsidR="00FF3F04" w:rsidRPr="00FF3F04" w:rsidRDefault="00FF3F04" w:rsidP="00FF3F04">
            <w:pPr>
              <w:spacing w:line="240" w:lineRule="auto"/>
              <w:jc w:val="right"/>
              <w:rPr>
                <w:rFonts w:eastAsia="Times New Roman" w:cs="Calibri"/>
                <w:color w:val="000000"/>
                <w:sz w:val="24"/>
                <w:szCs w:val="24"/>
                <w:lang w:eastAsia="en-GB"/>
              </w:rPr>
            </w:pPr>
            <w:r w:rsidRPr="00FF3F04">
              <w:rPr>
                <w:rFonts w:eastAsia="Times New Roman" w:cs="Calibri"/>
                <w:color w:val="000000"/>
                <w:sz w:val="24"/>
                <w:szCs w:val="24"/>
                <w:lang w:eastAsia="en-GB"/>
              </w:rPr>
              <w:t>10.361</w:t>
            </w:r>
          </w:p>
        </w:tc>
        <w:tc>
          <w:tcPr>
            <w:tcW w:w="4680" w:type="dxa"/>
            <w:tcBorders>
              <w:top w:val="nil"/>
              <w:left w:val="nil"/>
              <w:bottom w:val="nil"/>
              <w:right w:val="single" w:sz="4" w:space="0" w:color="auto"/>
            </w:tcBorders>
            <w:shd w:val="clear" w:color="000000" w:fill="FFFFFF"/>
            <w:noWrap/>
            <w:vAlign w:val="bottom"/>
            <w:hideMark/>
          </w:tcPr>
          <w:p w14:paraId="691DAC07" w14:textId="77777777" w:rsidR="00FF3F04" w:rsidRPr="00FF3F04" w:rsidRDefault="00FF3F04" w:rsidP="00FF3F04">
            <w:pPr>
              <w:spacing w:line="240" w:lineRule="auto"/>
              <w:rPr>
                <w:rFonts w:eastAsia="Times New Roman" w:cs="Calibri"/>
                <w:color w:val="000000"/>
                <w:sz w:val="24"/>
                <w:szCs w:val="24"/>
                <w:lang w:eastAsia="en-GB"/>
              </w:rPr>
            </w:pPr>
            <w:r w:rsidRPr="00FF3F04">
              <w:rPr>
                <w:rFonts w:eastAsia="Times New Roman" w:cs="Calibri"/>
                <w:color w:val="000000"/>
                <w:sz w:val="24"/>
                <w:szCs w:val="24"/>
                <w:lang w:eastAsia="en-GB"/>
              </w:rPr>
              <w:t>Third Party/Collaborative Arrangements</w:t>
            </w:r>
          </w:p>
        </w:tc>
        <w:tc>
          <w:tcPr>
            <w:tcW w:w="1220" w:type="dxa"/>
            <w:tcBorders>
              <w:top w:val="nil"/>
              <w:left w:val="nil"/>
              <w:bottom w:val="nil"/>
              <w:right w:val="single" w:sz="4" w:space="0" w:color="auto"/>
            </w:tcBorders>
            <w:shd w:val="clear" w:color="000000" w:fill="DDEBF7"/>
            <w:noWrap/>
            <w:vAlign w:val="bottom"/>
            <w:hideMark/>
          </w:tcPr>
          <w:p w14:paraId="325D853A" w14:textId="77777777" w:rsidR="00FF3F04" w:rsidRPr="00FF3F04" w:rsidRDefault="00FF3F04" w:rsidP="00FF3F04">
            <w:pPr>
              <w:spacing w:line="240" w:lineRule="auto"/>
              <w:jc w:val="right"/>
              <w:rPr>
                <w:rFonts w:eastAsia="Times New Roman" w:cs="Calibri"/>
                <w:color w:val="000000"/>
                <w:sz w:val="24"/>
                <w:szCs w:val="24"/>
                <w:lang w:eastAsia="en-GB"/>
              </w:rPr>
            </w:pPr>
            <w:r w:rsidRPr="00FF3F04">
              <w:rPr>
                <w:rFonts w:eastAsia="Times New Roman" w:cs="Calibri"/>
                <w:color w:val="000000"/>
                <w:sz w:val="24"/>
                <w:szCs w:val="24"/>
                <w:lang w:eastAsia="en-GB"/>
              </w:rPr>
              <w:t>8.960</w:t>
            </w:r>
          </w:p>
        </w:tc>
      </w:tr>
      <w:tr w:rsidR="00FF3F04" w:rsidRPr="00FF3F04" w14:paraId="546E692C" w14:textId="77777777" w:rsidTr="00FF3F04">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71CD7CFA" w14:textId="77777777" w:rsidR="00FF3F04" w:rsidRPr="00FF3F04" w:rsidRDefault="00FF3F04" w:rsidP="00FF3F04">
            <w:pPr>
              <w:spacing w:line="240" w:lineRule="auto"/>
              <w:jc w:val="right"/>
              <w:rPr>
                <w:rFonts w:eastAsia="Times New Roman" w:cs="Calibri"/>
                <w:color w:val="000000"/>
                <w:sz w:val="24"/>
                <w:szCs w:val="24"/>
                <w:lang w:eastAsia="en-GB"/>
              </w:rPr>
            </w:pPr>
            <w:r w:rsidRPr="00FF3F04">
              <w:rPr>
                <w:rFonts w:eastAsia="Times New Roman" w:cs="Calibri"/>
                <w:color w:val="000000"/>
                <w:sz w:val="24"/>
                <w:szCs w:val="24"/>
                <w:lang w:eastAsia="en-GB"/>
              </w:rPr>
              <w:t>7.485</w:t>
            </w:r>
          </w:p>
        </w:tc>
        <w:tc>
          <w:tcPr>
            <w:tcW w:w="4680" w:type="dxa"/>
            <w:tcBorders>
              <w:top w:val="nil"/>
              <w:left w:val="nil"/>
              <w:bottom w:val="nil"/>
              <w:right w:val="single" w:sz="4" w:space="0" w:color="auto"/>
            </w:tcBorders>
            <w:shd w:val="clear" w:color="000000" w:fill="FFFFFF"/>
            <w:noWrap/>
            <w:vAlign w:val="bottom"/>
            <w:hideMark/>
          </w:tcPr>
          <w:p w14:paraId="734065CC" w14:textId="77777777" w:rsidR="00FF3F04" w:rsidRPr="00FF3F04" w:rsidRDefault="00FF3F04" w:rsidP="00FF3F04">
            <w:pPr>
              <w:spacing w:line="240" w:lineRule="auto"/>
              <w:rPr>
                <w:rFonts w:eastAsia="Times New Roman" w:cs="Calibri"/>
                <w:color w:val="000000"/>
                <w:sz w:val="24"/>
                <w:szCs w:val="24"/>
                <w:lang w:eastAsia="en-GB"/>
              </w:rPr>
            </w:pPr>
            <w:r w:rsidRPr="00FF3F04">
              <w:rPr>
                <w:rFonts w:eastAsia="Times New Roman" w:cs="Calibri"/>
                <w:color w:val="000000"/>
                <w:sz w:val="24"/>
                <w:szCs w:val="24"/>
                <w:lang w:eastAsia="en-GB"/>
              </w:rPr>
              <w:t>Other Non-Pay (excl. Enabling Services)</w:t>
            </w:r>
          </w:p>
        </w:tc>
        <w:tc>
          <w:tcPr>
            <w:tcW w:w="1220" w:type="dxa"/>
            <w:tcBorders>
              <w:top w:val="nil"/>
              <w:left w:val="nil"/>
              <w:bottom w:val="nil"/>
              <w:right w:val="single" w:sz="4" w:space="0" w:color="auto"/>
            </w:tcBorders>
            <w:shd w:val="clear" w:color="000000" w:fill="DDEBF7"/>
            <w:noWrap/>
            <w:vAlign w:val="bottom"/>
            <w:hideMark/>
          </w:tcPr>
          <w:p w14:paraId="088E415E" w14:textId="77777777" w:rsidR="00FF3F04" w:rsidRPr="00FF3F04" w:rsidRDefault="00FF3F04" w:rsidP="00FF3F04">
            <w:pPr>
              <w:spacing w:line="240" w:lineRule="auto"/>
              <w:jc w:val="right"/>
              <w:rPr>
                <w:rFonts w:eastAsia="Times New Roman" w:cs="Calibri"/>
                <w:color w:val="000000"/>
                <w:sz w:val="24"/>
                <w:szCs w:val="24"/>
                <w:lang w:eastAsia="en-GB"/>
              </w:rPr>
            </w:pPr>
            <w:r w:rsidRPr="00FF3F04">
              <w:rPr>
                <w:rFonts w:eastAsia="Times New Roman" w:cs="Calibri"/>
                <w:color w:val="000000"/>
                <w:sz w:val="24"/>
                <w:szCs w:val="24"/>
                <w:lang w:eastAsia="en-GB"/>
              </w:rPr>
              <w:t>7.538</w:t>
            </w:r>
          </w:p>
        </w:tc>
      </w:tr>
      <w:tr w:rsidR="00FF3F04" w:rsidRPr="00FF3F04" w14:paraId="7F1D1204" w14:textId="77777777" w:rsidTr="00FF3F04">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2AC59567" w14:textId="77777777" w:rsidR="00FF3F04" w:rsidRPr="00FF3F04" w:rsidRDefault="00FF3F04" w:rsidP="00FF3F04">
            <w:pPr>
              <w:spacing w:line="240" w:lineRule="auto"/>
              <w:jc w:val="right"/>
              <w:rPr>
                <w:rFonts w:eastAsia="Times New Roman" w:cs="Calibri"/>
                <w:color w:val="000000"/>
                <w:sz w:val="24"/>
                <w:szCs w:val="24"/>
                <w:lang w:eastAsia="en-GB"/>
              </w:rPr>
            </w:pPr>
            <w:r w:rsidRPr="00FF3F04">
              <w:rPr>
                <w:rFonts w:eastAsia="Times New Roman" w:cs="Calibri"/>
                <w:color w:val="000000"/>
                <w:sz w:val="24"/>
                <w:szCs w:val="24"/>
                <w:lang w:eastAsia="en-GB"/>
              </w:rPr>
              <w:t>(10.622)</w:t>
            </w:r>
          </w:p>
        </w:tc>
        <w:tc>
          <w:tcPr>
            <w:tcW w:w="4680" w:type="dxa"/>
            <w:tcBorders>
              <w:top w:val="nil"/>
              <w:left w:val="nil"/>
              <w:bottom w:val="nil"/>
              <w:right w:val="single" w:sz="4" w:space="0" w:color="auto"/>
            </w:tcBorders>
            <w:shd w:val="clear" w:color="000000" w:fill="FFFFFF"/>
            <w:noWrap/>
            <w:vAlign w:val="bottom"/>
            <w:hideMark/>
          </w:tcPr>
          <w:p w14:paraId="790150C7" w14:textId="77777777" w:rsidR="00FF3F04" w:rsidRPr="00FF3F04" w:rsidRDefault="00FF3F04" w:rsidP="00FF3F04">
            <w:pPr>
              <w:spacing w:line="240" w:lineRule="auto"/>
              <w:rPr>
                <w:rFonts w:eastAsia="Times New Roman" w:cs="Calibri"/>
                <w:color w:val="000000"/>
                <w:sz w:val="24"/>
                <w:szCs w:val="24"/>
                <w:lang w:eastAsia="en-GB"/>
              </w:rPr>
            </w:pPr>
            <w:r w:rsidRPr="00FF3F04">
              <w:rPr>
                <w:rFonts w:eastAsia="Times New Roman" w:cs="Calibri"/>
                <w:color w:val="000000"/>
                <w:sz w:val="24"/>
                <w:szCs w:val="24"/>
                <w:lang w:eastAsia="en-GB"/>
              </w:rPr>
              <w:t>Income</w:t>
            </w:r>
          </w:p>
        </w:tc>
        <w:tc>
          <w:tcPr>
            <w:tcW w:w="1220" w:type="dxa"/>
            <w:tcBorders>
              <w:top w:val="nil"/>
              <w:left w:val="nil"/>
              <w:bottom w:val="nil"/>
              <w:right w:val="single" w:sz="4" w:space="0" w:color="auto"/>
            </w:tcBorders>
            <w:shd w:val="clear" w:color="000000" w:fill="DDEBF7"/>
            <w:noWrap/>
            <w:vAlign w:val="bottom"/>
            <w:hideMark/>
          </w:tcPr>
          <w:p w14:paraId="4284E39F" w14:textId="77777777" w:rsidR="00FF3F04" w:rsidRPr="00FF3F04" w:rsidRDefault="00FF3F04" w:rsidP="00FF3F04">
            <w:pPr>
              <w:spacing w:line="240" w:lineRule="auto"/>
              <w:jc w:val="right"/>
              <w:rPr>
                <w:rFonts w:eastAsia="Times New Roman" w:cs="Calibri"/>
                <w:color w:val="000000"/>
                <w:sz w:val="24"/>
                <w:szCs w:val="24"/>
                <w:lang w:eastAsia="en-GB"/>
              </w:rPr>
            </w:pPr>
            <w:r w:rsidRPr="00FF3F04">
              <w:rPr>
                <w:rFonts w:eastAsia="Times New Roman" w:cs="Calibri"/>
                <w:color w:val="000000"/>
                <w:sz w:val="24"/>
                <w:szCs w:val="24"/>
                <w:lang w:eastAsia="en-GB"/>
              </w:rPr>
              <w:t>(12.321)</w:t>
            </w:r>
          </w:p>
        </w:tc>
      </w:tr>
      <w:tr w:rsidR="00FF3F04" w:rsidRPr="00FF3F04" w14:paraId="61D556B1" w14:textId="77777777" w:rsidTr="00FF3F04">
        <w:trPr>
          <w:trHeight w:val="315"/>
        </w:trPr>
        <w:tc>
          <w:tcPr>
            <w:tcW w:w="1220" w:type="dxa"/>
            <w:tcBorders>
              <w:top w:val="single" w:sz="4" w:space="0" w:color="auto"/>
              <w:left w:val="single" w:sz="4" w:space="0" w:color="auto"/>
              <w:bottom w:val="nil"/>
              <w:right w:val="single" w:sz="4" w:space="0" w:color="auto"/>
            </w:tcBorders>
            <w:shd w:val="clear" w:color="000000" w:fill="FFFFFF"/>
            <w:noWrap/>
            <w:vAlign w:val="bottom"/>
            <w:hideMark/>
          </w:tcPr>
          <w:p w14:paraId="194919B1" w14:textId="77777777" w:rsidR="00FF3F04" w:rsidRPr="00FF3F04" w:rsidRDefault="00FF3F04" w:rsidP="00FF3F04">
            <w:pPr>
              <w:spacing w:line="240" w:lineRule="auto"/>
              <w:jc w:val="right"/>
              <w:rPr>
                <w:rFonts w:eastAsia="Times New Roman" w:cs="Calibri"/>
                <w:b/>
                <w:bCs/>
                <w:color w:val="000000"/>
                <w:sz w:val="24"/>
                <w:szCs w:val="24"/>
                <w:lang w:eastAsia="en-GB"/>
              </w:rPr>
            </w:pPr>
            <w:r w:rsidRPr="00FF3F04">
              <w:rPr>
                <w:rFonts w:eastAsia="Times New Roman" w:cs="Calibri"/>
                <w:b/>
                <w:bCs/>
                <w:color w:val="000000"/>
                <w:sz w:val="24"/>
                <w:szCs w:val="24"/>
                <w:lang w:eastAsia="en-GB"/>
              </w:rPr>
              <w:t>176.270</w:t>
            </w:r>
          </w:p>
        </w:tc>
        <w:tc>
          <w:tcPr>
            <w:tcW w:w="4680" w:type="dxa"/>
            <w:tcBorders>
              <w:top w:val="single" w:sz="4" w:space="0" w:color="auto"/>
              <w:left w:val="nil"/>
              <w:bottom w:val="nil"/>
              <w:right w:val="single" w:sz="4" w:space="0" w:color="auto"/>
            </w:tcBorders>
            <w:shd w:val="clear" w:color="000000" w:fill="FFFFFF"/>
            <w:noWrap/>
            <w:vAlign w:val="bottom"/>
            <w:hideMark/>
          </w:tcPr>
          <w:p w14:paraId="246B670E" w14:textId="77777777" w:rsidR="00FF3F04" w:rsidRPr="00FF3F04" w:rsidRDefault="00FF3F04" w:rsidP="00FF3F04">
            <w:pPr>
              <w:spacing w:line="240" w:lineRule="auto"/>
              <w:rPr>
                <w:rFonts w:eastAsia="Times New Roman" w:cs="Calibri"/>
                <w:b/>
                <w:bCs/>
                <w:color w:val="000000"/>
                <w:sz w:val="24"/>
                <w:szCs w:val="24"/>
                <w:lang w:eastAsia="en-GB"/>
              </w:rPr>
            </w:pPr>
            <w:r w:rsidRPr="00FF3F04">
              <w:rPr>
                <w:rFonts w:eastAsia="Times New Roman" w:cs="Calibri"/>
                <w:b/>
                <w:bCs/>
                <w:color w:val="000000"/>
                <w:sz w:val="24"/>
                <w:szCs w:val="24"/>
                <w:lang w:eastAsia="en-GB"/>
              </w:rPr>
              <w:t xml:space="preserve">FORCE BUDGET </w:t>
            </w:r>
            <w:r w:rsidRPr="00FF3F04">
              <w:rPr>
                <w:rFonts w:eastAsia="Times New Roman" w:cs="Calibri"/>
                <w:color w:val="000000"/>
                <w:sz w:val="24"/>
                <w:szCs w:val="24"/>
                <w:lang w:eastAsia="en-GB"/>
              </w:rPr>
              <w:t>(before Investments/Savings)</w:t>
            </w:r>
          </w:p>
        </w:tc>
        <w:tc>
          <w:tcPr>
            <w:tcW w:w="1220" w:type="dxa"/>
            <w:tcBorders>
              <w:top w:val="single" w:sz="4" w:space="0" w:color="auto"/>
              <w:left w:val="nil"/>
              <w:bottom w:val="nil"/>
              <w:right w:val="single" w:sz="4" w:space="0" w:color="auto"/>
            </w:tcBorders>
            <w:shd w:val="clear" w:color="000000" w:fill="DDEBF7"/>
            <w:noWrap/>
            <w:vAlign w:val="bottom"/>
            <w:hideMark/>
          </w:tcPr>
          <w:p w14:paraId="475D5010" w14:textId="77777777" w:rsidR="00FF3F04" w:rsidRPr="00FF3F04" w:rsidRDefault="00FF3F04" w:rsidP="00FF3F04">
            <w:pPr>
              <w:spacing w:line="240" w:lineRule="auto"/>
              <w:jc w:val="right"/>
              <w:rPr>
                <w:rFonts w:eastAsia="Times New Roman" w:cs="Calibri"/>
                <w:b/>
                <w:bCs/>
                <w:color w:val="000000"/>
                <w:sz w:val="24"/>
                <w:szCs w:val="24"/>
                <w:lang w:eastAsia="en-GB"/>
              </w:rPr>
            </w:pPr>
            <w:r w:rsidRPr="00FF3F04">
              <w:rPr>
                <w:rFonts w:eastAsia="Times New Roman" w:cs="Calibri"/>
                <w:b/>
                <w:bCs/>
                <w:color w:val="000000"/>
                <w:sz w:val="24"/>
                <w:szCs w:val="24"/>
                <w:lang w:eastAsia="en-GB"/>
              </w:rPr>
              <w:t>186.241</w:t>
            </w:r>
          </w:p>
        </w:tc>
      </w:tr>
      <w:tr w:rsidR="00FF3F04" w:rsidRPr="00FF3F04" w14:paraId="31F59BB9" w14:textId="77777777" w:rsidTr="00FF3F04">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506BBF2F" w14:textId="77777777" w:rsidR="00FF3F04" w:rsidRPr="00FF3F04" w:rsidRDefault="00FF3F04" w:rsidP="00FF3F04">
            <w:pPr>
              <w:spacing w:line="240" w:lineRule="auto"/>
              <w:rPr>
                <w:rFonts w:eastAsia="Times New Roman" w:cs="Calibri"/>
                <w:b/>
                <w:bCs/>
                <w:color w:val="000000"/>
                <w:sz w:val="24"/>
                <w:szCs w:val="24"/>
                <w:lang w:eastAsia="en-GB"/>
              </w:rPr>
            </w:pPr>
            <w:r w:rsidRPr="00FF3F04">
              <w:rPr>
                <w:rFonts w:eastAsia="Times New Roman" w:cs="Calibri"/>
                <w:b/>
                <w:bCs/>
                <w:color w:val="000000"/>
                <w:sz w:val="24"/>
                <w:szCs w:val="24"/>
                <w:lang w:eastAsia="en-GB"/>
              </w:rPr>
              <w:t> </w:t>
            </w:r>
          </w:p>
        </w:tc>
        <w:tc>
          <w:tcPr>
            <w:tcW w:w="4680" w:type="dxa"/>
            <w:tcBorders>
              <w:top w:val="nil"/>
              <w:left w:val="nil"/>
              <w:bottom w:val="nil"/>
              <w:right w:val="single" w:sz="4" w:space="0" w:color="auto"/>
            </w:tcBorders>
            <w:shd w:val="clear" w:color="000000" w:fill="FFFFFF"/>
            <w:noWrap/>
            <w:vAlign w:val="bottom"/>
            <w:hideMark/>
          </w:tcPr>
          <w:p w14:paraId="509243B7" w14:textId="77777777" w:rsidR="00FF3F04" w:rsidRPr="00FF3F04" w:rsidRDefault="00FF3F04" w:rsidP="00FF3F04">
            <w:pPr>
              <w:spacing w:line="240" w:lineRule="auto"/>
              <w:rPr>
                <w:rFonts w:eastAsia="Times New Roman" w:cs="Calibri"/>
                <w:b/>
                <w:bCs/>
                <w:color w:val="000000"/>
                <w:sz w:val="24"/>
                <w:szCs w:val="24"/>
                <w:lang w:eastAsia="en-GB"/>
              </w:rPr>
            </w:pPr>
            <w:r w:rsidRPr="00FF3F04">
              <w:rPr>
                <w:rFonts w:eastAsia="Times New Roman" w:cs="Calibri"/>
                <w:b/>
                <w:bCs/>
                <w:color w:val="000000"/>
                <w:sz w:val="24"/>
                <w:szCs w:val="24"/>
                <w:lang w:eastAsia="en-GB"/>
              </w:rPr>
              <w:t> </w:t>
            </w:r>
          </w:p>
        </w:tc>
        <w:tc>
          <w:tcPr>
            <w:tcW w:w="1220" w:type="dxa"/>
            <w:tcBorders>
              <w:top w:val="nil"/>
              <w:left w:val="nil"/>
              <w:bottom w:val="nil"/>
              <w:right w:val="single" w:sz="4" w:space="0" w:color="auto"/>
            </w:tcBorders>
            <w:shd w:val="clear" w:color="000000" w:fill="DDEBF7"/>
            <w:noWrap/>
            <w:vAlign w:val="bottom"/>
            <w:hideMark/>
          </w:tcPr>
          <w:p w14:paraId="163CB4ED" w14:textId="77777777" w:rsidR="00FF3F04" w:rsidRPr="00FF3F04" w:rsidRDefault="00FF3F04" w:rsidP="00FF3F04">
            <w:pPr>
              <w:spacing w:line="240" w:lineRule="auto"/>
              <w:rPr>
                <w:rFonts w:eastAsia="Times New Roman" w:cs="Calibri"/>
                <w:b/>
                <w:bCs/>
                <w:color w:val="000000"/>
                <w:sz w:val="24"/>
                <w:szCs w:val="24"/>
                <w:lang w:eastAsia="en-GB"/>
              </w:rPr>
            </w:pPr>
            <w:r w:rsidRPr="00FF3F04">
              <w:rPr>
                <w:rFonts w:eastAsia="Times New Roman" w:cs="Calibri"/>
                <w:b/>
                <w:bCs/>
                <w:color w:val="000000"/>
                <w:sz w:val="24"/>
                <w:szCs w:val="24"/>
                <w:lang w:eastAsia="en-GB"/>
              </w:rPr>
              <w:t> </w:t>
            </w:r>
          </w:p>
        </w:tc>
      </w:tr>
      <w:tr w:rsidR="00FF3F04" w:rsidRPr="00FF3F04" w14:paraId="4C922572" w14:textId="77777777" w:rsidTr="00FF3F04">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3663E7D1" w14:textId="77777777" w:rsidR="00FF3F04" w:rsidRPr="00FF3F04" w:rsidRDefault="00FF3F04" w:rsidP="00FF3F04">
            <w:pPr>
              <w:spacing w:line="240" w:lineRule="auto"/>
              <w:jc w:val="right"/>
              <w:rPr>
                <w:rFonts w:eastAsia="Times New Roman" w:cs="Calibri"/>
                <w:color w:val="000000"/>
                <w:sz w:val="24"/>
                <w:szCs w:val="24"/>
                <w:lang w:eastAsia="en-GB"/>
              </w:rPr>
            </w:pPr>
            <w:r w:rsidRPr="00FF3F04">
              <w:rPr>
                <w:rFonts w:eastAsia="Times New Roman" w:cs="Calibri"/>
                <w:color w:val="000000"/>
                <w:sz w:val="24"/>
                <w:szCs w:val="24"/>
                <w:lang w:eastAsia="en-GB"/>
              </w:rPr>
              <w:t>1.823</w:t>
            </w:r>
          </w:p>
        </w:tc>
        <w:tc>
          <w:tcPr>
            <w:tcW w:w="4680" w:type="dxa"/>
            <w:tcBorders>
              <w:top w:val="nil"/>
              <w:left w:val="nil"/>
              <w:bottom w:val="nil"/>
              <w:right w:val="single" w:sz="4" w:space="0" w:color="auto"/>
            </w:tcBorders>
            <w:shd w:val="clear" w:color="000000" w:fill="FFFFFF"/>
            <w:noWrap/>
            <w:vAlign w:val="bottom"/>
            <w:hideMark/>
          </w:tcPr>
          <w:p w14:paraId="31C10E13" w14:textId="77777777" w:rsidR="00FF3F04" w:rsidRPr="00FF3F04" w:rsidRDefault="00FF3F04" w:rsidP="00FF3F04">
            <w:pPr>
              <w:spacing w:line="240" w:lineRule="auto"/>
              <w:rPr>
                <w:rFonts w:eastAsia="Times New Roman" w:cs="Calibri"/>
                <w:color w:val="000000"/>
                <w:sz w:val="24"/>
                <w:szCs w:val="24"/>
                <w:lang w:eastAsia="en-GB"/>
              </w:rPr>
            </w:pPr>
            <w:r w:rsidRPr="00FF3F04">
              <w:rPr>
                <w:rFonts w:eastAsia="Times New Roman" w:cs="Calibri"/>
                <w:color w:val="000000"/>
                <w:sz w:val="24"/>
                <w:szCs w:val="24"/>
                <w:lang w:eastAsia="en-GB"/>
              </w:rPr>
              <w:t>New Investments</w:t>
            </w:r>
          </w:p>
        </w:tc>
        <w:tc>
          <w:tcPr>
            <w:tcW w:w="1220" w:type="dxa"/>
            <w:tcBorders>
              <w:top w:val="nil"/>
              <w:left w:val="nil"/>
              <w:bottom w:val="nil"/>
              <w:right w:val="single" w:sz="4" w:space="0" w:color="auto"/>
            </w:tcBorders>
            <w:shd w:val="clear" w:color="000000" w:fill="DDEBF7"/>
            <w:noWrap/>
            <w:vAlign w:val="bottom"/>
            <w:hideMark/>
          </w:tcPr>
          <w:p w14:paraId="5645BDE0" w14:textId="77777777" w:rsidR="00FF3F04" w:rsidRPr="00FF3F04" w:rsidRDefault="00FF3F04" w:rsidP="00FF3F04">
            <w:pPr>
              <w:spacing w:line="240" w:lineRule="auto"/>
              <w:jc w:val="right"/>
              <w:rPr>
                <w:rFonts w:eastAsia="Times New Roman" w:cs="Calibri"/>
                <w:color w:val="000000"/>
                <w:sz w:val="24"/>
                <w:szCs w:val="24"/>
                <w:lang w:eastAsia="en-GB"/>
              </w:rPr>
            </w:pPr>
            <w:r w:rsidRPr="00FF3F04">
              <w:rPr>
                <w:rFonts w:eastAsia="Times New Roman" w:cs="Calibri"/>
                <w:color w:val="000000"/>
                <w:sz w:val="24"/>
                <w:szCs w:val="24"/>
                <w:lang w:eastAsia="en-GB"/>
              </w:rPr>
              <w:t>1.000</w:t>
            </w:r>
          </w:p>
        </w:tc>
      </w:tr>
      <w:tr w:rsidR="00FF3F04" w:rsidRPr="00FF3F04" w14:paraId="289A6F79" w14:textId="77777777" w:rsidTr="00FF3F04">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1DB375E9" w14:textId="77777777" w:rsidR="00FF3F04" w:rsidRPr="00FF3F04" w:rsidRDefault="00FF3F04" w:rsidP="00FF3F04">
            <w:pPr>
              <w:spacing w:line="240" w:lineRule="auto"/>
              <w:jc w:val="right"/>
              <w:rPr>
                <w:rFonts w:eastAsia="Times New Roman" w:cs="Calibri"/>
                <w:color w:val="000000"/>
                <w:sz w:val="24"/>
                <w:szCs w:val="24"/>
                <w:lang w:eastAsia="en-GB"/>
              </w:rPr>
            </w:pPr>
            <w:r w:rsidRPr="00FF3F04">
              <w:rPr>
                <w:rFonts w:eastAsia="Times New Roman" w:cs="Calibri"/>
                <w:color w:val="000000"/>
                <w:sz w:val="24"/>
                <w:szCs w:val="24"/>
                <w:lang w:eastAsia="en-GB"/>
              </w:rPr>
              <w:t>-</w:t>
            </w:r>
          </w:p>
        </w:tc>
        <w:tc>
          <w:tcPr>
            <w:tcW w:w="4680" w:type="dxa"/>
            <w:tcBorders>
              <w:top w:val="nil"/>
              <w:left w:val="nil"/>
              <w:bottom w:val="nil"/>
              <w:right w:val="single" w:sz="4" w:space="0" w:color="auto"/>
            </w:tcBorders>
            <w:shd w:val="clear" w:color="000000" w:fill="FFFFFF"/>
            <w:noWrap/>
            <w:vAlign w:val="bottom"/>
            <w:hideMark/>
          </w:tcPr>
          <w:p w14:paraId="08BF29EA" w14:textId="77777777" w:rsidR="00FF3F04" w:rsidRPr="00FF3F04" w:rsidRDefault="00FF3F04" w:rsidP="00FF3F04">
            <w:pPr>
              <w:spacing w:line="240" w:lineRule="auto"/>
              <w:rPr>
                <w:rFonts w:eastAsia="Times New Roman" w:cs="Calibri"/>
                <w:color w:val="000000"/>
                <w:sz w:val="24"/>
                <w:szCs w:val="24"/>
                <w:lang w:eastAsia="en-GB"/>
              </w:rPr>
            </w:pPr>
            <w:r w:rsidRPr="00FF3F04">
              <w:rPr>
                <w:rFonts w:eastAsia="Times New Roman" w:cs="Calibri"/>
                <w:color w:val="000000"/>
                <w:sz w:val="24"/>
                <w:szCs w:val="24"/>
                <w:lang w:eastAsia="en-GB"/>
              </w:rPr>
              <w:t>Savings Plans</w:t>
            </w:r>
          </w:p>
        </w:tc>
        <w:tc>
          <w:tcPr>
            <w:tcW w:w="1220" w:type="dxa"/>
            <w:tcBorders>
              <w:top w:val="nil"/>
              <w:left w:val="nil"/>
              <w:bottom w:val="nil"/>
              <w:right w:val="single" w:sz="4" w:space="0" w:color="auto"/>
            </w:tcBorders>
            <w:shd w:val="clear" w:color="000000" w:fill="DDEBF7"/>
            <w:noWrap/>
            <w:vAlign w:val="bottom"/>
            <w:hideMark/>
          </w:tcPr>
          <w:p w14:paraId="28B7A750" w14:textId="77777777" w:rsidR="00FF3F04" w:rsidRPr="00FF3F04" w:rsidRDefault="00FF3F04" w:rsidP="00FF3F04">
            <w:pPr>
              <w:spacing w:line="240" w:lineRule="auto"/>
              <w:jc w:val="right"/>
              <w:rPr>
                <w:rFonts w:eastAsia="Times New Roman" w:cs="Calibri"/>
                <w:color w:val="000000"/>
                <w:sz w:val="24"/>
                <w:szCs w:val="24"/>
                <w:lang w:eastAsia="en-GB"/>
              </w:rPr>
            </w:pPr>
            <w:r w:rsidRPr="00FF3F04">
              <w:rPr>
                <w:rFonts w:eastAsia="Times New Roman" w:cs="Calibri"/>
                <w:color w:val="000000"/>
                <w:sz w:val="24"/>
                <w:szCs w:val="24"/>
                <w:lang w:eastAsia="en-GB"/>
              </w:rPr>
              <w:t>(3.435)</w:t>
            </w:r>
          </w:p>
        </w:tc>
      </w:tr>
      <w:tr w:rsidR="00FF3F04" w:rsidRPr="00FF3F04" w14:paraId="6A8D5883" w14:textId="77777777" w:rsidTr="00FF3F04">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47B32C67" w14:textId="77777777" w:rsidR="00FF3F04" w:rsidRPr="00FF3F04" w:rsidRDefault="00FF3F04" w:rsidP="00FF3F04">
            <w:pPr>
              <w:spacing w:line="240" w:lineRule="auto"/>
              <w:rPr>
                <w:rFonts w:eastAsia="Times New Roman" w:cs="Calibri"/>
                <w:b/>
                <w:bCs/>
                <w:color w:val="000000"/>
                <w:sz w:val="24"/>
                <w:szCs w:val="24"/>
                <w:lang w:eastAsia="en-GB"/>
              </w:rPr>
            </w:pPr>
            <w:r w:rsidRPr="00FF3F04">
              <w:rPr>
                <w:rFonts w:eastAsia="Times New Roman" w:cs="Calibri"/>
                <w:b/>
                <w:bCs/>
                <w:color w:val="000000"/>
                <w:sz w:val="24"/>
                <w:szCs w:val="24"/>
                <w:lang w:eastAsia="en-GB"/>
              </w:rPr>
              <w:t> </w:t>
            </w:r>
          </w:p>
        </w:tc>
        <w:tc>
          <w:tcPr>
            <w:tcW w:w="4680" w:type="dxa"/>
            <w:tcBorders>
              <w:top w:val="nil"/>
              <w:left w:val="nil"/>
              <w:bottom w:val="nil"/>
              <w:right w:val="single" w:sz="4" w:space="0" w:color="auto"/>
            </w:tcBorders>
            <w:shd w:val="clear" w:color="000000" w:fill="FFFFFF"/>
            <w:noWrap/>
            <w:vAlign w:val="bottom"/>
            <w:hideMark/>
          </w:tcPr>
          <w:p w14:paraId="3FBB5524" w14:textId="77777777" w:rsidR="00FF3F04" w:rsidRPr="00FF3F04" w:rsidRDefault="00FF3F04" w:rsidP="00FF3F04">
            <w:pPr>
              <w:spacing w:line="240" w:lineRule="auto"/>
              <w:rPr>
                <w:rFonts w:eastAsia="Times New Roman" w:cs="Calibri"/>
                <w:color w:val="000000"/>
                <w:sz w:val="24"/>
                <w:szCs w:val="24"/>
                <w:lang w:eastAsia="en-GB"/>
              </w:rPr>
            </w:pPr>
            <w:r w:rsidRPr="00FF3F04">
              <w:rPr>
                <w:rFonts w:eastAsia="Times New Roman" w:cs="Calibri"/>
                <w:color w:val="000000"/>
                <w:sz w:val="24"/>
                <w:szCs w:val="24"/>
                <w:lang w:eastAsia="en-GB"/>
              </w:rPr>
              <w:t> </w:t>
            </w:r>
          </w:p>
        </w:tc>
        <w:tc>
          <w:tcPr>
            <w:tcW w:w="1220" w:type="dxa"/>
            <w:tcBorders>
              <w:top w:val="nil"/>
              <w:left w:val="nil"/>
              <w:bottom w:val="nil"/>
              <w:right w:val="single" w:sz="4" w:space="0" w:color="auto"/>
            </w:tcBorders>
            <w:shd w:val="clear" w:color="000000" w:fill="DDEBF7"/>
            <w:noWrap/>
            <w:vAlign w:val="bottom"/>
            <w:hideMark/>
          </w:tcPr>
          <w:p w14:paraId="10BE2B3C" w14:textId="77777777" w:rsidR="00FF3F04" w:rsidRPr="00FF3F04" w:rsidRDefault="00FF3F04" w:rsidP="00FF3F04">
            <w:pPr>
              <w:spacing w:line="240" w:lineRule="auto"/>
              <w:rPr>
                <w:rFonts w:eastAsia="Times New Roman" w:cs="Calibri"/>
                <w:b/>
                <w:bCs/>
                <w:color w:val="000000"/>
                <w:sz w:val="24"/>
                <w:szCs w:val="24"/>
                <w:lang w:eastAsia="en-GB"/>
              </w:rPr>
            </w:pPr>
            <w:r w:rsidRPr="00FF3F04">
              <w:rPr>
                <w:rFonts w:eastAsia="Times New Roman" w:cs="Calibri"/>
                <w:b/>
                <w:bCs/>
                <w:color w:val="000000"/>
                <w:sz w:val="24"/>
                <w:szCs w:val="24"/>
                <w:lang w:eastAsia="en-GB"/>
              </w:rPr>
              <w:t> </w:t>
            </w:r>
          </w:p>
        </w:tc>
      </w:tr>
      <w:tr w:rsidR="00FF3F04" w:rsidRPr="00FF3F04" w14:paraId="0DDB8C97" w14:textId="77777777" w:rsidTr="00FF3F04">
        <w:trPr>
          <w:trHeight w:val="315"/>
        </w:trPr>
        <w:tc>
          <w:tcPr>
            <w:tcW w:w="1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8990E0" w14:textId="77777777" w:rsidR="00FF3F04" w:rsidRPr="00FF3F04" w:rsidRDefault="00FF3F04" w:rsidP="00FF3F04">
            <w:pPr>
              <w:spacing w:line="240" w:lineRule="auto"/>
              <w:jc w:val="right"/>
              <w:rPr>
                <w:rFonts w:eastAsia="Times New Roman" w:cs="Calibri"/>
                <w:b/>
                <w:bCs/>
                <w:color w:val="000000"/>
                <w:sz w:val="24"/>
                <w:szCs w:val="24"/>
                <w:lang w:eastAsia="en-GB"/>
              </w:rPr>
            </w:pPr>
            <w:r w:rsidRPr="00FF3F04">
              <w:rPr>
                <w:rFonts w:eastAsia="Times New Roman" w:cs="Calibri"/>
                <w:b/>
                <w:bCs/>
                <w:color w:val="000000"/>
                <w:sz w:val="24"/>
                <w:szCs w:val="24"/>
                <w:lang w:eastAsia="en-GB"/>
              </w:rPr>
              <w:t>178.093</w:t>
            </w:r>
          </w:p>
        </w:tc>
        <w:tc>
          <w:tcPr>
            <w:tcW w:w="4680" w:type="dxa"/>
            <w:tcBorders>
              <w:top w:val="single" w:sz="4" w:space="0" w:color="auto"/>
              <w:left w:val="nil"/>
              <w:bottom w:val="single" w:sz="4" w:space="0" w:color="auto"/>
              <w:right w:val="single" w:sz="4" w:space="0" w:color="auto"/>
            </w:tcBorders>
            <w:shd w:val="clear" w:color="000000" w:fill="FFFFFF"/>
            <w:noWrap/>
            <w:vAlign w:val="bottom"/>
            <w:hideMark/>
          </w:tcPr>
          <w:p w14:paraId="7787C1CE" w14:textId="77777777" w:rsidR="00FF3F04" w:rsidRPr="00FF3F04" w:rsidRDefault="00FF3F04" w:rsidP="00FF3F04">
            <w:pPr>
              <w:spacing w:line="240" w:lineRule="auto"/>
              <w:rPr>
                <w:rFonts w:eastAsia="Times New Roman" w:cs="Calibri"/>
                <w:b/>
                <w:bCs/>
                <w:color w:val="000000"/>
                <w:sz w:val="24"/>
                <w:szCs w:val="24"/>
                <w:lang w:eastAsia="en-GB"/>
              </w:rPr>
            </w:pPr>
            <w:r w:rsidRPr="00FF3F04">
              <w:rPr>
                <w:rFonts w:eastAsia="Times New Roman" w:cs="Calibri"/>
                <w:b/>
                <w:bCs/>
                <w:color w:val="000000"/>
                <w:sz w:val="24"/>
                <w:szCs w:val="24"/>
                <w:lang w:eastAsia="en-GB"/>
              </w:rPr>
              <w:t>TOTAL FORCE BUDGET</w:t>
            </w:r>
          </w:p>
        </w:tc>
        <w:tc>
          <w:tcPr>
            <w:tcW w:w="1220" w:type="dxa"/>
            <w:tcBorders>
              <w:top w:val="single" w:sz="4" w:space="0" w:color="auto"/>
              <w:left w:val="nil"/>
              <w:bottom w:val="single" w:sz="4" w:space="0" w:color="auto"/>
              <w:right w:val="single" w:sz="4" w:space="0" w:color="auto"/>
            </w:tcBorders>
            <w:shd w:val="clear" w:color="000000" w:fill="DDEBF7"/>
            <w:noWrap/>
            <w:vAlign w:val="bottom"/>
            <w:hideMark/>
          </w:tcPr>
          <w:p w14:paraId="2E22F346" w14:textId="77777777" w:rsidR="00FF3F04" w:rsidRPr="00FF3F04" w:rsidRDefault="00FF3F04" w:rsidP="00FF3F04">
            <w:pPr>
              <w:spacing w:line="240" w:lineRule="auto"/>
              <w:jc w:val="right"/>
              <w:rPr>
                <w:rFonts w:eastAsia="Times New Roman" w:cs="Calibri"/>
                <w:b/>
                <w:bCs/>
                <w:color w:val="000000"/>
                <w:sz w:val="24"/>
                <w:szCs w:val="24"/>
                <w:lang w:eastAsia="en-GB"/>
              </w:rPr>
            </w:pPr>
            <w:r w:rsidRPr="00FF3F04">
              <w:rPr>
                <w:rFonts w:eastAsia="Times New Roman" w:cs="Calibri"/>
                <w:b/>
                <w:bCs/>
                <w:color w:val="000000"/>
                <w:sz w:val="24"/>
                <w:szCs w:val="24"/>
                <w:lang w:eastAsia="en-GB"/>
              </w:rPr>
              <w:t>183.805</w:t>
            </w:r>
          </w:p>
        </w:tc>
      </w:tr>
    </w:tbl>
    <w:p w14:paraId="3B4C9A56" w14:textId="04C9B1DC" w:rsidR="00DC7955" w:rsidRPr="00A81E04" w:rsidRDefault="00DC7955" w:rsidP="004D2F09">
      <w:pPr>
        <w:spacing w:line="240" w:lineRule="auto"/>
        <w:rPr>
          <w:rFonts w:ascii="Arial" w:hAnsi="Arial" w:cs="Arial"/>
          <w:highlight w:val="yellow"/>
        </w:rPr>
      </w:pPr>
    </w:p>
    <w:p w14:paraId="7E1EA000" w14:textId="77777777" w:rsidR="00A63F16" w:rsidRPr="00F120AF" w:rsidRDefault="00A63F16" w:rsidP="00A63F16">
      <w:pPr>
        <w:pStyle w:val="PanelPara"/>
      </w:pPr>
      <w:r w:rsidRPr="00F120AF">
        <w:t>A detailed breakdown is set out in Appendix B.  Key Headlines are as follows:</w:t>
      </w:r>
    </w:p>
    <w:p w14:paraId="4C998AD6" w14:textId="441A618A" w:rsidR="00DC3D4F" w:rsidRPr="003375BC" w:rsidRDefault="005B7A16" w:rsidP="00CC0A00">
      <w:pPr>
        <w:pStyle w:val="PanelPara"/>
        <w:numPr>
          <w:ilvl w:val="1"/>
          <w:numId w:val="6"/>
        </w:numPr>
      </w:pPr>
      <w:r w:rsidRPr="003375BC">
        <w:rPr>
          <w:kern w:val="36"/>
        </w:rPr>
        <w:t>The budget for 202</w:t>
      </w:r>
      <w:r w:rsidR="00237D13" w:rsidRPr="003375BC">
        <w:rPr>
          <w:kern w:val="36"/>
        </w:rPr>
        <w:t>5</w:t>
      </w:r>
      <w:r w:rsidRPr="003375BC">
        <w:rPr>
          <w:kern w:val="36"/>
        </w:rPr>
        <w:t>/2</w:t>
      </w:r>
      <w:r w:rsidR="00237D13" w:rsidRPr="003375BC">
        <w:rPr>
          <w:kern w:val="36"/>
        </w:rPr>
        <w:t>6</w:t>
      </w:r>
      <w:r w:rsidRPr="003375BC">
        <w:rPr>
          <w:kern w:val="36"/>
        </w:rPr>
        <w:t xml:space="preserve"> </w:t>
      </w:r>
      <w:r w:rsidR="00261126" w:rsidRPr="003375BC">
        <w:rPr>
          <w:kern w:val="36"/>
        </w:rPr>
        <w:t xml:space="preserve">continues to </w:t>
      </w:r>
      <w:r w:rsidR="004D2F09" w:rsidRPr="003375BC">
        <w:rPr>
          <w:kern w:val="36"/>
        </w:rPr>
        <w:t>provide for maintenance of</w:t>
      </w:r>
      <w:r w:rsidR="00131E14" w:rsidRPr="003375BC">
        <w:rPr>
          <w:kern w:val="36"/>
        </w:rPr>
        <w:t xml:space="preserve"> </w:t>
      </w:r>
      <w:r w:rsidRPr="003375BC">
        <w:rPr>
          <w:kern w:val="36"/>
        </w:rPr>
        <w:t>police officer</w:t>
      </w:r>
      <w:r w:rsidR="00DC3D4F" w:rsidRPr="003375BC">
        <w:rPr>
          <w:kern w:val="36"/>
        </w:rPr>
        <w:t xml:space="preserve"> numbers</w:t>
      </w:r>
      <w:r w:rsidRPr="003375BC">
        <w:rPr>
          <w:kern w:val="36"/>
        </w:rPr>
        <w:t xml:space="preserve"> </w:t>
      </w:r>
      <w:r w:rsidR="00DC3D4F" w:rsidRPr="003375BC">
        <w:rPr>
          <w:kern w:val="36"/>
        </w:rPr>
        <w:t>at</w:t>
      </w:r>
      <w:r w:rsidRPr="003375BC">
        <w:rPr>
          <w:kern w:val="36"/>
        </w:rPr>
        <w:t xml:space="preserve"> establishment of 1</w:t>
      </w:r>
      <w:r w:rsidR="001D0E11" w:rsidRPr="003375BC">
        <w:rPr>
          <w:kern w:val="36"/>
        </w:rPr>
        <w:t>,</w:t>
      </w:r>
      <w:r w:rsidRPr="003375BC">
        <w:rPr>
          <w:kern w:val="36"/>
        </w:rPr>
        <w:t>50</w:t>
      </w:r>
      <w:r w:rsidR="00DC3D4F" w:rsidRPr="003375BC">
        <w:rPr>
          <w:kern w:val="36"/>
        </w:rPr>
        <w:t>1</w:t>
      </w:r>
      <w:r w:rsidR="00261126" w:rsidRPr="003375BC">
        <w:rPr>
          <w:kern w:val="36"/>
        </w:rPr>
        <w:t xml:space="preserve"> and 8</w:t>
      </w:r>
      <w:r w:rsidR="00AE75DF">
        <w:rPr>
          <w:kern w:val="36"/>
        </w:rPr>
        <w:t>1</w:t>
      </w:r>
      <w:r w:rsidR="00261126" w:rsidRPr="003375BC">
        <w:rPr>
          <w:kern w:val="36"/>
        </w:rPr>
        <w:t xml:space="preserve"> PCSOs.</w:t>
      </w:r>
    </w:p>
    <w:p w14:paraId="161B5BDC" w14:textId="77777777" w:rsidR="00DC3D4F" w:rsidRPr="00261126" w:rsidRDefault="005B7A16" w:rsidP="00CC0A00">
      <w:pPr>
        <w:pStyle w:val="PanelPara"/>
        <w:numPr>
          <w:ilvl w:val="1"/>
          <w:numId w:val="6"/>
        </w:numPr>
      </w:pPr>
      <w:r w:rsidRPr="00261126">
        <w:rPr>
          <w:kern w:val="36"/>
        </w:rPr>
        <w:t xml:space="preserve">The police officer budget requested by the Chief Constable follows a </w:t>
      </w:r>
      <w:r w:rsidR="00A86088" w:rsidRPr="00261126">
        <w:rPr>
          <w:kern w:val="36"/>
        </w:rPr>
        <w:t>zero-based</w:t>
      </w:r>
      <w:r w:rsidRPr="00261126">
        <w:rPr>
          <w:kern w:val="36"/>
        </w:rPr>
        <w:t xml:space="preserve"> review and reflects the planned retirement and recruitment profile</w:t>
      </w:r>
      <w:r w:rsidR="00DC3D4F" w:rsidRPr="00261126">
        <w:rPr>
          <w:kern w:val="36"/>
        </w:rPr>
        <w:t>.</w:t>
      </w:r>
    </w:p>
    <w:p w14:paraId="7E8D99E7" w14:textId="129FA2BA" w:rsidR="00DC3D4F" w:rsidRPr="00ED3F3D" w:rsidRDefault="005B7A16" w:rsidP="00CC0A00">
      <w:pPr>
        <w:pStyle w:val="PanelPara"/>
        <w:numPr>
          <w:ilvl w:val="1"/>
          <w:numId w:val="6"/>
        </w:numPr>
      </w:pPr>
      <w:r w:rsidRPr="00ED3F3D">
        <w:rPr>
          <w:kern w:val="36"/>
        </w:rPr>
        <w:t>Other non-</w:t>
      </w:r>
      <w:r w:rsidR="001D0E11" w:rsidRPr="00ED3F3D">
        <w:rPr>
          <w:kern w:val="36"/>
        </w:rPr>
        <w:t>p</w:t>
      </w:r>
      <w:r w:rsidRPr="00ED3F3D">
        <w:rPr>
          <w:kern w:val="36"/>
        </w:rPr>
        <w:t>ay cover</w:t>
      </w:r>
      <w:r w:rsidR="00ED3F3D" w:rsidRPr="00ED3F3D">
        <w:rPr>
          <w:kern w:val="36"/>
        </w:rPr>
        <w:t>s areas such as</w:t>
      </w:r>
      <w:r w:rsidRPr="00ED3F3D">
        <w:rPr>
          <w:kern w:val="36"/>
        </w:rPr>
        <w:t xml:space="preserve"> equipment, uniform</w:t>
      </w:r>
      <w:r w:rsidR="00ED3F3D" w:rsidRPr="00ED3F3D">
        <w:rPr>
          <w:kern w:val="36"/>
        </w:rPr>
        <w:t>, air support</w:t>
      </w:r>
      <w:r w:rsidRPr="00ED3F3D">
        <w:rPr>
          <w:kern w:val="36"/>
        </w:rPr>
        <w:t xml:space="preserve"> and forensic</w:t>
      </w:r>
      <w:r w:rsidR="003375BC" w:rsidRPr="00ED3F3D">
        <w:rPr>
          <w:kern w:val="36"/>
        </w:rPr>
        <w:t>/</w:t>
      </w:r>
      <w:r w:rsidRPr="00ED3F3D">
        <w:rPr>
          <w:kern w:val="36"/>
        </w:rPr>
        <w:t xml:space="preserve">pathology costs. </w:t>
      </w:r>
    </w:p>
    <w:p w14:paraId="717BF732" w14:textId="2A33B992" w:rsidR="001165F5" w:rsidRPr="00151106" w:rsidRDefault="00131E14" w:rsidP="00CC0A00">
      <w:pPr>
        <w:pStyle w:val="PanelPara"/>
        <w:numPr>
          <w:ilvl w:val="1"/>
          <w:numId w:val="6"/>
        </w:numPr>
      </w:pPr>
      <w:r w:rsidRPr="00151106">
        <w:rPr>
          <w:kern w:val="36"/>
        </w:rPr>
        <w:t xml:space="preserve">Enabling services include the costs of joint shared teams </w:t>
      </w:r>
      <w:r w:rsidR="00ED3F3D" w:rsidRPr="00151106">
        <w:rPr>
          <w:kern w:val="36"/>
        </w:rPr>
        <w:t>such as HR, Finance, Commercial, Transport and DDaT (I</w:t>
      </w:r>
      <w:r w:rsidR="007B1055">
        <w:rPr>
          <w:kern w:val="36"/>
        </w:rPr>
        <w:t>C</w:t>
      </w:r>
      <w:r w:rsidR="00ED3F3D" w:rsidRPr="00151106">
        <w:rPr>
          <w:kern w:val="36"/>
        </w:rPr>
        <w:t xml:space="preserve">T), shared </w:t>
      </w:r>
      <w:r w:rsidRPr="00151106">
        <w:rPr>
          <w:kern w:val="36"/>
        </w:rPr>
        <w:t>with Fire</w:t>
      </w:r>
      <w:r w:rsidR="00ED3F3D" w:rsidRPr="00151106">
        <w:rPr>
          <w:kern w:val="36"/>
        </w:rPr>
        <w:t>.</w:t>
      </w:r>
      <w:r w:rsidRPr="00151106">
        <w:rPr>
          <w:kern w:val="36"/>
        </w:rPr>
        <w:t xml:space="preserve"> </w:t>
      </w:r>
      <w:r w:rsidR="00ED3F3D" w:rsidRPr="00151106">
        <w:rPr>
          <w:kern w:val="36"/>
        </w:rPr>
        <w:t xml:space="preserve"> It </w:t>
      </w:r>
      <w:r w:rsidR="00151106" w:rsidRPr="00151106">
        <w:rPr>
          <w:kern w:val="36"/>
        </w:rPr>
        <w:t xml:space="preserve">also </w:t>
      </w:r>
      <w:r w:rsidRPr="00151106">
        <w:rPr>
          <w:kern w:val="36"/>
        </w:rPr>
        <w:t>includ</w:t>
      </w:r>
      <w:r w:rsidR="00DC3D4F" w:rsidRPr="00151106">
        <w:rPr>
          <w:kern w:val="36"/>
        </w:rPr>
        <w:t>ing</w:t>
      </w:r>
      <w:r w:rsidRPr="00151106">
        <w:rPr>
          <w:kern w:val="36"/>
        </w:rPr>
        <w:t xml:space="preserve"> </w:t>
      </w:r>
      <w:r w:rsidR="00151106" w:rsidRPr="00151106">
        <w:rPr>
          <w:kern w:val="36"/>
        </w:rPr>
        <w:t>all associated costs of running buildings, vehicles and IT infrastructure.</w:t>
      </w:r>
    </w:p>
    <w:p w14:paraId="46293C5C" w14:textId="56F180E0" w:rsidR="00151106" w:rsidRPr="00306286" w:rsidRDefault="00151106" w:rsidP="00151106">
      <w:pPr>
        <w:pStyle w:val="PanelPara"/>
      </w:pPr>
      <w:r>
        <w:t>The budget continues to allow for maintenance of police officer strength of at least 1,500 along with key investments implemented by the Chief Constable last year including:</w:t>
      </w:r>
    </w:p>
    <w:p w14:paraId="36FD7B66" w14:textId="77777777" w:rsidR="00151106" w:rsidRPr="00B8117D" w:rsidRDefault="00151106" w:rsidP="00151106">
      <w:pPr>
        <w:pStyle w:val="PanelPara"/>
        <w:numPr>
          <w:ilvl w:val="1"/>
          <w:numId w:val="6"/>
        </w:numPr>
      </w:pPr>
      <w:r w:rsidRPr="00B8117D">
        <w:t>Maximising resources within the Force Control Room, investing in more staff and ensuring they are fairly paid and that communication channels are optimised.</w:t>
      </w:r>
    </w:p>
    <w:p w14:paraId="3573DA10" w14:textId="77777777" w:rsidR="00151106" w:rsidRPr="00B8117D" w:rsidRDefault="00151106" w:rsidP="00151106">
      <w:pPr>
        <w:pStyle w:val="PanelPara"/>
        <w:numPr>
          <w:ilvl w:val="1"/>
          <w:numId w:val="6"/>
        </w:numPr>
      </w:pPr>
      <w:r w:rsidRPr="00B8117D">
        <w:t>Sufficient training resources and budgets to ensure all officers are equipped with the skills and accreditation they need.</w:t>
      </w:r>
    </w:p>
    <w:p w14:paraId="388161C4" w14:textId="77777777" w:rsidR="00151106" w:rsidRPr="00B8117D" w:rsidRDefault="00151106" w:rsidP="00151106">
      <w:pPr>
        <w:pStyle w:val="PanelPara"/>
        <w:numPr>
          <w:ilvl w:val="1"/>
          <w:numId w:val="6"/>
        </w:numPr>
      </w:pPr>
      <w:r w:rsidRPr="00B8117D">
        <w:t>Software that manages social media accounts in order to better deal with interactions from the public.</w:t>
      </w:r>
    </w:p>
    <w:p w14:paraId="569080C1" w14:textId="77777777" w:rsidR="00151106" w:rsidRDefault="00151106" w:rsidP="00151106">
      <w:pPr>
        <w:pStyle w:val="PanelPara"/>
        <w:numPr>
          <w:ilvl w:val="1"/>
          <w:numId w:val="6"/>
        </w:numPr>
      </w:pPr>
      <w:r w:rsidRPr="00B8117D">
        <w:lastRenderedPageBreak/>
        <w:t>A software solution to support complex IT architecture more efficiently.</w:t>
      </w:r>
    </w:p>
    <w:p w14:paraId="6E7B73E8" w14:textId="708D7311" w:rsidR="00151106" w:rsidRDefault="00151106" w:rsidP="00F2188E">
      <w:pPr>
        <w:pStyle w:val="PanelPara"/>
        <w:numPr>
          <w:ilvl w:val="1"/>
          <w:numId w:val="6"/>
        </w:numPr>
      </w:pPr>
      <w:r>
        <w:t xml:space="preserve">Resources to </w:t>
      </w:r>
      <w:r w:rsidRPr="00646F63">
        <w:t>improve, sustain and embed performance in pre-charge cases sent to CPS</w:t>
      </w:r>
      <w:r>
        <w:t xml:space="preserve">, </w:t>
      </w:r>
      <w:r w:rsidRPr="00646F63">
        <w:t>to progress investigations and charging decisions in a timely way, ensuring the right cases are prioritised and strong files are built to improve the experience for victims and witnesses.</w:t>
      </w:r>
    </w:p>
    <w:p w14:paraId="4DEFC741" w14:textId="77777777" w:rsidR="0056502A" w:rsidRDefault="0056502A" w:rsidP="0049467C">
      <w:pPr>
        <w:pStyle w:val="PanelHeading"/>
      </w:pPr>
    </w:p>
    <w:p w14:paraId="30A1E10D" w14:textId="5093B767" w:rsidR="0049467C" w:rsidRPr="001D3CF5" w:rsidRDefault="0049467C" w:rsidP="0049467C">
      <w:pPr>
        <w:pStyle w:val="PanelHeading"/>
      </w:pPr>
      <w:r w:rsidRPr="001D3CF5">
        <w:t xml:space="preserve">POLICE OFFICER ESTABLISHMENT AND POLICE UPLIFT PROGRAMME (PUP) </w:t>
      </w:r>
    </w:p>
    <w:p w14:paraId="4D437C13" w14:textId="77777777" w:rsidR="0049467C" w:rsidRPr="001D3CF5" w:rsidRDefault="0049467C" w:rsidP="0049467C">
      <w:pPr>
        <w:pStyle w:val="PanelPara"/>
      </w:pPr>
      <w:r w:rsidRPr="001D3CF5">
        <w:t>In September 2019, the previous government launched the national recruitment of 20,000 police officers, referred to as the Police Uplift Programme (PUP).  This was in addition to the 83 officers already planned in that year.</w:t>
      </w:r>
    </w:p>
    <w:p w14:paraId="30FBC244" w14:textId="775817E8" w:rsidR="0049467C" w:rsidRPr="001D3CF5" w:rsidRDefault="0049467C" w:rsidP="0049467C">
      <w:pPr>
        <w:pStyle w:val="PanelPara"/>
      </w:pPr>
      <w:r w:rsidRPr="001D3CF5">
        <w:t xml:space="preserve">As a result, the number of police officers increased to </w:t>
      </w:r>
      <w:r w:rsidR="00AE75DF">
        <w:t xml:space="preserve">around </w:t>
      </w:r>
      <w:r w:rsidRPr="001D3CF5">
        <w:t>1,500 by March 2023 and has been maintained at that level.</w:t>
      </w:r>
    </w:p>
    <w:p w14:paraId="45586A9E" w14:textId="77777777" w:rsidR="0049467C" w:rsidRPr="001D3CF5" w:rsidRDefault="0049467C" w:rsidP="0049467C">
      <w:pPr>
        <w:pStyle w:val="PanelPara"/>
      </w:pPr>
      <w:r w:rsidRPr="001D3CF5">
        <w:t>The following graph tracks the number of officers over previous years compared to population in the county.  It shows that the uplift programme and precept increases in recent years enabled officer numbers to be increased almost back to 2010 levels.  However, at only 1.9 officers per 1,000 population, Northants still has fewer officers compared to the 2.3 national average.</w:t>
      </w:r>
    </w:p>
    <w:p w14:paraId="6BFF06EA" w14:textId="77777777" w:rsidR="0049467C" w:rsidRPr="00A81E04" w:rsidRDefault="0049467C" w:rsidP="0049467C">
      <w:pPr>
        <w:pStyle w:val="PanelPara"/>
        <w:numPr>
          <w:ilvl w:val="0"/>
          <w:numId w:val="0"/>
        </w:numPr>
        <w:ind w:left="567"/>
        <w:rPr>
          <w:highlight w:val="yellow"/>
        </w:rPr>
      </w:pPr>
      <w:r>
        <w:rPr>
          <w:noProof/>
        </w:rPr>
        <w:drawing>
          <wp:inline distT="0" distB="0" distL="0" distR="0" wp14:anchorId="26A08495" wp14:editId="770B11C8">
            <wp:extent cx="5757298" cy="3381565"/>
            <wp:effectExtent l="0" t="0" r="15240" b="9525"/>
            <wp:docPr id="2144934065" name="Chart 1">
              <a:extLst xmlns:a="http://schemas.openxmlformats.org/drawingml/2006/main">
                <a:ext uri="{FF2B5EF4-FFF2-40B4-BE49-F238E27FC236}">
                  <a16:creationId xmlns:a16="http://schemas.microsoft.com/office/drawing/2014/main" id="{A36534F1-386E-4DF3-A77F-77F7A80668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A5095E9" w14:textId="77777777" w:rsidR="0056502A" w:rsidRDefault="0056502A" w:rsidP="0049467C">
      <w:pPr>
        <w:pStyle w:val="PanelHeading"/>
      </w:pPr>
    </w:p>
    <w:p w14:paraId="31B91ED8" w14:textId="161A4EE0" w:rsidR="0049467C" w:rsidRPr="001D3CF5" w:rsidRDefault="0049467C" w:rsidP="0049467C">
      <w:pPr>
        <w:pStyle w:val="PanelHeading"/>
      </w:pPr>
      <w:r w:rsidRPr="001D3CF5">
        <w:t>PENSIONS</w:t>
      </w:r>
    </w:p>
    <w:p w14:paraId="25E1043C" w14:textId="77777777" w:rsidR="0049467C" w:rsidRPr="005B62D7" w:rsidRDefault="0049467C" w:rsidP="0049467C">
      <w:pPr>
        <w:pStyle w:val="PanelPara"/>
      </w:pPr>
      <w:r w:rsidRPr="005B62D7">
        <w:t xml:space="preserve">The Government introduced reforms to public service pensions in 2015 which resulted in most public sector workers being moved into new pension schemes.  In December 2018, the Court of Appeal ruled that the ‘transitional protection’ offered to some members gave rise to unlawful discrimination on the basis of age.  In July 2019, the Chief Secretary to the Treasury made a written ministerial statement confirming that as ‘transitional protection’ was offered </w:t>
      </w:r>
      <w:r w:rsidRPr="005B62D7">
        <w:lastRenderedPageBreak/>
        <w:t>to members of all the main public service pension schemes, the difference in treatment will need to be removed across all those schemes for members with relevant service.</w:t>
      </w:r>
    </w:p>
    <w:p w14:paraId="446C3B60" w14:textId="77777777" w:rsidR="0049467C" w:rsidRPr="005B62D7" w:rsidRDefault="0049467C" w:rsidP="0049467C">
      <w:pPr>
        <w:pStyle w:val="PanelPara"/>
      </w:pPr>
      <w:r w:rsidRPr="005B62D7">
        <w:t>As expected, the on-going cost of higher pension benefits resulted in an increase to employer contribution rates following the scheme actuarial valuation last year.  The contribution rate increased from 31.8% to 36.2% resulting in an additional budget requirement of around £2.5m.  This increase is built into financial planning for all future years.</w:t>
      </w:r>
    </w:p>
    <w:p w14:paraId="072EB9F4" w14:textId="77777777" w:rsidR="0049467C" w:rsidRPr="005B62D7" w:rsidRDefault="0049467C" w:rsidP="0049467C">
      <w:pPr>
        <w:pStyle w:val="PanelPara"/>
      </w:pPr>
      <w:r w:rsidRPr="005B62D7">
        <w:t>As last year, the provisional settlement includes additional pension grant intended to cover the cost of this increase, but no longer includes the one-off amount provided in 2024/25 to help cover administration and systems costs incurred to implement the pension remedy.</w:t>
      </w:r>
    </w:p>
    <w:p w14:paraId="76834323" w14:textId="40C5EF67" w:rsidR="00AE75DF" w:rsidRDefault="00AE75DF">
      <w:pPr>
        <w:spacing w:line="240" w:lineRule="auto"/>
        <w:rPr>
          <w:rFonts w:asciiTheme="minorHAnsi" w:hAnsiTheme="minorHAnsi" w:cstheme="minorHAnsi"/>
          <w:b/>
          <w:sz w:val="24"/>
          <w:szCs w:val="24"/>
        </w:rPr>
      </w:pPr>
    </w:p>
    <w:p w14:paraId="750D13C5" w14:textId="099A10CD" w:rsidR="002B58F7" w:rsidRPr="00151106" w:rsidRDefault="00FC4407" w:rsidP="00DC3D4F">
      <w:pPr>
        <w:pStyle w:val="PanelHeading"/>
      </w:pPr>
      <w:r w:rsidRPr="00151106">
        <w:t>POLICE, FIRE AND CRIME COMMISSIONER – OFFICE BUDGET</w:t>
      </w:r>
    </w:p>
    <w:p w14:paraId="3DE821F9" w14:textId="77777777" w:rsidR="00DC3D4F" w:rsidRPr="00185C1B" w:rsidRDefault="00444B26" w:rsidP="00DC3D4F">
      <w:pPr>
        <w:pStyle w:val="PanelPara"/>
      </w:pPr>
      <w:r w:rsidRPr="00185C1B">
        <w:t>The PFCC manages t</w:t>
      </w:r>
      <w:r w:rsidR="00FA3B68" w:rsidRPr="00185C1B">
        <w:t>w</w:t>
      </w:r>
      <w:r w:rsidRPr="00185C1B">
        <w:t xml:space="preserve">o </w:t>
      </w:r>
      <w:r w:rsidR="00035F03" w:rsidRPr="00185C1B">
        <w:t>separate budget areas</w:t>
      </w:r>
      <w:r w:rsidR="00461F30" w:rsidRPr="00185C1B">
        <w:t>:</w:t>
      </w:r>
    </w:p>
    <w:p w14:paraId="3AD924FD" w14:textId="30111120" w:rsidR="00DC3D4F" w:rsidRPr="00185C1B" w:rsidRDefault="00461F30" w:rsidP="00CC0A00">
      <w:pPr>
        <w:pStyle w:val="PanelPara"/>
        <w:numPr>
          <w:ilvl w:val="1"/>
          <w:numId w:val="6"/>
        </w:numPr>
      </w:pPr>
      <w:r w:rsidRPr="00185C1B">
        <w:t xml:space="preserve">The cost of running </w:t>
      </w:r>
      <w:r w:rsidR="00151106" w:rsidRPr="00185C1B">
        <w:t>the</w:t>
      </w:r>
      <w:r w:rsidRPr="00185C1B">
        <w:t xml:space="preserve"> office</w:t>
      </w:r>
      <w:r w:rsidR="00997B4B" w:rsidRPr="00185C1B">
        <w:t xml:space="preserve">, </w:t>
      </w:r>
      <w:r w:rsidRPr="00185C1B">
        <w:t>t</w:t>
      </w:r>
      <w:r w:rsidR="00444B26" w:rsidRPr="00185C1B">
        <w:t xml:space="preserve">he </w:t>
      </w:r>
      <w:r w:rsidR="00BF4D7C" w:rsidRPr="00185C1B">
        <w:t>OPFCC.</w:t>
      </w:r>
      <w:r w:rsidR="00444B26" w:rsidRPr="00185C1B">
        <w:t xml:space="preserve">  </w:t>
      </w:r>
    </w:p>
    <w:p w14:paraId="2A62AE9E" w14:textId="316A9BBA" w:rsidR="001D2374" w:rsidRPr="00185C1B" w:rsidRDefault="00444B26" w:rsidP="00CC0A00">
      <w:pPr>
        <w:pStyle w:val="PanelPara"/>
        <w:numPr>
          <w:ilvl w:val="1"/>
          <w:numId w:val="6"/>
        </w:numPr>
      </w:pPr>
      <w:r w:rsidRPr="00185C1B">
        <w:t xml:space="preserve">Commissioning and Delivery </w:t>
      </w:r>
      <w:r w:rsidR="00185C1B" w:rsidRPr="00185C1B">
        <w:t>–</w:t>
      </w:r>
      <w:r w:rsidR="00461F30" w:rsidRPr="00185C1B">
        <w:t xml:space="preserve"> </w:t>
      </w:r>
      <w:r w:rsidR="00185C1B" w:rsidRPr="00185C1B">
        <w:t xml:space="preserve">funds for important prevention, reducing reoffending and victim support services.  </w:t>
      </w:r>
    </w:p>
    <w:p w14:paraId="53F67C94" w14:textId="7D426986" w:rsidR="001D2374" w:rsidRPr="00F2188E" w:rsidRDefault="00444B26" w:rsidP="00DC3D4F">
      <w:pPr>
        <w:pStyle w:val="PanelPara"/>
      </w:pPr>
      <w:r w:rsidRPr="00F2188E">
        <w:t xml:space="preserve">The office budget for </w:t>
      </w:r>
      <w:r w:rsidR="00220144" w:rsidRPr="00F2188E">
        <w:t>202</w:t>
      </w:r>
      <w:r w:rsidR="00185C1B" w:rsidRPr="00F2188E">
        <w:t>5</w:t>
      </w:r>
      <w:r w:rsidR="00220144" w:rsidRPr="00F2188E">
        <w:t>/2</w:t>
      </w:r>
      <w:r w:rsidR="00185C1B" w:rsidRPr="00F2188E">
        <w:t>6</w:t>
      </w:r>
      <w:r w:rsidRPr="00F2188E">
        <w:t xml:space="preserve"> </w:t>
      </w:r>
      <w:r w:rsidR="00A1250A" w:rsidRPr="00F2188E">
        <w:t xml:space="preserve">has </w:t>
      </w:r>
      <w:r w:rsidR="001D2374" w:rsidRPr="00F2188E">
        <w:t>an increase of £</w:t>
      </w:r>
      <w:r w:rsidR="00604C03">
        <w:t>0.</w:t>
      </w:r>
      <w:r w:rsidR="00185C1B" w:rsidRPr="00F2188E">
        <w:t>107</w:t>
      </w:r>
      <w:r w:rsidR="00604C03">
        <w:t>m</w:t>
      </w:r>
      <w:r w:rsidR="007C7571" w:rsidRPr="00F2188E">
        <w:t>, of which £</w:t>
      </w:r>
      <w:r w:rsidR="00604C03">
        <w:t>0.0</w:t>
      </w:r>
      <w:r w:rsidR="00F2188E" w:rsidRPr="00F2188E">
        <w:t>80</w:t>
      </w:r>
      <w:r w:rsidR="00604C03">
        <w:t>m</w:t>
      </w:r>
      <w:r w:rsidR="007C7571" w:rsidRPr="00F2188E">
        <w:t xml:space="preserve"> relates to </w:t>
      </w:r>
      <w:r w:rsidR="000952E6" w:rsidRPr="00F2188E">
        <w:t xml:space="preserve">staff </w:t>
      </w:r>
      <w:r w:rsidR="007C7571" w:rsidRPr="00F2188E">
        <w:t>pay inflation</w:t>
      </w:r>
      <w:r w:rsidR="00185C1B" w:rsidRPr="00F2188E">
        <w:t xml:space="preserve"> and </w:t>
      </w:r>
      <w:r w:rsidR="00F2188E">
        <w:t>n</w:t>
      </w:r>
      <w:r w:rsidR="00185C1B" w:rsidRPr="00F2188E">
        <w:t xml:space="preserve">ational </w:t>
      </w:r>
      <w:r w:rsidR="00F2188E">
        <w:t>i</w:t>
      </w:r>
      <w:r w:rsidR="00185C1B" w:rsidRPr="00F2188E">
        <w:t>nsurance increases, £</w:t>
      </w:r>
      <w:r w:rsidR="00604C03">
        <w:t>0.0</w:t>
      </w:r>
      <w:r w:rsidR="00F2188E" w:rsidRPr="00F2188E">
        <w:t>73</w:t>
      </w:r>
      <w:r w:rsidR="00604C03">
        <w:t>m</w:t>
      </w:r>
      <w:r w:rsidR="00185C1B" w:rsidRPr="00F2188E">
        <w:t xml:space="preserve"> for the Deputy PFCC post (£</w:t>
      </w:r>
      <w:r w:rsidR="00604C03">
        <w:t>0.0</w:t>
      </w:r>
      <w:r w:rsidR="00185C1B" w:rsidRPr="00F2188E">
        <w:t>55</w:t>
      </w:r>
      <w:r w:rsidR="00604C03">
        <w:t>m</w:t>
      </w:r>
      <w:r w:rsidR="00185C1B" w:rsidRPr="00F2188E">
        <w:t xml:space="preserve"> + on-costs),</w:t>
      </w:r>
      <w:r w:rsidR="007C7571" w:rsidRPr="00F2188E">
        <w:t xml:space="preserve"> </w:t>
      </w:r>
      <w:r w:rsidR="000952E6" w:rsidRPr="00F2188E">
        <w:t>offset by miscellaneous budget reductions of £</w:t>
      </w:r>
      <w:r w:rsidR="00604C03">
        <w:t>0.0</w:t>
      </w:r>
      <w:r w:rsidR="000952E6" w:rsidRPr="00F2188E">
        <w:t>4</w:t>
      </w:r>
      <w:r w:rsidR="00F2188E" w:rsidRPr="00F2188E">
        <w:t>6</w:t>
      </w:r>
      <w:r w:rsidR="00604C03">
        <w:t>m</w:t>
      </w:r>
      <w:r w:rsidR="007C7571" w:rsidRPr="00F2188E">
        <w:t xml:space="preserve">.  </w:t>
      </w:r>
    </w:p>
    <w:tbl>
      <w:tblPr>
        <w:tblW w:w="4960" w:type="dxa"/>
        <w:tblInd w:w="562" w:type="dxa"/>
        <w:tblLook w:val="04A0" w:firstRow="1" w:lastRow="0" w:firstColumn="1" w:lastColumn="0" w:noHBand="0" w:noVBand="1"/>
      </w:tblPr>
      <w:tblGrid>
        <w:gridCol w:w="1080"/>
        <w:gridCol w:w="2800"/>
        <w:gridCol w:w="1080"/>
      </w:tblGrid>
      <w:tr w:rsidR="00185C1B" w:rsidRPr="00185C1B" w14:paraId="69A213DC" w14:textId="77777777" w:rsidTr="00F2188E">
        <w:trPr>
          <w:trHeight w:val="630"/>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0AE7A5" w14:textId="77777777" w:rsidR="00185C1B" w:rsidRPr="00185C1B" w:rsidRDefault="00185C1B" w:rsidP="00185C1B">
            <w:pPr>
              <w:spacing w:line="240" w:lineRule="auto"/>
              <w:jc w:val="center"/>
              <w:rPr>
                <w:rFonts w:eastAsia="Times New Roman" w:cs="Calibri"/>
                <w:b/>
                <w:bCs/>
                <w:color w:val="000000"/>
                <w:sz w:val="24"/>
                <w:szCs w:val="24"/>
                <w:lang w:eastAsia="en-GB"/>
              </w:rPr>
            </w:pPr>
            <w:r w:rsidRPr="00185C1B">
              <w:rPr>
                <w:rFonts w:eastAsia="Times New Roman" w:cs="Calibri"/>
                <w:b/>
                <w:bCs/>
                <w:color w:val="000000"/>
                <w:sz w:val="24"/>
                <w:szCs w:val="24"/>
                <w:lang w:eastAsia="en-GB"/>
              </w:rPr>
              <w:t>2024/25</w:t>
            </w:r>
            <w:r w:rsidRPr="00185C1B">
              <w:rPr>
                <w:rFonts w:eastAsia="Times New Roman" w:cs="Calibri"/>
                <w:b/>
                <w:bCs/>
                <w:color w:val="000000"/>
                <w:sz w:val="24"/>
                <w:szCs w:val="24"/>
                <w:lang w:eastAsia="en-GB"/>
              </w:rPr>
              <w:br/>
              <w:t>£m</w:t>
            </w:r>
          </w:p>
        </w:tc>
        <w:tc>
          <w:tcPr>
            <w:tcW w:w="2800" w:type="dxa"/>
            <w:tcBorders>
              <w:top w:val="single" w:sz="4" w:space="0" w:color="auto"/>
              <w:left w:val="nil"/>
              <w:bottom w:val="single" w:sz="4" w:space="0" w:color="auto"/>
              <w:right w:val="single" w:sz="4" w:space="0" w:color="auto"/>
            </w:tcBorders>
            <w:shd w:val="clear" w:color="000000" w:fill="FFFFFF"/>
            <w:noWrap/>
            <w:vAlign w:val="center"/>
            <w:hideMark/>
          </w:tcPr>
          <w:p w14:paraId="7C6576AF" w14:textId="77777777" w:rsidR="00185C1B" w:rsidRPr="00185C1B" w:rsidRDefault="00185C1B" w:rsidP="00185C1B">
            <w:pPr>
              <w:spacing w:line="240" w:lineRule="auto"/>
              <w:jc w:val="center"/>
              <w:rPr>
                <w:rFonts w:eastAsia="Times New Roman" w:cs="Calibri"/>
                <w:b/>
                <w:bCs/>
                <w:color w:val="000000"/>
                <w:sz w:val="24"/>
                <w:szCs w:val="24"/>
                <w:lang w:eastAsia="en-GB"/>
              </w:rPr>
            </w:pPr>
            <w:r w:rsidRPr="00185C1B">
              <w:rPr>
                <w:rFonts w:eastAsia="Times New Roman" w:cs="Calibri"/>
                <w:b/>
                <w:bCs/>
                <w:color w:val="000000"/>
                <w:sz w:val="24"/>
                <w:szCs w:val="24"/>
                <w:lang w:eastAsia="en-GB"/>
              </w:rPr>
              <w:t>Budget Breakdown</w:t>
            </w:r>
          </w:p>
        </w:tc>
        <w:tc>
          <w:tcPr>
            <w:tcW w:w="1080" w:type="dxa"/>
            <w:tcBorders>
              <w:top w:val="single" w:sz="4" w:space="0" w:color="auto"/>
              <w:left w:val="nil"/>
              <w:bottom w:val="single" w:sz="4" w:space="0" w:color="auto"/>
              <w:right w:val="single" w:sz="4" w:space="0" w:color="auto"/>
            </w:tcBorders>
            <w:shd w:val="clear" w:color="000000" w:fill="D9D9D9"/>
            <w:vAlign w:val="center"/>
            <w:hideMark/>
          </w:tcPr>
          <w:p w14:paraId="5B871E4B" w14:textId="77777777" w:rsidR="00185C1B" w:rsidRPr="00185C1B" w:rsidRDefault="00185C1B" w:rsidP="00185C1B">
            <w:pPr>
              <w:spacing w:line="240" w:lineRule="auto"/>
              <w:jc w:val="center"/>
              <w:rPr>
                <w:rFonts w:eastAsia="Times New Roman" w:cs="Calibri"/>
                <w:b/>
                <w:bCs/>
                <w:color w:val="000000"/>
                <w:sz w:val="24"/>
                <w:szCs w:val="24"/>
                <w:lang w:eastAsia="en-GB"/>
              </w:rPr>
            </w:pPr>
            <w:r w:rsidRPr="00185C1B">
              <w:rPr>
                <w:rFonts w:eastAsia="Times New Roman" w:cs="Calibri"/>
                <w:b/>
                <w:bCs/>
                <w:color w:val="000000"/>
                <w:sz w:val="24"/>
                <w:szCs w:val="24"/>
                <w:lang w:eastAsia="en-GB"/>
              </w:rPr>
              <w:t>2025/26</w:t>
            </w:r>
            <w:r w:rsidRPr="00185C1B">
              <w:rPr>
                <w:rFonts w:eastAsia="Times New Roman" w:cs="Calibri"/>
                <w:b/>
                <w:bCs/>
                <w:color w:val="000000"/>
                <w:sz w:val="24"/>
                <w:szCs w:val="24"/>
                <w:lang w:eastAsia="en-GB"/>
              </w:rPr>
              <w:br/>
              <w:t>£m</w:t>
            </w:r>
          </w:p>
        </w:tc>
      </w:tr>
      <w:tr w:rsidR="00185C1B" w:rsidRPr="00185C1B" w14:paraId="272787D6" w14:textId="77777777" w:rsidTr="00F2188E">
        <w:trPr>
          <w:trHeight w:val="315"/>
        </w:trPr>
        <w:tc>
          <w:tcPr>
            <w:tcW w:w="1080" w:type="dxa"/>
            <w:tcBorders>
              <w:top w:val="nil"/>
              <w:left w:val="single" w:sz="4" w:space="0" w:color="auto"/>
              <w:bottom w:val="nil"/>
              <w:right w:val="single" w:sz="4" w:space="0" w:color="auto"/>
            </w:tcBorders>
            <w:shd w:val="clear" w:color="000000" w:fill="FFFFFF"/>
            <w:noWrap/>
            <w:vAlign w:val="bottom"/>
            <w:hideMark/>
          </w:tcPr>
          <w:p w14:paraId="09E0DF5A" w14:textId="77777777" w:rsidR="00185C1B" w:rsidRPr="00185C1B" w:rsidRDefault="00185C1B" w:rsidP="00185C1B">
            <w:pPr>
              <w:spacing w:line="240" w:lineRule="auto"/>
              <w:jc w:val="right"/>
              <w:rPr>
                <w:rFonts w:eastAsia="Times New Roman" w:cs="Calibri"/>
                <w:color w:val="000000"/>
                <w:sz w:val="24"/>
                <w:szCs w:val="24"/>
                <w:lang w:eastAsia="en-GB"/>
              </w:rPr>
            </w:pPr>
            <w:r w:rsidRPr="00185C1B">
              <w:rPr>
                <w:rFonts w:eastAsia="Times New Roman" w:cs="Calibri"/>
                <w:color w:val="000000"/>
                <w:sz w:val="24"/>
                <w:szCs w:val="24"/>
                <w:lang w:eastAsia="en-GB"/>
              </w:rPr>
              <w:t>1.024</w:t>
            </w:r>
          </w:p>
        </w:tc>
        <w:tc>
          <w:tcPr>
            <w:tcW w:w="2800" w:type="dxa"/>
            <w:tcBorders>
              <w:top w:val="nil"/>
              <w:left w:val="nil"/>
              <w:bottom w:val="nil"/>
              <w:right w:val="single" w:sz="4" w:space="0" w:color="auto"/>
            </w:tcBorders>
            <w:shd w:val="clear" w:color="000000" w:fill="FFFFFF"/>
            <w:noWrap/>
            <w:vAlign w:val="bottom"/>
            <w:hideMark/>
          </w:tcPr>
          <w:p w14:paraId="12E53FE9" w14:textId="77777777" w:rsidR="00185C1B" w:rsidRPr="00185C1B" w:rsidRDefault="00185C1B" w:rsidP="00185C1B">
            <w:pPr>
              <w:spacing w:line="240" w:lineRule="auto"/>
              <w:rPr>
                <w:rFonts w:eastAsia="Times New Roman" w:cs="Calibri"/>
                <w:color w:val="000000"/>
                <w:sz w:val="24"/>
                <w:szCs w:val="24"/>
                <w:lang w:eastAsia="en-GB"/>
              </w:rPr>
            </w:pPr>
            <w:r w:rsidRPr="00185C1B">
              <w:rPr>
                <w:rFonts w:eastAsia="Times New Roman" w:cs="Calibri"/>
                <w:color w:val="000000"/>
                <w:sz w:val="24"/>
                <w:szCs w:val="24"/>
                <w:lang w:eastAsia="en-GB"/>
              </w:rPr>
              <w:t>Staff Costs</w:t>
            </w:r>
          </w:p>
        </w:tc>
        <w:tc>
          <w:tcPr>
            <w:tcW w:w="1080" w:type="dxa"/>
            <w:tcBorders>
              <w:top w:val="nil"/>
              <w:left w:val="nil"/>
              <w:bottom w:val="nil"/>
              <w:right w:val="single" w:sz="4" w:space="0" w:color="auto"/>
            </w:tcBorders>
            <w:shd w:val="clear" w:color="000000" w:fill="D9D9D9"/>
            <w:noWrap/>
            <w:vAlign w:val="bottom"/>
            <w:hideMark/>
          </w:tcPr>
          <w:p w14:paraId="7FD19AAB" w14:textId="77777777" w:rsidR="00185C1B" w:rsidRPr="00185C1B" w:rsidRDefault="00185C1B" w:rsidP="00185C1B">
            <w:pPr>
              <w:spacing w:line="240" w:lineRule="auto"/>
              <w:jc w:val="right"/>
              <w:rPr>
                <w:rFonts w:eastAsia="Times New Roman" w:cs="Calibri"/>
                <w:color w:val="000000"/>
                <w:sz w:val="24"/>
                <w:szCs w:val="24"/>
                <w:lang w:eastAsia="en-GB"/>
              </w:rPr>
            </w:pPr>
            <w:r w:rsidRPr="00185C1B">
              <w:rPr>
                <w:rFonts w:eastAsia="Times New Roman" w:cs="Calibri"/>
                <w:color w:val="000000"/>
                <w:sz w:val="24"/>
                <w:szCs w:val="24"/>
                <w:lang w:eastAsia="en-GB"/>
              </w:rPr>
              <w:t>1.162</w:t>
            </w:r>
          </w:p>
        </w:tc>
      </w:tr>
      <w:tr w:rsidR="00185C1B" w:rsidRPr="00185C1B" w14:paraId="22B8B201" w14:textId="77777777" w:rsidTr="00F2188E">
        <w:trPr>
          <w:trHeight w:val="315"/>
        </w:trPr>
        <w:tc>
          <w:tcPr>
            <w:tcW w:w="1080" w:type="dxa"/>
            <w:tcBorders>
              <w:top w:val="nil"/>
              <w:left w:val="single" w:sz="4" w:space="0" w:color="auto"/>
              <w:bottom w:val="nil"/>
              <w:right w:val="single" w:sz="4" w:space="0" w:color="auto"/>
            </w:tcBorders>
            <w:shd w:val="clear" w:color="000000" w:fill="FFFFFF"/>
            <w:noWrap/>
            <w:vAlign w:val="bottom"/>
            <w:hideMark/>
          </w:tcPr>
          <w:p w14:paraId="3292DE02" w14:textId="77777777" w:rsidR="00185C1B" w:rsidRPr="00185C1B" w:rsidRDefault="00185C1B" w:rsidP="00185C1B">
            <w:pPr>
              <w:spacing w:line="240" w:lineRule="auto"/>
              <w:jc w:val="right"/>
              <w:rPr>
                <w:rFonts w:eastAsia="Times New Roman" w:cs="Calibri"/>
                <w:color w:val="000000"/>
                <w:sz w:val="24"/>
                <w:szCs w:val="24"/>
                <w:lang w:eastAsia="en-GB"/>
              </w:rPr>
            </w:pPr>
            <w:r w:rsidRPr="00185C1B">
              <w:rPr>
                <w:rFonts w:eastAsia="Times New Roman" w:cs="Calibri"/>
                <w:color w:val="000000"/>
                <w:sz w:val="24"/>
                <w:szCs w:val="24"/>
                <w:lang w:eastAsia="en-GB"/>
              </w:rPr>
              <w:t>0.293</w:t>
            </w:r>
          </w:p>
        </w:tc>
        <w:tc>
          <w:tcPr>
            <w:tcW w:w="2800" w:type="dxa"/>
            <w:tcBorders>
              <w:top w:val="nil"/>
              <w:left w:val="nil"/>
              <w:bottom w:val="nil"/>
              <w:right w:val="single" w:sz="4" w:space="0" w:color="auto"/>
            </w:tcBorders>
            <w:shd w:val="clear" w:color="000000" w:fill="FFFFFF"/>
            <w:noWrap/>
            <w:vAlign w:val="bottom"/>
            <w:hideMark/>
          </w:tcPr>
          <w:p w14:paraId="475BAE38" w14:textId="77777777" w:rsidR="00185C1B" w:rsidRPr="00185C1B" w:rsidRDefault="00185C1B" w:rsidP="00185C1B">
            <w:pPr>
              <w:spacing w:line="240" w:lineRule="auto"/>
              <w:rPr>
                <w:rFonts w:eastAsia="Times New Roman" w:cs="Calibri"/>
                <w:color w:val="000000"/>
                <w:sz w:val="24"/>
                <w:szCs w:val="24"/>
                <w:lang w:eastAsia="en-GB"/>
              </w:rPr>
            </w:pPr>
            <w:r w:rsidRPr="00185C1B">
              <w:rPr>
                <w:rFonts w:eastAsia="Times New Roman" w:cs="Calibri"/>
                <w:color w:val="000000"/>
                <w:sz w:val="24"/>
                <w:szCs w:val="24"/>
                <w:lang w:eastAsia="en-GB"/>
              </w:rPr>
              <w:t>Other Office Costs</w:t>
            </w:r>
          </w:p>
        </w:tc>
        <w:tc>
          <w:tcPr>
            <w:tcW w:w="1080" w:type="dxa"/>
            <w:tcBorders>
              <w:top w:val="nil"/>
              <w:left w:val="nil"/>
              <w:bottom w:val="nil"/>
              <w:right w:val="single" w:sz="4" w:space="0" w:color="auto"/>
            </w:tcBorders>
            <w:shd w:val="clear" w:color="000000" w:fill="D9D9D9"/>
            <w:noWrap/>
            <w:vAlign w:val="bottom"/>
            <w:hideMark/>
          </w:tcPr>
          <w:p w14:paraId="23377CBA" w14:textId="77777777" w:rsidR="00185C1B" w:rsidRPr="00185C1B" w:rsidRDefault="00185C1B" w:rsidP="00185C1B">
            <w:pPr>
              <w:spacing w:line="240" w:lineRule="auto"/>
              <w:jc w:val="right"/>
              <w:rPr>
                <w:rFonts w:eastAsia="Times New Roman" w:cs="Calibri"/>
                <w:color w:val="000000"/>
                <w:sz w:val="24"/>
                <w:szCs w:val="24"/>
                <w:lang w:eastAsia="en-GB"/>
              </w:rPr>
            </w:pPr>
            <w:r w:rsidRPr="00185C1B">
              <w:rPr>
                <w:rFonts w:eastAsia="Times New Roman" w:cs="Calibri"/>
                <w:color w:val="000000"/>
                <w:sz w:val="24"/>
                <w:szCs w:val="24"/>
                <w:lang w:eastAsia="en-GB"/>
              </w:rPr>
              <w:t>0.262</w:t>
            </w:r>
          </w:p>
        </w:tc>
      </w:tr>
      <w:tr w:rsidR="00185C1B" w:rsidRPr="00185C1B" w14:paraId="5580D3D9" w14:textId="77777777" w:rsidTr="00F2188E">
        <w:trPr>
          <w:trHeight w:val="315"/>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91A050" w14:textId="77777777" w:rsidR="00185C1B" w:rsidRPr="00185C1B" w:rsidRDefault="00185C1B" w:rsidP="00185C1B">
            <w:pPr>
              <w:spacing w:line="240" w:lineRule="auto"/>
              <w:jc w:val="right"/>
              <w:rPr>
                <w:rFonts w:eastAsia="Times New Roman" w:cs="Calibri"/>
                <w:b/>
                <w:bCs/>
                <w:color w:val="000000"/>
                <w:sz w:val="24"/>
                <w:szCs w:val="24"/>
                <w:lang w:eastAsia="en-GB"/>
              </w:rPr>
            </w:pPr>
            <w:r w:rsidRPr="00185C1B">
              <w:rPr>
                <w:rFonts w:eastAsia="Times New Roman" w:cs="Calibri"/>
                <w:b/>
                <w:bCs/>
                <w:color w:val="000000"/>
                <w:sz w:val="24"/>
                <w:szCs w:val="24"/>
                <w:lang w:eastAsia="en-GB"/>
              </w:rPr>
              <w:t>1.317</w:t>
            </w:r>
          </w:p>
        </w:tc>
        <w:tc>
          <w:tcPr>
            <w:tcW w:w="2800" w:type="dxa"/>
            <w:tcBorders>
              <w:top w:val="single" w:sz="4" w:space="0" w:color="auto"/>
              <w:left w:val="nil"/>
              <w:bottom w:val="single" w:sz="4" w:space="0" w:color="auto"/>
              <w:right w:val="single" w:sz="4" w:space="0" w:color="auto"/>
            </w:tcBorders>
            <w:shd w:val="clear" w:color="000000" w:fill="FFFFFF"/>
            <w:noWrap/>
            <w:vAlign w:val="bottom"/>
            <w:hideMark/>
          </w:tcPr>
          <w:p w14:paraId="47BFEFA2" w14:textId="77777777" w:rsidR="00185C1B" w:rsidRPr="00185C1B" w:rsidRDefault="00185C1B" w:rsidP="00185C1B">
            <w:pPr>
              <w:spacing w:line="240" w:lineRule="auto"/>
              <w:rPr>
                <w:rFonts w:eastAsia="Times New Roman" w:cs="Calibri"/>
                <w:b/>
                <w:bCs/>
                <w:color w:val="000000"/>
                <w:sz w:val="24"/>
                <w:szCs w:val="24"/>
                <w:lang w:eastAsia="en-GB"/>
              </w:rPr>
            </w:pPr>
            <w:r w:rsidRPr="00185C1B">
              <w:rPr>
                <w:rFonts w:eastAsia="Times New Roman" w:cs="Calibri"/>
                <w:b/>
                <w:bCs/>
                <w:color w:val="000000"/>
                <w:sz w:val="24"/>
                <w:szCs w:val="24"/>
                <w:lang w:eastAsia="en-GB"/>
              </w:rPr>
              <w:t>Total OPFCC</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14:paraId="2958FA23" w14:textId="77777777" w:rsidR="00185C1B" w:rsidRPr="00185C1B" w:rsidRDefault="00185C1B" w:rsidP="00185C1B">
            <w:pPr>
              <w:spacing w:line="240" w:lineRule="auto"/>
              <w:jc w:val="right"/>
              <w:rPr>
                <w:rFonts w:eastAsia="Times New Roman" w:cs="Calibri"/>
                <w:b/>
                <w:bCs/>
                <w:color w:val="000000"/>
                <w:sz w:val="24"/>
                <w:szCs w:val="24"/>
                <w:lang w:eastAsia="en-GB"/>
              </w:rPr>
            </w:pPr>
            <w:r w:rsidRPr="00185C1B">
              <w:rPr>
                <w:rFonts w:eastAsia="Times New Roman" w:cs="Calibri"/>
                <w:b/>
                <w:bCs/>
                <w:color w:val="000000"/>
                <w:sz w:val="24"/>
                <w:szCs w:val="24"/>
                <w:lang w:eastAsia="en-GB"/>
              </w:rPr>
              <w:t>1.424</w:t>
            </w:r>
          </w:p>
        </w:tc>
      </w:tr>
    </w:tbl>
    <w:p w14:paraId="1101E092" w14:textId="77777777" w:rsidR="0074315C" w:rsidRPr="00A81E04" w:rsidRDefault="0074315C" w:rsidP="0074315C">
      <w:pPr>
        <w:pStyle w:val="NoSpacing"/>
        <w:rPr>
          <w:highlight w:val="yellow"/>
        </w:rPr>
      </w:pPr>
    </w:p>
    <w:p w14:paraId="66F1BE26" w14:textId="4E67A745" w:rsidR="001E64A9" w:rsidRPr="00F2188E" w:rsidRDefault="00A1250A" w:rsidP="00FE5CC0">
      <w:pPr>
        <w:pStyle w:val="PanelPara"/>
      </w:pPr>
      <w:r w:rsidRPr="00F2188E">
        <w:t>The PFCC endeavour</w:t>
      </w:r>
      <w:r w:rsidR="00F2188E" w:rsidRPr="00F2188E">
        <w:t>s</w:t>
      </w:r>
      <w:r w:rsidRPr="00F2188E">
        <w:t xml:space="preserve"> to ensure that the cost of staffing </w:t>
      </w:r>
      <w:r w:rsidR="00F2188E" w:rsidRPr="00F2188E">
        <w:t>the</w:t>
      </w:r>
      <w:r w:rsidRPr="00F2188E">
        <w:t xml:space="preserve"> office is less than 1% of the </w:t>
      </w:r>
      <w:r w:rsidR="005A78E0" w:rsidRPr="00F2188E">
        <w:t xml:space="preserve">police </w:t>
      </w:r>
      <w:r w:rsidRPr="00F2188E">
        <w:t xml:space="preserve">budget. </w:t>
      </w:r>
      <w:r w:rsidR="00FE5CC0" w:rsidRPr="00F2188E">
        <w:t xml:space="preserve"> </w:t>
      </w:r>
      <w:r w:rsidR="00F2188E" w:rsidRPr="00F2188E">
        <w:t xml:space="preserve">In 2025/26, the office budget is </w:t>
      </w:r>
      <w:r w:rsidRPr="00F2188E">
        <w:t xml:space="preserve">approximately </w:t>
      </w:r>
      <w:r w:rsidRPr="00F2188E">
        <w:rPr>
          <w:b/>
          <w:bCs/>
        </w:rPr>
        <w:t>0.</w:t>
      </w:r>
      <w:r w:rsidR="00714120">
        <w:rPr>
          <w:b/>
          <w:bCs/>
        </w:rPr>
        <w:t>7</w:t>
      </w:r>
      <w:r w:rsidRPr="00F2188E">
        <w:rPr>
          <w:b/>
          <w:bCs/>
        </w:rPr>
        <w:t>%</w:t>
      </w:r>
      <w:r w:rsidRPr="00F2188E">
        <w:t xml:space="preserve"> of the total </w:t>
      </w:r>
      <w:r w:rsidR="009E47D7" w:rsidRPr="00F2188E">
        <w:t>police</w:t>
      </w:r>
      <w:r w:rsidRPr="00F2188E">
        <w:t xml:space="preserve"> budget.</w:t>
      </w:r>
    </w:p>
    <w:p w14:paraId="4907506E" w14:textId="5772854C" w:rsidR="001D0E11" w:rsidRDefault="001E64A9" w:rsidP="0035748F">
      <w:pPr>
        <w:pStyle w:val="PanelPara"/>
      </w:pPr>
      <w:r w:rsidRPr="00F2188E">
        <w:t>The OPFCC provides statutory governance services to NCFRA</w:t>
      </w:r>
      <w:r w:rsidR="00FE5CC0" w:rsidRPr="00F2188E">
        <w:t xml:space="preserve"> </w:t>
      </w:r>
      <w:r w:rsidR="00F2188E" w:rsidRPr="00F2188E">
        <w:t xml:space="preserve">(Fire) </w:t>
      </w:r>
      <w:r w:rsidR="00FE5CC0" w:rsidRPr="00F2188E">
        <w:t>and has a costing methodology in place to ensure NCFRA contributes an appropriate amount</w:t>
      </w:r>
      <w:r w:rsidRPr="00F2188E">
        <w:t xml:space="preserve">. </w:t>
      </w:r>
      <w:r w:rsidR="00FE5CC0" w:rsidRPr="00F2188E">
        <w:t xml:space="preserve"> </w:t>
      </w:r>
      <w:r w:rsidRPr="00F2188E">
        <w:t>In</w:t>
      </w:r>
      <w:r w:rsidR="00FE5CC0" w:rsidRPr="00F2188E">
        <w:t>-</w:t>
      </w:r>
      <w:r w:rsidRPr="00F2188E">
        <w:t>keeping with the Home Office Financial Management Code of Practice; where Fire costs can be reasonably estimated, they have been</w:t>
      </w:r>
      <w:r w:rsidR="00B02BB4" w:rsidRPr="00F2188E">
        <w:t xml:space="preserve">. </w:t>
      </w:r>
      <w:r w:rsidR="00FE5CC0" w:rsidRPr="00F2188E">
        <w:t xml:space="preserve"> </w:t>
      </w:r>
      <w:r w:rsidR="00B02BB4" w:rsidRPr="00F2188E">
        <w:t>O</w:t>
      </w:r>
      <w:r w:rsidRPr="00F2188E">
        <w:t xml:space="preserve">therwise, a pro-rata funding allocation has been used, to ensure integrity and transparency of both </w:t>
      </w:r>
      <w:r w:rsidR="002E221A" w:rsidRPr="00F2188E">
        <w:t>f</w:t>
      </w:r>
      <w:r w:rsidRPr="00F2188E">
        <w:t>ire and policing funds in line with the Treasury’s “Managing Public Money” requirements.</w:t>
      </w:r>
    </w:p>
    <w:p w14:paraId="68A8CBC1" w14:textId="77777777" w:rsidR="00E6098A" w:rsidRPr="00F2188E" w:rsidRDefault="00E6098A" w:rsidP="00AE75DF"/>
    <w:p w14:paraId="5EC38C46" w14:textId="6E87D9A8" w:rsidR="000E5161" w:rsidRPr="001540F5" w:rsidRDefault="00FC4407" w:rsidP="000952E6">
      <w:pPr>
        <w:pStyle w:val="PanelHeading"/>
      </w:pPr>
      <w:r w:rsidRPr="001540F5">
        <w:t>POLICE, FIRE AND CRIME COMMISSIONER – COMMISSIONING AND DELIVERY BUDGETS</w:t>
      </w:r>
    </w:p>
    <w:p w14:paraId="0B3CE711" w14:textId="58953660" w:rsidR="00E6098A" w:rsidRDefault="00E6098A" w:rsidP="00E6098A">
      <w:pPr>
        <w:pStyle w:val="PanelPara"/>
      </w:pPr>
      <w:r w:rsidRPr="00E6098A">
        <w:t xml:space="preserve">The OPFCC undertake a wide range of delivery activities, providing </w:t>
      </w:r>
      <w:r>
        <w:t xml:space="preserve">in-house </w:t>
      </w:r>
      <w:r w:rsidRPr="00E6098A">
        <w:t>services directly to residents of Northamptonshire</w:t>
      </w:r>
      <w:r>
        <w:t xml:space="preserve"> and </w:t>
      </w:r>
      <w:r w:rsidRPr="00E6098A">
        <w:t>commission</w:t>
      </w:r>
      <w:r>
        <w:t>ing</w:t>
      </w:r>
      <w:r w:rsidRPr="00E6098A">
        <w:t xml:space="preserve"> services from partners and other organisations.</w:t>
      </w:r>
      <w:r>
        <w:t xml:space="preserve">  The budget breakdown compared to last year is as follows:</w:t>
      </w:r>
    </w:p>
    <w:p w14:paraId="484C2E05" w14:textId="77777777" w:rsidR="00AE75DF" w:rsidRDefault="00AE75DF" w:rsidP="00AE75DF">
      <w:pPr>
        <w:pStyle w:val="PanelPara"/>
        <w:numPr>
          <w:ilvl w:val="0"/>
          <w:numId w:val="0"/>
        </w:numPr>
        <w:ind w:left="567" w:hanging="567"/>
      </w:pPr>
    </w:p>
    <w:p w14:paraId="4A55D1E3" w14:textId="77777777" w:rsidR="00AE75DF" w:rsidRDefault="00AE75DF" w:rsidP="00AE75DF">
      <w:pPr>
        <w:pStyle w:val="PanelPara"/>
        <w:numPr>
          <w:ilvl w:val="0"/>
          <w:numId w:val="0"/>
        </w:numPr>
        <w:ind w:left="567" w:hanging="567"/>
      </w:pPr>
    </w:p>
    <w:p w14:paraId="1AFD1BC4" w14:textId="77777777" w:rsidR="00AE75DF" w:rsidRDefault="00AE75DF" w:rsidP="00AE75DF">
      <w:pPr>
        <w:pStyle w:val="PanelPara"/>
        <w:numPr>
          <w:ilvl w:val="0"/>
          <w:numId w:val="0"/>
        </w:numPr>
        <w:ind w:left="567" w:hanging="567"/>
      </w:pPr>
    </w:p>
    <w:p w14:paraId="6B0F5E85" w14:textId="77777777" w:rsidR="00AE75DF" w:rsidRPr="00E6098A" w:rsidRDefault="00AE75DF" w:rsidP="00AE75DF">
      <w:pPr>
        <w:pStyle w:val="PanelPara"/>
        <w:numPr>
          <w:ilvl w:val="0"/>
          <w:numId w:val="0"/>
        </w:numPr>
        <w:ind w:left="567" w:hanging="567"/>
      </w:pPr>
    </w:p>
    <w:tbl>
      <w:tblPr>
        <w:tblW w:w="9214" w:type="dxa"/>
        <w:tblInd w:w="562" w:type="dxa"/>
        <w:tblLook w:val="04A0" w:firstRow="1" w:lastRow="0" w:firstColumn="1" w:lastColumn="0" w:noHBand="0" w:noVBand="1"/>
      </w:tblPr>
      <w:tblGrid>
        <w:gridCol w:w="866"/>
        <w:gridCol w:w="856"/>
        <w:gridCol w:w="830"/>
        <w:gridCol w:w="4080"/>
        <w:gridCol w:w="866"/>
        <w:gridCol w:w="878"/>
        <w:gridCol w:w="838"/>
      </w:tblGrid>
      <w:tr w:rsidR="00E6098A" w:rsidRPr="00E6098A" w14:paraId="601128F6" w14:textId="77777777" w:rsidTr="00E6098A">
        <w:trPr>
          <w:trHeight w:val="300"/>
        </w:trPr>
        <w:tc>
          <w:tcPr>
            <w:tcW w:w="2552" w:type="dxa"/>
            <w:gridSpan w:val="3"/>
            <w:tcBorders>
              <w:top w:val="single" w:sz="4" w:space="0" w:color="auto"/>
              <w:left w:val="single" w:sz="4" w:space="0" w:color="auto"/>
              <w:bottom w:val="nil"/>
              <w:right w:val="nil"/>
            </w:tcBorders>
            <w:shd w:val="clear" w:color="000000" w:fill="FFFFFF"/>
            <w:noWrap/>
            <w:vAlign w:val="bottom"/>
            <w:hideMark/>
          </w:tcPr>
          <w:p w14:paraId="67BDCBF3"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2024/25</w:t>
            </w:r>
          </w:p>
        </w:tc>
        <w:tc>
          <w:tcPr>
            <w:tcW w:w="4080" w:type="dxa"/>
            <w:tcBorders>
              <w:top w:val="single" w:sz="4" w:space="0" w:color="auto"/>
              <w:left w:val="single" w:sz="4" w:space="0" w:color="auto"/>
              <w:bottom w:val="nil"/>
              <w:right w:val="single" w:sz="4" w:space="0" w:color="auto"/>
            </w:tcBorders>
            <w:shd w:val="clear" w:color="000000" w:fill="FFFFFF"/>
            <w:noWrap/>
            <w:vAlign w:val="bottom"/>
            <w:hideMark/>
          </w:tcPr>
          <w:p w14:paraId="77460D14"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Delivery and Commissioning Budgets</w:t>
            </w:r>
          </w:p>
        </w:tc>
        <w:tc>
          <w:tcPr>
            <w:tcW w:w="2582" w:type="dxa"/>
            <w:gridSpan w:val="3"/>
            <w:tcBorders>
              <w:top w:val="single" w:sz="4" w:space="0" w:color="auto"/>
              <w:left w:val="nil"/>
              <w:bottom w:val="nil"/>
              <w:right w:val="single" w:sz="4" w:space="0" w:color="000000"/>
            </w:tcBorders>
            <w:shd w:val="clear" w:color="000000" w:fill="D9D9D9"/>
            <w:noWrap/>
            <w:vAlign w:val="bottom"/>
            <w:hideMark/>
          </w:tcPr>
          <w:p w14:paraId="5570B65E"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2025/26</w:t>
            </w:r>
          </w:p>
        </w:tc>
      </w:tr>
      <w:tr w:rsidR="00E6098A" w:rsidRPr="00E6098A" w14:paraId="7F2A2FC1" w14:textId="77777777" w:rsidTr="00E6098A">
        <w:trPr>
          <w:trHeight w:val="525"/>
        </w:trPr>
        <w:tc>
          <w:tcPr>
            <w:tcW w:w="866" w:type="dxa"/>
            <w:tcBorders>
              <w:top w:val="single" w:sz="4" w:space="0" w:color="auto"/>
              <w:left w:val="single" w:sz="4" w:space="0" w:color="auto"/>
              <w:bottom w:val="nil"/>
              <w:right w:val="nil"/>
            </w:tcBorders>
            <w:shd w:val="clear" w:color="000000" w:fill="FFFFFF"/>
            <w:noWrap/>
            <w:vAlign w:val="bottom"/>
            <w:hideMark/>
          </w:tcPr>
          <w:p w14:paraId="0D5D4607"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Budget</w:t>
            </w:r>
          </w:p>
        </w:tc>
        <w:tc>
          <w:tcPr>
            <w:tcW w:w="856" w:type="dxa"/>
            <w:tcBorders>
              <w:top w:val="single" w:sz="4" w:space="0" w:color="auto"/>
              <w:left w:val="single" w:sz="4" w:space="0" w:color="auto"/>
              <w:bottom w:val="nil"/>
              <w:right w:val="single" w:sz="4" w:space="0" w:color="auto"/>
            </w:tcBorders>
            <w:shd w:val="clear" w:color="000000" w:fill="FFFFFF"/>
            <w:vAlign w:val="bottom"/>
            <w:hideMark/>
          </w:tcPr>
          <w:p w14:paraId="4E543A28"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Grants/ Income</w:t>
            </w:r>
          </w:p>
        </w:tc>
        <w:tc>
          <w:tcPr>
            <w:tcW w:w="830" w:type="dxa"/>
            <w:tcBorders>
              <w:top w:val="single" w:sz="4" w:space="0" w:color="auto"/>
              <w:left w:val="nil"/>
              <w:bottom w:val="nil"/>
              <w:right w:val="nil"/>
            </w:tcBorders>
            <w:shd w:val="clear" w:color="000000" w:fill="FFFFFF"/>
            <w:noWrap/>
            <w:vAlign w:val="bottom"/>
            <w:hideMark/>
          </w:tcPr>
          <w:p w14:paraId="1047F28A"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Net</w:t>
            </w:r>
          </w:p>
        </w:tc>
        <w:tc>
          <w:tcPr>
            <w:tcW w:w="4080" w:type="dxa"/>
            <w:tcBorders>
              <w:top w:val="nil"/>
              <w:left w:val="single" w:sz="4" w:space="0" w:color="auto"/>
              <w:bottom w:val="nil"/>
              <w:right w:val="single" w:sz="4" w:space="0" w:color="auto"/>
            </w:tcBorders>
            <w:shd w:val="clear" w:color="000000" w:fill="FFFFFF"/>
            <w:noWrap/>
            <w:vAlign w:val="bottom"/>
            <w:hideMark/>
          </w:tcPr>
          <w:p w14:paraId="33306217"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 </w:t>
            </w:r>
          </w:p>
        </w:tc>
        <w:tc>
          <w:tcPr>
            <w:tcW w:w="866" w:type="dxa"/>
            <w:tcBorders>
              <w:top w:val="single" w:sz="4" w:space="0" w:color="auto"/>
              <w:left w:val="nil"/>
              <w:bottom w:val="nil"/>
              <w:right w:val="nil"/>
            </w:tcBorders>
            <w:shd w:val="clear" w:color="000000" w:fill="D9D9D9"/>
            <w:noWrap/>
            <w:vAlign w:val="bottom"/>
            <w:hideMark/>
          </w:tcPr>
          <w:p w14:paraId="622FCA8B"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Budget</w:t>
            </w:r>
          </w:p>
        </w:tc>
        <w:tc>
          <w:tcPr>
            <w:tcW w:w="878" w:type="dxa"/>
            <w:tcBorders>
              <w:top w:val="single" w:sz="4" w:space="0" w:color="auto"/>
              <w:left w:val="single" w:sz="4" w:space="0" w:color="auto"/>
              <w:bottom w:val="nil"/>
              <w:right w:val="single" w:sz="4" w:space="0" w:color="auto"/>
            </w:tcBorders>
            <w:shd w:val="clear" w:color="000000" w:fill="D9D9D9"/>
            <w:vAlign w:val="bottom"/>
            <w:hideMark/>
          </w:tcPr>
          <w:p w14:paraId="5E7A2D8E"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Grants/ Income</w:t>
            </w:r>
          </w:p>
        </w:tc>
        <w:tc>
          <w:tcPr>
            <w:tcW w:w="838" w:type="dxa"/>
            <w:tcBorders>
              <w:top w:val="single" w:sz="4" w:space="0" w:color="auto"/>
              <w:left w:val="nil"/>
              <w:bottom w:val="nil"/>
              <w:right w:val="single" w:sz="4" w:space="0" w:color="auto"/>
            </w:tcBorders>
            <w:shd w:val="clear" w:color="000000" w:fill="D9D9D9"/>
            <w:noWrap/>
            <w:vAlign w:val="bottom"/>
            <w:hideMark/>
          </w:tcPr>
          <w:p w14:paraId="1032927B"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Net</w:t>
            </w:r>
          </w:p>
        </w:tc>
      </w:tr>
      <w:tr w:rsidR="00E6098A" w:rsidRPr="00E6098A" w14:paraId="55A8B8D0" w14:textId="77777777" w:rsidTr="00E6098A">
        <w:trPr>
          <w:trHeight w:val="300"/>
        </w:trPr>
        <w:tc>
          <w:tcPr>
            <w:tcW w:w="866" w:type="dxa"/>
            <w:tcBorders>
              <w:top w:val="nil"/>
              <w:left w:val="single" w:sz="4" w:space="0" w:color="auto"/>
              <w:bottom w:val="single" w:sz="4" w:space="0" w:color="auto"/>
              <w:right w:val="nil"/>
            </w:tcBorders>
            <w:shd w:val="clear" w:color="000000" w:fill="FFFFFF"/>
            <w:noWrap/>
            <w:vAlign w:val="bottom"/>
            <w:hideMark/>
          </w:tcPr>
          <w:p w14:paraId="1076EC5D"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£m</w:t>
            </w:r>
          </w:p>
        </w:tc>
        <w:tc>
          <w:tcPr>
            <w:tcW w:w="856" w:type="dxa"/>
            <w:tcBorders>
              <w:top w:val="nil"/>
              <w:left w:val="single" w:sz="4" w:space="0" w:color="auto"/>
              <w:bottom w:val="single" w:sz="4" w:space="0" w:color="auto"/>
              <w:right w:val="single" w:sz="4" w:space="0" w:color="auto"/>
            </w:tcBorders>
            <w:shd w:val="clear" w:color="000000" w:fill="FFFFFF"/>
            <w:noWrap/>
            <w:vAlign w:val="bottom"/>
            <w:hideMark/>
          </w:tcPr>
          <w:p w14:paraId="3D5658F8"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£m</w:t>
            </w:r>
          </w:p>
        </w:tc>
        <w:tc>
          <w:tcPr>
            <w:tcW w:w="830" w:type="dxa"/>
            <w:tcBorders>
              <w:top w:val="nil"/>
              <w:left w:val="nil"/>
              <w:bottom w:val="single" w:sz="4" w:space="0" w:color="auto"/>
              <w:right w:val="nil"/>
            </w:tcBorders>
            <w:shd w:val="clear" w:color="000000" w:fill="FFFFFF"/>
            <w:noWrap/>
            <w:vAlign w:val="bottom"/>
            <w:hideMark/>
          </w:tcPr>
          <w:p w14:paraId="349FE9E0"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£m</w:t>
            </w:r>
          </w:p>
        </w:tc>
        <w:tc>
          <w:tcPr>
            <w:tcW w:w="4080" w:type="dxa"/>
            <w:tcBorders>
              <w:top w:val="nil"/>
              <w:left w:val="single" w:sz="4" w:space="0" w:color="auto"/>
              <w:bottom w:val="single" w:sz="4" w:space="0" w:color="auto"/>
              <w:right w:val="single" w:sz="4" w:space="0" w:color="auto"/>
            </w:tcBorders>
            <w:shd w:val="clear" w:color="000000" w:fill="FFFFFF"/>
            <w:noWrap/>
            <w:vAlign w:val="bottom"/>
            <w:hideMark/>
          </w:tcPr>
          <w:p w14:paraId="75DC10A9"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 </w:t>
            </w:r>
          </w:p>
        </w:tc>
        <w:tc>
          <w:tcPr>
            <w:tcW w:w="866" w:type="dxa"/>
            <w:tcBorders>
              <w:top w:val="nil"/>
              <w:left w:val="nil"/>
              <w:bottom w:val="single" w:sz="4" w:space="0" w:color="auto"/>
              <w:right w:val="nil"/>
            </w:tcBorders>
            <w:shd w:val="clear" w:color="000000" w:fill="D9D9D9"/>
            <w:noWrap/>
            <w:vAlign w:val="bottom"/>
            <w:hideMark/>
          </w:tcPr>
          <w:p w14:paraId="16781EE1"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£m</w:t>
            </w:r>
          </w:p>
        </w:tc>
        <w:tc>
          <w:tcPr>
            <w:tcW w:w="878" w:type="dxa"/>
            <w:tcBorders>
              <w:top w:val="nil"/>
              <w:left w:val="single" w:sz="4" w:space="0" w:color="auto"/>
              <w:bottom w:val="single" w:sz="4" w:space="0" w:color="auto"/>
              <w:right w:val="single" w:sz="4" w:space="0" w:color="auto"/>
            </w:tcBorders>
            <w:shd w:val="clear" w:color="000000" w:fill="D9D9D9"/>
            <w:noWrap/>
            <w:vAlign w:val="bottom"/>
            <w:hideMark/>
          </w:tcPr>
          <w:p w14:paraId="19455E67"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£m</w:t>
            </w:r>
          </w:p>
        </w:tc>
        <w:tc>
          <w:tcPr>
            <w:tcW w:w="838" w:type="dxa"/>
            <w:tcBorders>
              <w:top w:val="nil"/>
              <w:left w:val="nil"/>
              <w:bottom w:val="single" w:sz="4" w:space="0" w:color="auto"/>
              <w:right w:val="single" w:sz="4" w:space="0" w:color="auto"/>
            </w:tcBorders>
            <w:shd w:val="clear" w:color="000000" w:fill="D9D9D9"/>
            <w:noWrap/>
            <w:vAlign w:val="bottom"/>
            <w:hideMark/>
          </w:tcPr>
          <w:p w14:paraId="154365E5" w14:textId="77777777" w:rsidR="00E6098A" w:rsidRPr="00E6098A" w:rsidRDefault="00E6098A" w:rsidP="00E6098A">
            <w:pPr>
              <w:spacing w:line="240" w:lineRule="auto"/>
              <w:jc w:val="center"/>
              <w:rPr>
                <w:rFonts w:eastAsia="Times New Roman" w:cs="Calibri"/>
                <w:b/>
                <w:bCs/>
                <w:color w:val="000000"/>
                <w:sz w:val="20"/>
                <w:szCs w:val="20"/>
                <w:lang w:eastAsia="en-GB"/>
              </w:rPr>
            </w:pPr>
            <w:r w:rsidRPr="00E6098A">
              <w:rPr>
                <w:rFonts w:eastAsia="Times New Roman" w:cs="Calibri"/>
                <w:b/>
                <w:bCs/>
                <w:color w:val="000000"/>
                <w:sz w:val="20"/>
                <w:szCs w:val="20"/>
                <w:lang w:eastAsia="en-GB"/>
              </w:rPr>
              <w:t>£m</w:t>
            </w:r>
          </w:p>
        </w:tc>
      </w:tr>
      <w:tr w:rsidR="00E6098A" w:rsidRPr="00E6098A" w14:paraId="031E00A1" w14:textId="77777777" w:rsidTr="00E6098A">
        <w:trPr>
          <w:trHeight w:val="300"/>
        </w:trPr>
        <w:tc>
          <w:tcPr>
            <w:tcW w:w="866" w:type="dxa"/>
            <w:tcBorders>
              <w:top w:val="nil"/>
              <w:left w:val="single" w:sz="4" w:space="0" w:color="auto"/>
              <w:bottom w:val="nil"/>
              <w:right w:val="nil"/>
            </w:tcBorders>
            <w:shd w:val="clear" w:color="000000" w:fill="FFFFFF"/>
            <w:noWrap/>
            <w:vAlign w:val="bottom"/>
            <w:hideMark/>
          </w:tcPr>
          <w:p w14:paraId="44C6ED5C"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0.100</w:t>
            </w:r>
          </w:p>
        </w:tc>
        <w:tc>
          <w:tcPr>
            <w:tcW w:w="856" w:type="dxa"/>
            <w:tcBorders>
              <w:top w:val="nil"/>
              <w:left w:val="single" w:sz="4" w:space="0" w:color="auto"/>
              <w:bottom w:val="nil"/>
              <w:right w:val="single" w:sz="4" w:space="0" w:color="auto"/>
            </w:tcBorders>
            <w:shd w:val="clear" w:color="000000" w:fill="FFFFFF"/>
            <w:noWrap/>
            <w:vAlign w:val="bottom"/>
            <w:hideMark/>
          </w:tcPr>
          <w:p w14:paraId="1E8CCE8C"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(0.100)</w:t>
            </w:r>
          </w:p>
        </w:tc>
        <w:tc>
          <w:tcPr>
            <w:tcW w:w="830" w:type="dxa"/>
            <w:tcBorders>
              <w:top w:val="nil"/>
              <w:left w:val="nil"/>
              <w:bottom w:val="nil"/>
              <w:right w:val="nil"/>
            </w:tcBorders>
            <w:shd w:val="clear" w:color="000000" w:fill="FFFFFF"/>
            <w:noWrap/>
            <w:vAlign w:val="bottom"/>
            <w:hideMark/>
          </w:tcPr>
          <w:p w14:paraId="1ADC8875"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0.000</w:t>
            </w:r>
          </w:p>
        </w:tc>
        <w:tc>
          <w:tcPr>
            <w:tcW w:w="4080" w:type="dxa"/>
            <w:tcBorders>
              <w:top w:val="nil"/>
              <w:left w:val="single" w:sz="4" w:space="0" w:color="auto"/>
              <w:bottom w:val="nil"/>
              <w:right w:val="single" w:sz="4" w:space="0" w:color="auto"/>
            </w:tcBorders>
            <w:shd w:val="clear" w:color="000000" w:fill="FFFFFF"/>
            <w:noWrap/>
            <w:vAlign w:val="bottom"/>
            <w:hideMark/>
          </w:tcPr>
          <w:p w14:paraId="196BC1CE"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Commissioning</w:t>
            </w:r>
          </w:p>
        </w:tc>
        <w:tc>
          <w:tcPr>
            <w:tcW w:w="866" w:type="dxa"/>
            <w:tcBorders>
              <w:top w:val="nil"/>
              <w:left w:val="nil"/>
              <w:bottom w:val="nil"/>
              <w:right w:val="nil"/>
            </w:tcBorders>
            <w:shd w:val="clear" w:color="000000" w:fill="D9D9D9"/>
            <w:noWrap/>
            <w:vAlign w:val="bottom"/>
            <w:hideMark/>
          </w:tcPr>
          <w:p w14:paraId="55F6B262"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0.100</w:t>
            </w:r>
          </w:p>
        </w:tc>
        <w:tc>
          <w:tcPr>
            <w:tcW w:w="878" w:type="dxa"/>
            <w:tcBorders>
              <w:top w:val="nil"/>
              <w:left w:val="single" w:sz="4" w:space="0" w:color="auto"/>
              <w:bottom w:val="nil"/>
              <w:right w:val="single" w:sz="4" w:space="0" w:color="auto"/>
            </w:tcBorders>
            <w:shd w:val="clear" w:color="000000" w:fill="D9D9D9"/>
            <w:noWrap/>
            <w:vAlign w:val="bottom"/>
            <w:hideMark/>
          </w:tcPr>
          <w:p w14:paraId="74263C6E"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(0.100)</w:t>
            </w:r>
          </w:p>
        </w:tc>
        <w:tc>
          <w:tcPr>
            <w:tcW w:w="838" w:type="dxa"/>
            <w:tcBorders>
              <w:top w:val="nil"/>
              <w:left w:val="nil"/>
              <w:bottom w:val="nil"/>
              <w:right w:val="single" w:sz="4" w:space="0" w:color="auto"/>
            </w:tcBorders>
            <w:shd w:val="clear" w:color="000000" w:fill="D9D9D9"/>
            <w:noWrap/>
            <w:vAlign w:val="bottom"/>
            <w:hideMark/>
          </w:tcPr>
          <w:p w14:paraId="79E93833"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0.000</w:t>
            </w:r>
          </w:p>
        </w:tc>
      </w:tr>
      <w:tr w:rsidR="00E6098A" w:rsidRPr="00E6098A" w14:paraId="47047062" w14:textId="77777777" w:rsidTr="00E6098A">
        <w:trPr>
          <w:trHeight w:val="300"/>
        </w:trPr>
        <w:tc>
          <w:tcPr>
            <w:tcW w:w="866" w:type="dxa"/>
            <w:tcBorders>
              <w:top w:val="nil"/>
              <w:left w:val="single" w:sz="4" w:space="0" w:color="auto"/>
              <w:bottom w:val="nil"/>
              <w:right w:val="nil"/>
            </w:tcBorders>
            <w:shd w:val="clear" w:color="000000" w:fill="FFFFFF"/>
            <w:noWrap/>
            <w:vAlign w:val="bottom"/>
            <w:hideMark/>
          </w:tcPr>
          <w:p w14:paraId="310ADCF5"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3.050</w:t>
            </w:r>
          </w:p>
        </w:tc>
        <w:tc>
          <w:tcPr>
            <w:tcW w:w="856" w:type="dxa"/>
            <w:tcBorders>
              <w:top w:val="nil"/>
              <w:left w:val="single" w:sz="4" w:space="0" w:color="auto"/>
              <w:bottom w:val="nil"/>
              <w:right w:val="single" w:sz="4" w:space="0" w:color="auto"/>
            </w:tcBorders>
            <w:shd w:val="clear" w:color="000000" w:fill="FFFFFF"/>
            <w:noWrap/>
            <w:vAlign w:val="bottom"/>
            <w:hideMark/>
          </w:tcPr>
          <w:p w14:paraId="08CB6CE4"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(1.440)</w:t>
            </w:r>
          </w:p>
        </w:tc>
        <w:tc>
          <w:tcPr>
            <w:tcW w:w="830" w:type="dxa"/>
            <w:tcBorders>
              <w:top w:val="nil"/>
              <w:left w:val="nil"/>
              <w:bottom w:val="nil"/>
              <w:right w:val="nil"/>
            </w:tcBorders>
            <w:shd w:val="clear" w:color="000000" w:fill="FFFFFF"/>
            <w:noWrap/>
            <w:vAlign w:val="bottom"/>
            <w:hideMark/>
          </w:tcPr>
          <w:p w14:paraId="7F1D0EB0"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1.610</w:t>
            </w:r>
          </w:p>
        </w:tc>
        <w:tc>
          <w:tcPr>
            <w:tcW w:w="4080" w:type="dxa"/>
            <w:tcBorders>
              <w:top w:val="nil"/>
              <w:left w:val="single" w:sz="4" w:space="0" w:color="auto"/>
              <w:bottom w:val="nil"/>
              <w:right w:val="single" w:sz="4" w:space="0" w:color="auto"/>
            </w:tcBorders>
            <w:shd w:val="clear" w:color="000000" w:fill="FFFFFF"/>
            <w:noWrap/>
            <w:vAlign w:val="bottom"/>
            <w:hideMark/>
          </w:tcPr>
          <w:p w14:paraId="18C9680E"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Victims, Witnesses, Domestic Violence Support</w:t>
            </w:r>
          </w:p>
        </w:tc>
        <w:tc>
          <w:tcPr>
            <w:tcW w:w="866" w:type="dxa"/>
            <w:tcBorders>
              <w:top w:val="nil"/>
              <w:left w:val="nil"/>
              <w:bottom w:val="nil"/>
              <w:right w:val="nil"/>
            </w:tcBorders>
            <w:shd w:val="clear" w:color="000000" w:fill="D9D9D9"/>
            <w:noWrap/>
            <w:vAlign w:val="bottom"/>
            <w:hideMark/>
          </w:tcPr>
          <w:p w14:paraId="01A9AD24"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2.680</w:t>
            </w:r>
          </w:p>
        </w:tc>
        <w:tc>
          <w:tcPr>
            <w:tcW w:w="878" w:type="dxa"/>
            <w:tcBorders>
              <w:top w:val="nil"/>
              <w:left w:val="single" w:sz="4" w:space="0" w:color="auto"/>
              <w:bottom w:val="nil"/>
              <w:right w:val="single" w:sz="4" w:space="0" w:color="auto"/>
            </w:tcBorders>
            <w:shd w:val="clear" w:color="000000" w:fill="D9D9D9"/>
            <w:noWrap/>
            <w:vAlign w:val="bottom"/>
            <w:hideMark/>
          </w:tcPr>
          <w:p w14:paraId="6563FF90"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(1.301)</w:t>
            </w:r>
          </w:p>
        </w:tc>
        <w:tc>
          <w:tcPr>
            <w:tcW w:w="838" w:type="dxa"/>
            <w:tcBorders>
              <w:top w:val="nil"/>
              <w:left w:val="nil"/>
              <w:bottom w:val="nil"/>
              <w:right w:val="single" w:sz="4" w:space="0" w:color="auto"/>
            </w:tcBorders>
            <w:shd w:val="clear" w:color="000000" w:fill="D9D9D9"/>
            <w:noWrap/>
            <w:vAlign w:val="bottom"/>
            <w:hideMark/>
          </w:tcPr>
          <w:p w14:paraId="48502E13"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1.379</w:t>
            </w:r>
          </w:p>
        </w:tc>
      </w:tr>
      <w:tr w:rsidR="00E6098A" w:rsidRPr="00E6098A" w14:paraId="7142834B" w14:textId="77777777" w:rsidTr="00E6098A">
        <w:trPr>
          <w:trHeight w:val="300"/>
        </w:trPr>
        <w:tc>
          <w:tcPr>
            <w:tcW w:w="866" w:type="dxa"/>
            <w:tcBorders>
              <w:top w:val="nil"/>
              <w:left w:val="single" w:sz="4" w:space="0" w:color="auto"/>
              <w:bottom w:val="nil"/>
              <w:right w:val="nil"/>
            </w:tcBorders>
            <w:shd w:val="clear" w:color="000000" w:fill="FFFFFF"/>
            <w:noWrap/>
            <w:vAlign w:val="bottom"/>
            <w:hideMark/>
          </w:tcPr>
          <w:p w14:paraId="10584582"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0.099</w:t>
            </w:r>
          </w:p>
        </w:tc>
        <w:tc>
          <w:tcPr>
            <w:tcW w:w="856" w:type="dxa"/>
            <w:tcBorders>
              <w:top w:val="nil"/>
              <w:left w:val="single" w:sz="4" w:space="0" w:color="auto"/>
              <w:bottom w:val="nil"/>
              <w:right w:val="single" w:sz="4" w:space="0" w:color="auto"/>
            </w:tcBorders>
            <w:shd w:val="clear" w:color="000000" w:fill="FFFFFF"/>
            <w:noWrap/>
            <w:vAlign w:val="bottom"/>
            <w:hideMark/>
          </w:tcPr>
          <w:p w14:paraId="256F40E7"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 </w:t>
            </w:r>
          </w:p>
        </w:tc>
        <w:tc>
          <w:tcPr>
            <w:tcW w:w="830" w:type="dxa"/>
            <w:tcBorders>
              <w:top w:val="nil"/>
              <w:left w:val="nil"/>
              <w:bottom w:val="nil"/>
              <w:right w:val="nil"/>
            </w:tcBorders>
            <w:shd w:val="clear" w:color="000000" w:fill="FFFFFF"/>
            <w:noWrap/>
            <w:vAlign w:val="bottom"/>
            <w:hideMark/>
          </w:tcPr>
          <w:p w14:paraId="3819ABFE"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0.099</w:t>
            </w:r>
          </w:p>
        </w:tc>
        <w:tc>
          <w:tcPr>
            <w:tcW w:w="4080" w:type="dxa"/>
            <w:tcBorders>
              <w:top w:val="nil"/>
              <w:left w:val="single" w:sz="4" w:space="0" w:color="auto"/>
              <w:bottom w:val="nil"/>
              <w:right w:val="single" w:sz="4" w:space="0" w:color="auto"/>
            </w:tcBorders>
            <w:shd w:val="clear" w:color="000000" w:fill="FFFFFF"/>
            <w:noWrap/>
            <w:vAlign w:val="bottom"/>
            <w:hideMark/>
          </w:tcPr>
          <w:p w14:paraId="4BE81374"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Communications Team</w:t>
            </w:r>
          </w:p>
        </w:tc>
        <w:tc>
          <w:tcPr>
            <w:tcW w:w="866" w:type="dxa"/>
            <w:tcBorders>
              <w:top w:val="nil"/>
              <w:left w:val="nil"/>
              <w:bottom w:val="nil"/>
              <w:right w:val="nil"/>
            </w:tcBorders>
            <w:shd w:val="clear" w:color="000000" w:fill="D9D9D9"/>
            <w:noWrap/>
            <w:vAlign w:val="bottom"/>
            <w:hideMark/>
          </w:tcPr>
          <w:p w14:paraId="213F1D5D"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0.231</w:t>
            </w:r>
          </w:p>
        </w:tc>
        <w:tc>
          <w:tcPr>
            <w:tcW w:w="878" w:type="dxa"/>
            <w:tcBorders>
              <w:top w:val="nil"/>
              <w:left w:val="single" w:sz="4" w:space="0" w:color="auto"/>
              <w:bottom w:val="nil"/>
              <w:right w:val="single" w:sz="4" w:space="0" w:color="auto"/>
            </w:tcBorders>
            <w:shd w:val="clear" w:color="000000" w:fill="D9D9D9"/>
            <w:noWrap/>
            <w:vAlign w:val="bottom"/>
            <w:hideMark/>
          </w:tcPr>
          <w:p w14:paraId="0D56328F"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 </w:t>
            </w:r>
          </w:p>
        </w:tc>
        <w:tc>
          <w:tcPr>
            <w:tcW w:w="838" w:type="dxa"/>
            <w:tcBorders>
              <w:top w:val="nil"/>
              <w:left w:val="nil"/>
              <w:bottom w:val="nil"/>
              <w:right w:val="single" w:sz="4" w:space="0" w:color="auto"/>
            </w:tcBorders>
            <w:shd w:val="clear" w:color="000000" w:fill="D9D9D9"/>
            <w:noWrap/>
            <w:vAlign w:val="bottom"/>
            <w:hideMark/>
          </w:tcPr>
          <w:p w14:paraId="3EDE4D26"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0.231</w:t>
            </w:r>
          </w:p>
        </w:tc>
      </w:tr>
      <w:tr w:rsidR="00E6098A" w:rsidRPr="00E6098A" w14:paraId="2AA03FD6" w14:textId="77777777" w:rsidTr="00E6098A">
        <w:trPr>
          <w:trHeight w:val="300"/>
        </w:trPr>
        <w:tc>
          <w:tcPr>
            <w:tcW w:w="866" w:type="dxa"/>
            <w:tcBorders>
              <w:top w:val="nil"/>
              <w:left w:val="single" w:sz="4" w:space="0" w:color="auto"/>
              <w:bottom w:val="nil"/>
              <w:right w:val="nil"/>
            </w:tcBorders>
            <w:shd w:val="clear" w:color="000000" w:fill="FFFFFF"/>
            <w:noWrap/>
            <w:vAlign w:val="bottom"/>
            <w:hideMark/>
          </w:tcPr>
          <w:p w14:paraId="1FB3C1F2"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2.426</w:t>
            </w:r>
          </w:p>
        </w:tc>
        <w:tc>
          <w:tcPr>
            <w:tcW w:w="856" w:type="dxa"/>
            <w:tcBorders>
              <w:top w:val="nil"/>
              <w:left w:val="single" w:sz="4" w:space="0" w:color="auto"/>
              <w:bottom w:val="nil"/>
              <w:right w:val="single" w:sz="4" w:space="0" w:color="auto"/>
            </w:tcBorders>
            <w:shd w:val="clear" w:color="000000" w:fill="FFFFFF"/>
            <w:noWrap/>
            <w:vAlign w:val="bottom"/>
            <w:hideMark/>
          </w:tcPr>
          <w:p w14:paraId="4E241164"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 </w:t>
            </w:r>
          </w:p>
        </w:tc>
        <w:tc>
          <w:tcPr>
            <w:tcW w:w="830" w:type="dxa"/>
            <w:tcBorders>
              <w:top w:val="nil"/>
              <w:left w:val="nil"/>
              <w:bottom w:val="nil"/>
              <w:right w:val="nil"/>
            </w:tcBorders>
            <w:shd w:val="clear" w:color="000000" w:fill="FFFFFF"/>
            <w:noWrap/>
            <w:vAlign w:val="bottom"/>
            <w:hideMark/>
          </w:tcPr>
          <w:p w14:paraId="58BC172C"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2.426</w:t>
            </w:r>
          </w:p>
        </w:tc>
        <w:tc>
          <w:tcPr>
            <w:tcW w:w="4080" w:type="dxa"/>
            <w:tcBorders>
              <w:top w:val="nil"/>
              <w:left w:val="single" w:sz="4" w:space="0" w:color="auto"/>
              <w:bottom w:val="nil"/>
              <w:right w:val="single" w:sz="4" w:space="0" w:color="auto"/>
            </w:tcBorders>
            <w:shd w:val="clear" w:color="000000" w:fill="FFFFFF"/>
            <w:noWrap/>
            <w:vAlign w:val="bottom"/>
            <w:hideMark/>
          </w:tcPr>
          <w:p w14:paraId="42D1D7C3"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Early Intervention and Youth</w:t>
            </w:r>
          </w:p>
        </w:tc>
        <w:tc>
          <w:tcPr>
            <w:tcW w:w="866" w:type="dxa"/>
            <w:tcBorders>
              <w:top w:val="nil"/>
              <w:left w:val="nil"/>
              <w:bottom w:val="nil"/>
              <w:right w:val="nil"/>
            </w:tcBorders>
            <w:shd w:val="clear" w:color="000000" w:fill="D9D9D9"/>
            <w:noWrap/>
            <w:vAlign w:val="bottom"/>
            <w:hideMark/>
          </w:tcPr>
          <w:p w14:paraId="074F3972"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2.372</w:t>
            </w:r>
          </w:p>
        </w:tc>
        <w:tc>
          <w:tcPr>
            <w:tcW w:w="878" w:type="dxa"/>
            <w:tcBorders>
              <w:top w:val="nil"/>
              <w:left w:val="single" w:sz="4" w:space="0" w:color="auto"/>
              <w:bottom w:val="nil"/>
              <w:right w:val="single" w:sz="4" w:space="0" w:color="auto"/>
            </w:tcBorders>
            <w:shd w:val="clear" w:color="000000" w:fill="D9D9D9"/>
            <w:noWrap/>
            <w:vAlign w:val="bottom"/>
            <w:hideMark/>
          </w:tcPr>
          <w:p w14:paraId="055B8995"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 </w:t>
            </w:r>
          </w:p>
        </w:tc>
        <w:tc>
          <w:tcPr>
            <w:tcW w:w="838" w:type="dxa"/>
            <w:tcBorders>
              <w:top w:val="nil"/>
              <w:left w:val="nil"/>
              <w:bottom w:val="nil"/>
              <w:right w:val="single" w:sz="4" w:space="0" w:color="auto"/>
            </w:tcBorders>
            <w:shd w:val="clear" w:color="000000" w:fill="D9D9D9"/>
            <w:noWrap/>
            <w:vAlign w:val="bottom"/>
            <w:hideMark/>
          </w:tcPr>
          <w:p w14:paraId="23B9D154"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2.372</w:t>
            </w:r>
          </w:p>
        </w:tc>
      </w:tr>
      <w:tr w:rsidR="00E6098A" w:rsidRPr="00E6098A" w14:paraId="06539650" w14:textId="77777777" w:rsidTr="00E6098A">
        <w:trPr>
          <w:trHeight w:val="300"/>
        </w:trPr>
        <w:tc>
          <w:tcPr>
            <w:tcW w:w="866" w:type="dxa"/>
            <w:tcBorders>
              <w:top w:val="nil"/>
              <w:left w:val="single" w:sz="4" w:space="0" w:color="auto"/>
              <w:bottom w:val="nil"/>
              <w:right w:val="nil"/>
            </w:tcBorders>
            <w:shd w:val="clear" w:color="000000" w:fill="FFFFFF"/>
            <w:noWrap/>
            <w:vAlign w:val="bottom"/>
            <w:hideMark/>
          </w:tcPr>
          <w:p w14:paraId="60BDB0AF"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0.432</w:t>
            </w:r>
          </w:p>
        </w:tc>
        <w:tc>
          <w:tcPr>
            <w:tcW w:w="856" w:type="dxa"/>
            <w:tcBorders>
              <w:top w:val="nil"/>
              <w:left w:val="single" w:sz="4" w:space="0" w:color="auto"/>
              <w:bottom w:val="nil"/>
              <w:right w:val="single" w:sz="4" w:space="0" w:color="auto"/>
            </w:tcBorders>
            <w:shd w:val="clear" w:color="000000" w:fill="FFFFFF"/>
            <w:noWrap/>
            <w:vAlign w:val="bottom"/>
            <w:hideMark/>
          </w:tcPr>
          <w:p w14:paraId="68300F66"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 </w:t>
            </w:r>
          </w:p>
        </w:tc>
        <w:tc>
          <w:tcPr>
            <w:tcW w:w="830" w:type="dxa"/>
            <w:tcBorders>
              <w:top w:val="nil"/>
              <w:left w:val="nil"/>
              <w:bottom w:val="nil"/>
              <w:right w:val="nil"/>
            </w:tcBorders>
            <w:shd w:val="clear" w:color="000000" w:fill="FFFFFF"/>
            <w:noWrap/>
            <w:vAlign w:val="bottom"/>
            <w:hideMark/>
          </w:tcPr>
          <w:p w14:paraId="16CBB67E"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0.432</w:t>
            </w:r>
          </w:p>
        </w:tc>
        <w:tc>
          <w:tcPr>
            <w:tcW w:w="4080" w:type="dxa"/>
            <w:tcBorders>
              <w:top w:val="nil"/>
              <w:left w:val="single" w:sz="4" w:space="0" w:color="auto"/>
              <w:bottom w:val="nil"/>
              <w:right w:val="single" w:sz="4" w:space="0" w:color="auto"/>
            </w:tcBorders>
            <w:shd w:val="clear" w:color="000000" w:fill="FFFFFF"/>
            <w:noWrap/>
            <w:vAlign w:val="bottom"/>
            <w:hideMark/>
          </w:tcPr>
          <w:p w14:paraId="2024AB9C"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Reducing Reoffending</w:t>
            </w:r>
          </w:p>
        </w:tc>
        <w:tc>
          <w:tcPr>
            <w:tcW w:w="866" w:type="dxa"/>
            <w:tcBorders>
              <w:top w:val="nil"/>
              <w:left w:val="nil"/>
              <w:bottom w:val="nil"/>
              <w:right w:val="nil"/>
            </w:tcBorders>
            <w:shd w:val="clear" w:color="000000" w:fill="D9D9D9"/>
            <w:noWrap/>
            <w:vAlign w:val="bottom"/>
            <w:hideMark/>
          </w:tcPr>
          <w:p w14:paraId="39D83D1D"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0.705</w:t>
            </w:r>
          </w:p>
        </w:tc>
        <w:tc>
          <w:tcPr>
            <w:tcW w:w="878" w:type="dxa"/>
            <w:tcBorders>
              <w:top w:val="nil"/>
              <w:left w:val="single" w:sz="4" w:space="0" w:color="auto"/>
              <w:bottom w:val="nil"/>
              <w:right w:val="single" w:sz="4" w:space="0" w:color="auto"/>
            </w:tcBorders>
            <w:shd w:val="clear" w:color="000000" w:fill="D9D9D9"/>
            <w:noWrap/>
            <w:vAlign w:val="bottom"/>
            <w:hideMark/>
          </w:tcPr>
          <w:p w14:paraId="37AD5947"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 </w:t>
            </w:r>
          </w:p>
        </w:tc>
        <w:tc>
          <w:tcPr>
            <w:tcW w:w="838" w:type="dxa"/>
            <w:tcBorders>
              <w:top w:val="nil"/>
              <w:left w:val="nil"/>
              <w:bottom w:val="nil"/>
              <w:right w:val="single" w:sz="4" w:space="0" w:color="auto"/>
            </w:tcBorders>
            <w:shd w:val="clear" w:color="000000" w:fill="D9D9D9"/>
            <w:noWrap/>
            <w:vAlign w:val="bottom"/>
            <w:hideMark/>
          </w:tcPr>
          <w:p w14:paraId="1046C72C"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0.705</w:t>
            </w:r>
          </w:p>
        </w:tc>
      </w:tr>
      <w:tr w:rsidR="00E6098A" w:rsidRPr="00E6098A" w14:paraId="57DC2930" w14:textId="77777777" w:rsidTr="00E6098A">
        <w:trPr>
          <w:trHeight w:val="300"/>
        </w:trPr>
        <w:tc>
          <w:tcPr>
            <w:tcW w:w="866" w:type="dxa"/>
            <w:tcBorders>
              <w:top w:val="nil"/>
              <w:left w:val="single" w:sz="4" w:space="0" w:color="auto"/>
              <w:bottom w:val="nil"/>
              <w:right w:val="nil"/>
            </w:tcBorders>
            <w:shd w:val="clear" w:color="000000" w:fill="FFFFFF"/>
            <w:noWrap/>
            <w:vAlign w:val="bottom"/>
            <w:hideMark/>
          </w:tcPr>
          <w:p w14:paraId="4FBA3ECC"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0.089</w:t>
            </w:r>
          </w:p>
        </w:tc>
        <w:tc>
          <w:tcPr>
            <w:tcW w:w="856" w:type="dxa"/>
            <w:tcBorders>
              <w:top w:val="nil"/>
              <w:left w:val="single" w:sz="4" w:space="0" w:color="auto"/>
              <w:bottom w:val="nil"/>
              <w:right w:val="single" w:sz="4" w:space="0" w:color="auto"/>
            </w:tcBorders>
            <w:shd w:val="clear" w:color="000000" w:fill="FFFFFF"/>
            <w:noWrap/>
            <w:vAlign w:val="bottom"/>
            <w:hideMark/>
          </w:tcPr>
          <w:p w14:paraId="3707F9BE"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 </w:t>
            </w:r>
          </w:p>
        </w:tc>
        <w:tc>
          <w:tcPr>
            <w:tcW w:w="830" w:type="dxa"/>
            <w:tcBorders>
              <w:top w:val="nil"/>
              <w:left w:val="nil"/>
              <w:bottom w:val="nil"/>
              <w:right w:val="nil"/>
            </w:tcBorders>
            <w:shd w:val="clear" w:color="000000" w:fill="FFFFFF"/>
            <w:noWrap/>
            <w:vAlign w:val="bottom"/>
            <w:hideMark/>
          </w:tcPr>
          <w:p w14:paraId="4804BB80"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0.089</w:t>
            </w:r>
          </w:p>
        </w:tc>
        <w:tc>
          <w:tcPr>
            <w:tcW w:w="4080" w:type="dxa"/>
            <w:tcBorders>
              <w:top w:val="nil"/>
              <w:left w:val="single" w:sz="4" w:space="0" w:color="auto"/>
              <w:bottom w:val="nil"/>
              <w:right w:val="single" w:sz="4" w:space="0" w:color="auto"/>
            </w:tcBorders>
            <w:shd w:val="clear" w:color="000000" w:fill="FFFFFF"/>
            <w:noWrap/>
            <w:vAlign w:val="bottom"/>
            <w:hideMark/>
          </w:tcPr>
          <w:p w14:paraId="7899F04B"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Delivery and Accountability</w:t>
            </w:r>
          </w:p>
        </w:tc>
        <w:tc>
          <w:tcPr>
            <w:tcW w:w="866" w:type="dxa"/>
            <w:tcBorders>
              <w:top w:val="nil"/>
              <w:left w:val="nil"/>
              <w:bottom w:val="nil"/>
              <w:right w:val="nil"/>
            </w:tcBorders>
            <w:shd w:val="clear" w:color="000000" w:fill="D9D9D9"/>
            <w:noWrap/>
            <w:vAlign w:val="bottom"/>
            <w:hideMark/>
          </w:tcPr>
          <w:p w14:paraId="44A4626F"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0.050</w:t>
            </w:r>
          </w:p>
        </w:tc>
        <w:tc>
          <w:tcPr>
            <w:tcW w:w="878" w:type="dxa"/>
            <w:tcBorders>
              <w:top w:val="nil"/>
              <w:left w:val="single" w:sz="4" w:space="0" w:color="auto"/>
              <w:bottom w:val="nil"/>
              <w:right w:val="single" w:sz="4" w:space="0" w:color="auto"/>
            </w:tcBorders>
            <w:shd w:val="clear" w:color="000000" w:fill="D9D9D9"/>
            <w:noWrap/>
            <w:vAlign w:val="bottom"/>
            <w:hideMark/>
          </w:tcPr>
          <w:p w14:paraId="71611975"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 </w:t>
            </w:r>
          </w:p>
        </w:tc>
        <w:tc>
          <w:tcPr>
            <w:tcW w:w="838" w:type="dxa"/>
            <w:tcBorders>
              <w:top w:val="nil"/>
              <w:left w:val="nil"/>
              <w:bottom w:val="nil"/>
              <w:right w:val="single" w:sz="4" w:space="0" w:color="auto"/>
            </w:tcBorders>
            <w:shd w:val="clear" w:color="000000" w:fill="D9D9D9"/>
            <w:noWrap/>
            <w:vAlign w:val="bottom"/>
            <w:hideMark/>
          </w:tcPr>
          <w:p w14:paraId="351A953E"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0.050</w:t>
            </w:r>
          </w:p>
        </w:tc>
      </w:tr>
      <w:tr w:rsidR="00E6098A" w:rsidRPr="00E6098A" w14:paraId="21FC57EE" w14:textId="77777777" w:rsidTr="00E6098A">
        <w:trPr>
          <w:trHeight w:val="300"/>
        </w:trPr>
        <w:tc>
          <w:tcPr>
            <w:tcW w:w="866" w:type="dxa"/>
            <w:tcBorders>
              <w:top w:val="nil"/>
              <w:left w:val="single" w:sz="4" w:space="0" w:color="auto"/>
              <w:bottom w:val="nil"/>
              <w:right w:val="nil"/>
            </w:tcBorders>
            <w:shd w:val="clear" w:color="000000" w:fill="FFFFFF"/>
            <w:noWrap/>
            <w:vAlign w:val="bottom"/>
            <w:hideMark/>
          </w:tcPr>
          <w:p w14:paraId="34250316"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0.255</w:t>
            </w:r>
          </w:p>
        </w:tc>
        <w:tc>
          <w:tcPr>
            <w:tcW w:w="856" w:type="dxa"/>
            <w:tcBorders>
              <w:top w:val="nil"/>
              <w:left w:val="single" w:sz="4" w:space="0" w:color="auto"/>
              <w:bottom w:val="nil"/>
              <w:right w:val="single" w:sz="4" w:space="0" w:color="auto"/>
            </w:tcBorders>
            <w:shd w:val="clear" w:color="000000" w:fill="FFFFFF"/>
            <w:noWrap/>
            <w:vAlign w:val="bottom"/>
            <w:hideMark/>
          </w:tcPr>
          <w:p w14:paraId="0AF42502"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 </w:t>
            </w:r>
          </w:p>
        </w:tc>
        <w:tc>
          <w:tcPr>
            <w:tcW w:w="830" w:type="dxa"/>
            <w:tcBorders>
              <w:top w:val="nil"/>
              <w:left w:val="nil"/>
              <w:bottom w:val="nil"/>
              <w:right w:val="nil"/>
            </w:tcBorders>
            <w:shd w:val="clear" w:color="000000" w:fill="FFFFFF"/>
            <w:noWrap/>
            <w:vAlign w:val="bottom"/>
            <w:hideMark/>
          </w:tcPr>
          <w:p w14:paraId="533C722D"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0.255</w:t>
            </w:r>
          </w:p>
        </w:tc>
        <w:tc>
          <w:tcPr>
            <w:tcW w:w="4080" w:type="dxa"/>
            <w:tcBorders>
              <w:top w:val="nil"/>
              <w:left w:val="single" w:sz="4" w:space="0" w:color="auto"/>
              <w:bottom w:val="nil"/>
              <w:right w:val="single" w:sz="4" w:space="0" w:color="auto"/>
            </w:tcBorders>
            <w:shd w:val="clear" w:color="000000" w:fill="FFFFFF"/>
            <w:noWrap/>
            <w:vAlign w:val="bottom"/>
            <w:hideMark/>
          </w:tcPr>
          <w:p w14:paraId="50F507E1"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 xml:space="preserve">Crime Prevention </w:t>
            </w:r>
          </w:p>
        </w:tc>
        <w:tc>
          <w:tcPr>
            <w:tcW w:w="866" w:type="dxa"/>
            <w:tcBorders>
              <w:top w:val="nil"/>
              <w:left w:val="nil"/>
              <w:bottom w:val="nil"/>
              <w:right w:val="nil"/>
            </w:tcBorders>
            <w:shd w:val="clear" w:color="000000" w:fill="D9D9D9"/>
            <w:noWrap/>
            <w:vAlign w:val="bottom"/>
            <w:hideMark/>
          </w:tcPr>
          <w:p w14:paraId="633C3347"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0.245</w:t>
            </w:r>
          </w:p>
        </w:tc>
        <w:tc>
          <w:tcPr>
            <w:tcW w:w="878" w:type="dxa"/>
            <w:tcBorders>
              <w:top w:val="nil"/>
              <w:left w:val="single" w:sz="4" w:space="0" w:color="auto"/>
              <w:bottom w:val="nil"/>
              <w:right w:val="single" w:sz="4" w:space="0" w:color="auto"/>
            </w:tcBorders>
            <w:shd w:val="clear" w:color="000000" w:fill="D9D9D9"/>
            <w:noWrap/>
            <w:vAlign w:val="bottom"/>
            <w:hideMark/>
          </w:tcPr>
          <w:p w14:paraId="17882441"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 </w:t>
            </w:r>
          </w:p>
        </w:tc>
        <w:tc>
          <w:tcPr>
            <w:tcW w:w="838" w:type="dxa"/>
            <w:tcBorders>
              <w:top w:val="nil"/>
              <w:left w:val="nil"/>
              <w:bottom w:val="nil"/>
              <w:right w:val="single" w:sz="4" w:space="0" w:color="auto"/>
            </w:tcBorders>
            <w:shd w:val="clear" w:color="000000" w:fill="D9D9D9"/>
            <w:noWrap/>
            <w:vAlign w:val="bottom"/>
            <w:hideMark/>
          </w:tcPr>
          <w:p w14:paraId="5CE395F2"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0.245</w:t>
            </w:r>
          </w:p>
        </w:tc>
      </w:tr>
      <w:tr w:rsidR="00E6098A" w:rsidRPr="00E6098A" w14:paraId="4CA7AFE0" w14:textId="77777777" w:rsidTr="00E6098A">
        <w:trPr>
          <w:trHeight w:val="300"/>
        </w:trPr>
        <w:tc>
          <w:tcPr>
            <w:tcW w:w="866" w:type="dxa"/>
            <w:tcBorders>
              <w:top w:val="nil"/>
              <w:left w:val="single" w:sz="4" w:space="0" w:color="auto"/>
              <w:bottom w:val="nil"/>
              <w:right w:val="nil"/>
            </w:tcBorders>
            <w:shd w:val="clear" w:color="000000" w:fill="FFFFFF"/>
            <w:noWrap/>
            <w:vAlign w:val="bottom"/>
            <w:hideMark/>
          </w:tcPr>
          <w:p w14:paraId="68C61854"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0.192</w:t>
            </w:r>
          </w:p>
        </w:tc>
        <w:tc>
          <w:tcPr>
            <w:tcW w:w="856" w:type="dxa"/>
            <w:tcBorders>
              <w:top w:val="nil"/>
              <w:left w:val="single" w:sz="4" w:space="0" w:color="auto"/>
              <w:bottom w:val="nil"/>
              <w:right w:val="single" w:sz="4" w:space="0" w:color="auto"/>
            </w:tcBorders>
            <w:shd w:val="clear" w:color="000000" w:fill="FFFFFF"/>
            <w:noWrap/>
            <w:vAlign w:val="bottom"/>
            <w:hideMark/>
          </w:tcPr>
          <w:p w14:paraId="12A04AAD"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 </w:t>
            </w:r>
          </w:p>
        </w:tc>
        <w:tc>
          <w:tcPr>
            <w:tcW w:w="830" w:type="dxa"/>
            <w:tcBorders>
              <w:top w:val="nil"/>
              <w:left w:val="nil"/>
              <w:bottom w:val="nil"/>
              <w:right w:val="nil"/>
            </w:tcBorders>
            <w:shd w:val="clear" w:color="000000" w:fill="FFFFFF"/>
            <w:noWrap/>
            <w:vAlign w:val="bottom"/>
            <w:hideMark/>
          </w:tcPr>
          <w:p w14:paraId="2A5D8180"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0.192</w:t>
            </w:r>
          </w:p>
        </w:tc>
        <w:tc>
          <w:tcPr>
            <w:tcW w:w="4080" w:type="dxa"/>
            <w:tcBorders>
              <w:top w:val="nil"/>
              <w:left w:val="single" w:sz="4" w:space="0" w:color="auto"/>
              <w:bottom w:val="nil"/>
              <w:right w:val="single" w:sz="4" w:space="0" w:color="auto"/>
            </w:tcBorders>
            <w:shd w:val="clear" w:color="000000" w:fill="FFFFFF"/>
            <w:noWrap/>
            <w:vAlign w:val="bottom"/>
            <w:hideMark/>
          </w:tcPr>
          <w:p w14:paraId="603DDD3F"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Customer Services - Complaints</w:t>
            </w:r>
          </w:p>
        </w:tc>
        <w:tc>
          <w:tcPr>
            <w:tcW w:w="866" w:type="dxa"/>
            <w:tcBorders>
              <w:top w:val="nil"/>
              <w:left w:val="nil"/>
              <w:bottom w:val="nil"/>
              <w:right w:val="nil"/>
            </w:tcBorders>
            <w:shd w:val="clear" w:color="000000" w:fill="D9D9D9"/>
            <w:noWrap/>
            <w:vAlign w:val="bottom"/>
            <w:hideMark/>
          </w:tcPr>
          <w:p w14:paraId="405D9A3F"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0.319</w:t>
            </w:r>
          </w:p>
        </w:tc>
        <w:tc>
          <w:tcPr>
            <w:tcW w:w="878" w:type="dxa"/>
            <w:tcBorders>
              <w:top w:val="nil"/>
              <w:left w:val="single" w:sz="4" w:space="0" w:color="auto"/>
              <w:bottom w:val="nil"/>
              <w:right w:val="single" w:sz="4" w:space="0" w:color="auto"/>
            </w:tcBorders>
            <w:shd w:val="clear" w:color="000000" w:fill="D9D9D9"/>
            <w:noWrap/>
            <w:vAlign w:val="bottom"/>
            <w:hideMark/>
          </w:tcPr>
          <w:p w14:paraId="61F32CFD"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 </w:t>
            </w:r>
          </w:p>
        </w:tc>
        <w:tc>
          <w:tcPr>
            <w:tcW w:w="838" w:type="dxa"/>
            <w:tcBorders>
              <w:top w:val="nil"/>
              <w:left w:val="nil"/>
              <w:bottom w:val="nil"/>
              <w:right w:val="single" w:sz="4" w:space="0" w:color="auto"/>
            </w:tcBorders>
            <w:shd w:val="clear" w:color="000000" w:fill="D9D9D9"/>
            <w:noWrap/>
            <w:vAlign w:val="bottom"/>
            <w:hideMark/>
          </w:tcPr>
          <w:p w14:paraId="4911D866"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0.319</w:t>
            </w:r>
          </w:p>
        </w:tc>
      </w:tr>
      <w:tr w:rsidR="00E6098A" w:rsidRPr="00E6098A" w14:paraId="485CBDD6" w14:textId="77777777" w:rsidTr="00E6098A">
        <w:trPr>
          <w:trHeight w:val="300"/>
        </w:trPr>
        <w:tc>
          <w:tcPr>
            <w:tcW w:w="866" w:type="dxa"/>
            <w:tcBorders>
              <w:top w:val="nil"/>
              <w:left w:val="single" w:sz="4" w:space="0" w:color="auto"/>
              <w:bottom w:val="nil"/>
              <w:right w:val="nil"/>
            </w:tcBorders>
            <w:shd w:val="clear" w:color="000000" w:fill="FFFFFF"/>
            <w:noWrap/>
            <w:vAlign w:val="bottom"/>
            <w:hideMark/>
          </w:tcPr>
          <w:p w14:paraId="5812F0A7"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0.250</w:t>
            </w:r>
          </w:p>
        </w:tc>
        <w:tc>
          <w:tcPr>
            <w:tcW w:w="856" w:type="dxa"/>
            <w:tcBorders>
              <w:top w:val="nil"/>
              <w:left w:val="single" w:sz="4" w:space="0" w:color="auto"/>
              <w:bottom w:val="nil"/>
              <w:right w:val="single" w:sz="4" w:space="0" w:color="auto"/>
            </w:tcBorders>
            <w:shd w:val="clear" w:color="000000" w:fill="FFFFFF"/>
            <w:noWrap/>
            <w:vAlign w:val="bottom"/>
            <w:hideMark/>
          </w:tcPr>
          <w:p w14:paraId="69A70D0F"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 </w:t>
            </w:r>
          </w:p>
        </w:tc>
        <w:tc>
          <w:tcPr>
            <w:tcW w:w="830" w:type="dxa"/>
            <w:tcBorders>
              <w:top w:val="nil"/>
              <w:left w:val="nil"/>
              <w:bottom w:val="nil"/>
              <w:right w:val="nil"/>
            </w:tcBorders>
            <w:shd w:val="clear" w:color="000000" w:fill="FFFFFF"/>
            <w:noWrap/>
            <w:vAlign w:val="bottom"/>
            <w:hideMark/>
          </w:tcPr>
          <w:p w14:paraId="48ACE2D9"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0.250</w:t>
            </w:r>
          </w:p>
        </w:tc>
        <w:tc>
          <w:tcPr>
            <w:tcW w:w="4080" w:type="dxa"/>
            <w:tcBorders>
              <w:top w:val="nil"/>
              <w:left w:val="single" w:sz="4" w:space="0" w:color="auto"/>
              <w:bottom w:val="nil"/>
              <w:right w:val="single" w:sz="4" w:space="0" w:color="auto"/>
            </w:tcBorders>
            <w:shd w:val="clear" w:color="000000" w:fill="FFFFFF"/>
            <w:noWrap/>
            <w:vAlign w:val="bottom"/>
            <w:hideMark/>
          </w:tcPr>
          <w:p w14:paraId="2B8775FA"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Police, Fire and Crime Plan Delivery Fund</w:t>
            </w:r>
          </w:p>
        </w:tc>
        <w:tc>
          <w:tcPr>
            <w:tcW w:w="866" w:type="dxa"/>
            <w:tcBorders>
              <w:top w:val="nil"/>
              <w:left w:val="nil"/>
              <w:bottom w:val="nil"/>
              <w:right w:val="nil"/>
            </w:tcBorders>
            <w:shd w:val="clear" w:color="000000" w:fill="D9D9D9"/>
            <w:noWrap/>
            <w:vAlign w:val="bottom"/>
            <w:hideMark/>
          </w:tcPr>
          <w:p w14:paraId="06C5B4D1"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0.250</w:t>
            </w:r>
          </w:p>
        </w:tc>
        <w:tc>
          <w:tcPr>
            <w:tcW w:w="878" w:type="dxa"/>
            <w:tcBorders>
              <w:top w:val="nil"/>
              <w:left w:val="single" w:sz="4" w:space="0" w:color="auto"/>
              <w:bottom w:val="nil"/>
              <w:right w:val="single" w:sz="4" w:space="0" w:color="auto"/>
            </w:tcBorders>
            <w:shd w:val="clear" w:color="000000" w:fill="D9D9D9"/>
            <w:noWrap/>
            <w:vAlign w:val="bottom"/>
            <w:hideMark/>
          </w:tcPr>
          <w:p w14:paraId="69B663DB" w14:textId="77777777" w:rsidR="00E6098A" w:rsidRPr="00E6098A" w:rsidRDefault="00E6098A" w:rsidP="00E6098A">
            <w:pPr>
              <w:spacing w:line="240" w:lineRule="auto"/>
              <w:rPr>
                <w:rFonts w:eastAsia="Times New Roman" w:cs="Calibri"/>
                <w:color w:val="000000"/>
                <w:sz w:val="20"/>
                <w:szCs w:val="20"/>
                <w:lang w:eastAsia="en-GB"/>
              </w:rPr>
            </w:pPr>
            <w:r w:rsidRPr="00E6098A">
              <w:rPr>
                <w:rFonts w:eastAsia="Times New Roman" w:cs="Calibri"/>
                <w:color w:val="000000"/>
                <w:sz w:val="20"/>
                <w:szCs w:val="20"/>
                <w:lang w:eastAsia="en-GB"/>
              </w:rPr>
              <w:t> </w:t>
            </w:r>
          </w:p>
        </w:tc>
        <w:tc>
          <w:tcPr>
            <w:tcW w:w="838" w:type="dxa"/>
            <w:tcBorders>
              <w:top w:val="nil"/>
              <w:left w:val="nil"/>
              <w:bottom w:val="nil"/>
              <w:right w:val="single" w:sz="4" w:space="0" w:color="auto"/>
            </w:tcBorders>
            <w:shd w:val="clear" w:color="000000" w:fill="D9D9D9"/>
            <w:noWrap/>
            <w:vAlign w:val="bottom"/>
            <w:hideMark/>
          </w:tcPr>
          <w:p w14:paraId="1521AFAA" w14:textId="77777777" w:rsidR="00E6098A" w:rsidRPr="00E6098A" w:rsidRDefault="00E6098A" w:rsidP="00E6098A">
            <w:pPr>
              <w:spacing w:line="240" w:lineRule="auto"/>
              <w:jc w:val="right"/>
              <w:rPr>
                <w:rFonts w:eastAsia="Times New Roman" w:cs="Calibri"/>
                <w:color w:val="000000"/>
                <w:sz w:val="20"/>
                <w:szCs w:val="20"/>
                <w:lang w:eastAsia="en-GB"/>
              </w:rPr>
            </w:pPr>
            <w:r w:rsidRPr="00E6098A">
              <w:rPr>
                <w:rFonts w:eastAsia="Times New Roman" w:cs="Calibri"/>
                <w:color w:val="000000"/>
                <w:sz w:val="20"/>
                <w:szCs w:val="20"/>
                <w:lang w:eastAsia="en-GB"/>
              </w:rPr>
              <w:t>0.250</w:t>
            </w:r>
          </w:p>
        </w:tc>
      </w:tr>
      <w:tr w:rsidR="00E6098A" w:rsidRPr="00E6098A" w14:paraId="1C5E6469" w14:textId="77777777" w:rsidTr="00E6098A">
        <w:trPr>
          <w:trHeight w:val="300"/>
        </w:trPr>
        <w:tc>
          <w:tcPr>
            <w:tcW w:w="866" w:type="dxa"/>
            <w:tcBorders>
              <w:top w:val="single" w:sz="4" w:space="0" w:color="auto"/>
              <w:left w:val="single" w:sz="4" w:space="0" w:color="auto"/>
              <w:bottom w:val="single" w:sz="4" w:space="0" w:color="auto"/>
              <w:right w:val="nil"/>
            </w:tcBorders>
            <w:shd w:val="clear" w:color="000000" w:fill="FFFFFF"/>
            <w:noWrap/>
            <w:vAlign w:val="bottom"/>
            <w:hideMark/>
          </w:tcPr>
          <w:p w14:paraId="28EB939C" w14:textId="77777777" w:rsidR="00E6098A" w:rsidRPr="00E6098A" w:rsidRDefault="00E6098A" w:rsidP="00E6098A">
            <w:pPr>
              <w:spacing w:line="240" w:lineRule="auto"/>
              <w:jc w:val="right"/>
              <w:rPr>
                <w:rFonts w:eastAsia="Times New Roman" w:cs="Calibri"/>
                <w:b/>
                <w:bCs/>
                <w:color w:val="000000"/>
                <w:sz w:val="20"/>
                <w:szCs w:val="20"/>
                <w:lang w:eastAsia="en-GB"/>
              </w:rPr>
            </w:pPr>
            <w:r w:rsidRPr="00E6098A">
              <w:rPr>
                <w:rFonts w:eastAsia="Times New Roman" w:cs="Calibri"/>
                <w:b/>
                <w:bCs/>
                <w:color w:val="000000"/>
                <w:sz w:val="20"/>
                <w:szCs w:val="20"/>
                <w:lang w:eastAsia="en-GB"/>
              </w:rPr>
              <w:t>6.893</w:t>
            </w:r>
          </w:p>
        </w:tc>
        <w:tc>
          <w:tcPr>
            <w:tcW w:w="8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8A8B7B" w14:textId="77777777" w:rsidR="00E6098A" w:rsidRPr="00E6098A" w:rsidRDefault="00E6098A" w:rsidP="00E6098A">
            <w:pPr>
              <w:spacing w:line="240" w:lineRule="auto"/>
              <w:jc w:val="right"/>
              <w:rPr>
                <w:rFonts w:eastAsia="Times New Roman" w:cs="Calibri"/>
                <w:b/>
                <w:bCs/>
                <w:color w:val="000000"/>
                <w:sz w:val="20"/>
                <w:szCs w:val="20"/>
                <w:lang w:eastAsia="en-GB"/>
              </w:rPr>
            </w:pPr>
            <w:r w:rsidRPr="00E6098A">
              <w:rPr>
                <w:rFonts w:eastAsia="Times New Roman" w:cs="Calibri"/>
                <w:b/>
                <w:bCs/>
                <w:color w:val="000000"/>
                <w:sz w:val="20"/>
                <w:szCs w:val="20"/>
                <w:lang w:eastAsia="en-GB"/>
              </w:rPr>
              <w:t>(1.540)</w:t>
            </w:r>
          </w:p>
        </w:tc>
        <w:tc>
          <w:tcPr>
            <w:tcW w:w="830" w:type="dxa"/>
            <w:tcBorders>
              <w:top w:val="single" w:sz="4" w:space="0" w:color="auto"/>
              <w:left w:val="nil"/>
              <w:bottom w:val="single" w:sz="4" w:space="0" w:color="auto"/>
              <w:right w:val="nil"/>
            </w:tcBorders>
            <w:shd w:val="clear" w:color="000000" w:fill="FFFFFF"/>
            <w:noWrap/>
            <w:vAlign w:val="bottom"/>
            <w:hideMark/>
          </w:tcPr>
          <w:p w14:paraId="0E15D649" w14:textId="77777777" w:rsidR="00E6098A" w:rsidRPr="00E6098A" w:rsidRDefault="00E6098A" w:rsidP="00E6098A">
            <w:pPr>
              <w:spacing w:line="240" w:lineRule="auto"/>
              <w:jc w:val="right"/>
              <w:rPr>
                <w:rFonts w:eastAsia="Times New Roman" w:cs="Calibri"/>
                <w:b/>
                <w:bCs/>
                <w:color w:val="000000"/>
                <w:sz w:val="20"/>
                <w:szCs w:val="20"/>
                <w:lang w:eastAsia="en-GB"/>
              </w:rPr>
            </w:pPr>
            <w:r w:rsidRPr="00E6098A">
              <w:rPr>
                <w:rFonts w:eastAsia="Times New Roman" w:cs="Calibri"/>
                <w:b/>
                <w:bCs/>
                <w:color w:val="000000"/>
                <w:sz w:val="20"/>
                <w:szCs w:val="20"/>
                <w:lang w:eastAsia="en-GB"/>
              </w:rPr>
              <w:t>5.353</w:t>
            </w:r>
          </w:p>
        </w:tc>
        <w:tc>
          <w:tcPr>
            <w:tcW w:w="4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CA77DF" w14:textId="77777777" w:rsidR="00E6098A" w:rsidRPr="00E6098A" w:rsidRDefault="00E6098A" w:rsidP="00E6098A">
            <w:pPr>
              <w:spacing w:line="240" w:lineRule="auto"/>
              <w:rPr>
                <w:rFonts w:eastAsia="Times New Roman" w:cs="Calibri"/>
                <w:b/>
                <w:bCs/>
                <w:color w:val="000000"/>
                <w:sz w:val="20"/>
                <w:szCs w:val="20"/>
                <w:lang w:eastAsia="en-GB"/>
              </w:rPr>
            </w:pPr>
            <w:r w:rsidRPr="00E6098A">
              <w:rPr>
                <w:rFonts w:eastAsia="Times New Roman" w:cs="Calibri"/>
                <w:b/>
                <w:bCs/>
                <w:color w:val="000000"/>
                <w:sz w:val="20"/>
                <w:szCs w:val="20"/>
                <w:lang w:eastAsia="en-GB"/>
              </w:rPr>
              <w:t>Total Commissioning and Delivery</w:t>
            </w:r>
          </w:p>
        </w:tc>
        <w:tc>
          <w:tcPr>
            <w:tcW w:w="866" w:type="dxa"/>
            <w:tcBorders>
              <w:top w:val="single" w:sz="4" w:space="0" w:color="auto"/>
              <w:left w:val="nil"/>
              <w:bottom w:val="single" w:sz="4" w:space="0" w:color="auto"/>
              <w:right w:val="nil"/>
            </w:tcBorders>
            <w:shd w:val="clear" w:color="000000" w:fill="D9D9D9"/>
            <w:noWrap/>
            <w:vAlign w:val="bottom"/>
            <w:hideMark/>
          </w:tcPr>
          <w:p w14:paraId="50659F8B" w14:textId="77777777" w:rsidR="00E6098A" w:rsidRPr="00E6098A" w:rsidRDefault="00E6098A" w:rsidP="00E6098A">
            <w:pPr>
              <w:spacing w:line="240" w:lineRule="auto"/>
              <w:jc w:val="right"/>
              <w:rPr>
                <w:rFonts w:eastAsia="Times New Roman" w:cs="Calibri"/>
                <w:b/>
                <w:bCs/>
                <w:color w:val="000000"/>
                <w:sz w:val="20"/>
                <w:szCs w:val="20"/>
                <w:lang w:eastAsia="en-GB"/>
              </w:rPr>
            </w:pPr>
            <w:r w:rsidRPr="00E6098A">
              <w:rPr>
                <w:rFonts w:eastAsia="Times New Roman" w:cs="Calibri"/>
                <w:b/>
                <w:bCs/>
                <w:color w:val="000000"/>
                <w:sz w:val="20"/>
                <w:szCs w:val="20"/>
                <w:lang w:eastAsia="en-GB"/>
              </w:rPr>
              <w:t>6.952</w:t>
            </w:r>
          </w:p>
        </w:tc>
        <w:tc>
          <w:tcPr>
            <w:tcW w:w="87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5A6894F" w14:textId="77777777" w:rsidR="00E6098A" w:rsidRPr="00E6098A" w:rsidRDefault="00E6098A" w:rsidP="00E6098A">
            <w:pPr>
              <w:spacing w:line="240" w:lineRule="auto"/>
              <w:jc w:val="right"/>
              <w:rPr>
                <w:rFonts w:eastAsia="Times New Roman" w:cs="Calibri"/>
                <w:b/>
                <w:bCs/>
                <w:color w:val="000000"/>
                <w:sz w:val="20"/>
                <w:szCs w:val="20"/>
                <w:lang w:eastAsia="en-GB"/>
              </w:rPr>
            </w:pPr>
            <w:r w:rsidRPr="00E6098A">
              <w:rPr>
                <w:rFonts w:eastAsia="Times New Roman" w:cs="Calibri"/>
                <w:b/>
                <w:bCs/>
                <w:color w:val="000000"/>
                <w:sz w:val="20"/>
                <w:szCs w:val="20"/>
                <w:lang w:eastAsia="en-GB"/>
              </w:rPr>
              <w:t>(1.401)</w:t>
            </w:r>
          </w:p>
        </w:tc>
        <w:tc>
          <w:tcPr>
            <w:tcW w:w="838" w:type="dxa"/>
            <w:tcBorders>
              <w:top w:val="single" w:sz="4" w:space="0" w:color="auto"/>
              <w:left w:val="nil"/>
              <w:bottom w:val="single" w:sz="4" w:space="0" w:color="auto"/>
              <w:right w:val="single" w:sz="4" w:space="0" w:color="auto"/>
            </w:tcBorders>
            <w:shd w:val="clear" w:color="000000" w:fill="D9D9D9"/>
            <w:noWrap/>
            <w:vAlign w:val="bottom"/>
            <w:hideMark/>
          </w:tcPr>
          <w:p w14:paraId="40EE9888" w14:textId="77777777" w:rsidR="00E6098A" w:rsidRPr="00E6098A" w:rsidRDefault="00E6098A" w:rsidP="00E6098A">
            <w:pPr>
              <w:spacing w:line="240" w:lineRule="auto"/>
              <w:jc w:val="right"/>
              <w:rPr>
                <w:rFonts w:eastAsia="Times New Roman" w:cs="Calibri"/>
                <w:b/>
                <w:bCs/>
                <w:color w:val="000000"/>
                <w:sz w:val="20"/>
                <w:szCs w:val="20"/>
                <w:lang w:eastAsia="en-GB"/>
              </w:rPr>
            </w:pPr>
            <w:r w:rsidRPr="00E6098A">
              <w:rPr>
                <w:rFonts w:eastAsia="Times New Roman" w:cs="Calibri"/>
                <w:b/>
                <w:bCs/>
                <w:color w:val="000000"/>
                <w:sz w:val="20"/>
                <w:szCs w:val="20"/>
                <w:lang w:eastAsia="en-GB"/>
              </w:rPr>
              <w:t>5.551</w:t>
            </w:r>
          </w:p>
        </w:tc>
      </w:tr>
    </w:tbl>
    <w:p w14:paraId="223BCDA4" w14:textId="77777777" w:rsidR="00E6098A" w:rsidRDefault="00E6098A" w:rsidP="00FF3F04"/>
    <w:p w14:paraId="53C8417F" w14:textId="14808A06" w:rsidR="00237D13" w:rsidRPr="006F0E6B" w:rsidRDefault="00E6098A" w:rsidP="00237D13">
      <w:pPr>
        <w:pStyle w:val="PanelPara"/>
      </w:pPr>
      <w:r>
        <w:t>This</w:t>
      </w:r>
      <w:r w:rsidR="00237D13" w:rsidRPr="006F0E6B">
        <w:t xml:space="preserve"> includes a number of crime prevention initiatives, safer streets investment, work on serious violence duty, the sexual abuse referral centre and the following key areas of work:</w:t>
      </w:r>
    </w:p>
    <w:p w14:paraId="78663C72" w14:textId="5EAC5FE9" w:rsidR="0013658D" w:rsidRPr="0013658D" w:rsidRDefault="006F0E6B" w:rsidP="00FC4407">
      <w:pPr>
        <w:pStyle w:val="PanelPara"/>
      </w:pPr>
      <w:r w:rsidRPr="00A67748">
        <w:t xml:space="preserve">Voice for </w:t>
      </w:r>
      <w:r w:rsidR="00237D13" w:rsidRPr="00A67748">
        <w:t>Victims and Witnesses</w:t>
      </w:r>
      <w:r w:rsidR="00A67748" w:rsidRPr="00A67748">
        <w:t xml:space="preserve"> is an</w:t>
      </w:r>
      <w:r w:rsidR="00237D13" w:rsidRPr="00A67748">
        <w:t xml:space="preserve"> in-house service </w:t>
      </w:r>
      <w:r w:rsidR="00A67748" w:rsidRPr="00A67748">
        <w:t>that</w:t>
      </w:r>
      <w:r w:rsidR="00237D13" w:rsidRPr="00A67748">
        <w:t xml:space="preserve"> ensur</w:t>
      </w:r>
      <w:r w:rsidR="00A67748" w:rsidRPr="00A67748">
        <w:t>es</w:t>
      </w:r>
      <w:r w:rsidR="00237D13" w:rsidRPr="00A67748">
        <w:t xml:space="preserve"> victims and witnesses of crime in Northamptonshire are </w:t>
      </w:r>
      <w:r w:rsidRPr="00A67748">
        <w:t>properly</w:t>
      </w:r>
      <w:r w:rsidRPr="0013658D">
        <w:t xml:space="preserve"> </w:t>
      </w:r>
      <w:r w:rsidR="00237D13" w:rsidRPr="0013658D">
        <w:t xml:space="preserve">supported.  Over </w:t>
      </w:r>
      <w:r w:rsidR="00A67748">
        <w:t>3</w:t>
      </w:r>
      <w:r w:rsidR="00237D13" w:rsidRPr="0013658D">
        <w:t xml:space="preserve">0 </w:t>
      </w:r>
      <w:r w:rsidR="00174124" w:rsidRPr="0013658D">
        <w:t>staff members are in place, including witness care officers, support workers</w:t>
      </w:r>
      <w:r w:rsidR="00A67748">
        <w:t xml:space="preserve"> and other </w:t>
      </w:r>
      <w:r w:rsidR="00174124" w:rsidRPr="0013658D">
        <w:t>specialists</w:t>
      </w:r>
      <w:r w:rsidR="0013658D" w:rsidRPr="0013658D">
        <w:t>.  These work to s</w:t>
      </w:r>
      <w:r w:rsidR="00237D13" w:rsidRPr="0013658D">
        <w:t>afeguard</w:t>
      </w:r>
      <w:r w:rsidR="0013658D" w:rsidRPr="0013658D">
        <w:t xml:space="preserve"> the vulnerable</w:t>
      </w:r>
      <w:r w:rsidR="00237D13" w:rsidRPr="0013658D">
        <w:t xml:space="preserve">, resulting in safer victims and communities, and working with partners to ensure offenders are brought to justice.  </w:t>
      </w:r>
      <w:r w:rsidR="0013658D" w:rsidRPr="0013658D">
        <w:t>This includes</w:t>
      </w:r>
      <w:r w:rsidR="00237D13" w:rsidRPr="0013658D">
        <w:t xml:space="preserve"> </w:t>
      </w:r>
      <w:r w:rsidR="0013658D" w:rsidRPr="0013658D">
        <w:t>services for local victims and witnesses of crime, anti-social behaviour, hate incidents and fire incidents, and vital services for compliance with the Victims Code of Practice and Witness Charter.</w:t>
      </w:r>
    </w:p>
    <w:p w14:paraId="071C94AA" w14:textId="77D73349" w:rsidR="00237D13" w:rsidRPr="0013658D" w:rsidRDefault="00237D13" w:rsidP="00FC4407">
      <w:pPr>
        <w:pStyle w:val="PanelPara"/>
      </w:pPr>
      <w:r w:rsidRPr="0013658D">
        <w:t>Grants from the Ministry of Justice (MoJ) provide around</w:t>
      </w:r>
      <w:r w:rsidR="0013658D" w:rsidRPr="0013658D">
        <w:t xml:space="preserve"> half of what is needed for the service Voice provides</w:t>
      </w:r>
      <w:r w:rsidR="0013658D">
        <w:t xml:space="preserve">. </w:t>
      </w:r>
      <w:r w:rsidR="0013658D" w:rsidRPr="0013658D">
        <w:t xml:space="preserve"> </w:t>
      </w:r>
      <w:r w:rsidR="00A67748" w:rsidRPr="00604C03">
        <w:rPr>
          <w:b/>
          <w:bCs/>
        </w:rPr>
        <w:t>T</w:t>
      </w:r>
      <w:r w:rsidR="0013658D" w:rsidRPr="00604C03">
        <w:rPr>
          <w:b/>
          <w:bCs/>
        </w:rPr>
        <w:t>he core grant for 2025/26</w:t>
      </w:r>
      <w:r w:rsidR="00A67748" w:rsidRPr="00604C03">
        <w:rPr>
          <w:b/>
          <w:bCs/>
        </w:rPr>
        <w:t xml:space="preserve"> has been cut by 4.2% compared to the previous year, and no increases have been provided for pay award or national insurance pressures.</w:t>
      </w:r>
      <w:r w:rsidR="00A67748">
        <w:t xml:space="preserve">  However, the PFCC is committed to maintaining this service and has ensure base budget and a level of reserves are in place to avoid any cuts to service this year.</w:t>
      </w:r>
    </w:p>
    <w:p w14:paraId="6E7FFFFE" w14:textId="2783049D" w:rsidR="00237D13" w:rsidRPr="00A67748" w:rsidRDefault="00237D13" w:rsidP="00FC4407">
      <w:pPr>
        <w:pStyle w:val="PanelPara"/>
      </w:pPr>
      <w:r w:rsidRPr="00A67748">
        <w:t xml:space="preserve">The Sunflower Centre is a partnership-funded service managed by the OPFCC to provide non-judgemental specialist support to victims of domestic abuse.  </w:t>
      </w:r>
      <w:r w:rsidR="00A67748" w:rsidRPr="00A67748">
        <w:t>F</w:t>
      </w:r>
      <w:r w:rsidRPr="00A67748">
        <w:t xml:space="preserve">unding from the MoJ </w:t>
      </w:r>
      <w:r w:rsidR="00A67748" w:rsidRPr="00A67748">
        <w:t>will be provided to continue funding</w:t>
      </w:r>
      <w:r w:rsidRPr="00A67748">
        <w:t xml:space="preserve"> complex needs specialists and staff to support victims/survivors to access support services, including an out-of-hours provision over weekends.</w:t>
      </w:r>
    </w:p>
    <w:p w14:paraId="1155BD86" w14:textId="5B65E35B" w:rsidR="00237D13" w:rsidRPr="00BD2797" w:rsidRDefault="00E6098A" w:rsidP="00FC4407">
      <w:pPr>
        <w:pStyle w:val="PanelPara"/>
      </w:pPr>
      <w:r w:rsidRPr="00BD2797">
        <w:t>The</w:t>
      </w:r>
      <w:r w:rsidR="00237D13" w:rsidRPr="00BD2797">
        <w:t xml:space="preserve"> Early Intervention Family Support Service offer</w:t>
      </w:r>
      <w:r w:rsidRPr="00BD2797">
        <w:t>s</w:t>
      </w:r>
      <w:r w:rsidR="00237D13" w:rsidRPr="00BD2797">
        <w:t xml:space="preserve"> early support for children, young people and their families a</w:t>
      </w:r>
      <w:r w:rsidRPr="00BD2797">
        <w:t xml:space="preserve">iming </w:t>
      </w:r>
      <w:r w:rsidR="00237D13" w:rsidRPr="00BD2797">
        <w:t>to prevent the need for longer term and more costly and complex intervention.  There are over 40 members of frontline staff including specialists in prevention and education around knife crime and exploitation, delivering 4 strands of work:</w:t>
      </w:r>
    </w:p>
    <w:p w14:paraId="21546997" w14:textId="2FFCE067" w:rsidR="00237D13" w:rsidRPr="00BD2797" w:rsidRDefault="00237D13" w:rsidP="00FC4407">
      <w:pPr>
        <w:pStyle w:val="PanelBullet"/>
        <w:numPr>
          <w:ilvl w:val="1"/>
          <w:numId w:val="6"/>
        </w:numPr>
      </w:pPr>
      <w:r w:rsidRPr="00BD2797">
        <w:t>Targeted Youth Team</w:t>
      </w:r>
      <w:r w:rsidR="00627ED0">
        <w:t>.</w:t>
      </w:r>
    </w:p>
    <w:p w14:paraId="3E638A44" w14:textId="4DCA74D3" w:rsidR="00237D13" w:rsidRPr="00BD2797" w:rsidRDefault="00237D13" w:rsidP="00FC4407">
      <w:pPr>
        <w:pStyle w:val="PanelBullet"/>
        <w:numPr>
          <w:ilvl w:val="1"/>
          <w:numId w:val="6"/>
        </w:numPr>
      </w:pPr>
      <w:r w:rsidRPr="00BD2797">
        <w:t>Domestic Abuse Support Team</w:t>
      </w:r>
      <w:r w:rsidR="00627ED0">
        <w:t>.</w:t>
      </w:r>
    </w:p>
    <w:p w14:paraId="0BBC2654" w14:textId="2DE5390D" w:rsidR="00237D13" w:rsidRPr="00BD2797" w:rsidRDefault="00237D13" w:rsidP="00FC4407">
      <w:pPr>
        <w:pStyle w:val="PanelBullet"/>
        <w:numPr>
          <w:ilvl w:val="1"/>
          <w:numId w:val="6"/>
        </w:numPr>
      </w:pPr>
      <w:r w:rsidRPr="00BD2797">
        <w:lastRenderedPageBreak/>
        <w:t>Adverse Childhood Experiences (ACE) Family Support Team</w:t>
      </w:r>
      <w:r w:rsidR="00627ED0">
        <w:t>.</w:t>
      </w:r>
    </w:p>
    <w:p w14:paraId="4C170CE7" w14:textId="22BC53BD" w:rsidR="00237D13" w:rsidRPr="00BD2797" w:rsidRDefault="00237D13" w:rsidP="00FC4407">
      <w:pPr>
        <w:pStyle w:val="PanelBullet"/>
        <w:numPr>
          <w:ilvl w:val="1"/>
          <w:numId w:val="6"/>
        </w:numPr>
      </w:pPr>
      <w:r w:rsidRPr="00BD2797">
        <w:t>Youth Violence Intervention Unit / Missing Persons Unit Support Team</w:t>
      </w:r>
      <w:r w:rsidR="00627ED0">
        <w:t>.</w:t>
      </w:r>
    </w:p>
    <w:p w14:paraId="2B56D016" w14:textId="77777777" w:rsidR="00237D13" w:rsidRPr="00BD2797" w:rsidRDefault="00237D13" w:rsidP="00E6098A">
      <w:pPr>
        <w:pStyle w:val="PanelPara"/>
        <w:numPr>
          <w:ilvl w:val="1"/>
          <w:numId w:val="6"/>
        </w:numPr>
      </w:pPr>
      <w:r w:rsidRPr="00BD2797">
        <w:t>Funds are also provided to the Youth Offending Service for Prevention and Diversion activity.</w:t>
      </w:r>
    </w:p>
    <w:p w14:paraId="239AC58E" w14:textId="51F731BC" w:rsidR="00237D13" w:rsidRPr="00BD2797" w:rsidRDefault="00237D13" w:rsidP="00FC4407">
      <w:pPr>
        <w:pStyle w:val="PanelPara"/>
      </w:pPr>
      <w:r w:rsidRPr="00BD2797">
        <w:t xml:space="preserve">Rehabilitation and Reducing Reoffending </w:t>
      </w:r>
      <w:r w:rsidR="00E6098A" w:rsidRPr="00BD2797">
        <w:t xml:space="preserve">staff </w:t>
      </w:r>
      <w:r w:rsidRPr="00BD2797">
        <w:t>work closely with policing and probation partners to identify and fund opportunities to reduce reoffending and to alleviate judiciary pressures through Out of Court Resolutions.  This includes:</w:t>
      </w:r>
    </w:p>
    <w:p w14:paraId="03999475" w14:textId="444A0A46" w:rsidR="00237D13" w:rsidRPr="00BD2797" w:rsidRDefault="00237D13" w:rsidP="00FC4407">
      <w:pPr>
        <w:pStyle w:val="PanelBullet"/>
        <w:numPr>
          <w:ilvl w:val="1"/>
          <w:numId w:val="6"/>
        </w:numPr>
      </w:pPr>
      <w:r w:rsidRPr="00BD2797">
        <w:t>Drugs Treatment and Recovery</w:t>
      </w:r>
      <w:r w:rsidR="00627ED0">
        <w:t>.</w:t>
      </w:r>
    </w:p>
    <w:p w14:paraId="35E10500" w14:textId="6778EE1A" w:rsidR="00237D13" w:rsidRPr="00BD2797" w:rsidRDefault="00237D13" w:rsidP="00FC4407">
      <w:pPr>
        <w:pStyle w:val="PanelBullet"/>
        <w:numPr>
          <w:ilvl w:val="1"/>
          <w:numId w:val="6"/>
        </w:numPr>
      </w:pPr>
      <w:r w:rsidRPr="00BD2797">
        <w:t>Preventing Intimate Partner Abuse (Project PIPA) Programme</w:t>
      </w:r>
      <w:r w:rsidR="00627ED0">
        <w:t>.</w:t>
      </w:r>
    </w:p>
    <w:p w14:paraId="1489A932" w14:textId="77777777" w:rsidR="00237D13" w:rsidRPr="00BD2797" w:rsidRDefault="00237D13" w:rsidP="00FC4407">
      <w:pPr>
        <w:pStyle w:val="PanelBullet"/>
        <w:numPr>
          <w:ilvl w:val="1"/>
          <w:numId w:val="6"/>
        </w:numPr>
      </w:pPr>
      <w:r w:rsidRPr="00BD2797">
        <w:t>Funding of programmes to provide support, training and employment opportunities for offenders, aiming to break the cycle of poverty, unemployment and offending.</w:t>
      </w:r>
    </w:p>
    <w:p w14:paraId="002C8EA0" w14:textId="25535102" w:rsidR="00237D13" w:rsidRPr="00BD2797" w:rsidRDefault="00237D13" w:rsidP="00FC4407">
      <w:pPr>
        <w:pStyle w:val="PanelBullet"/>
        <w:numPr>
          <w:ilvl w:val="1"/>
          <w:numId w:val="6"/>
        </w:numPr>
      </w:pPr>
      <w:r w:rsidRPr="00BD2797">
        <w:t>A support and counselling service for offenders with complex needs, poor mental health and substance misuse problems</w:t>
      </w:r>
      <w:r w:rsidR="00627ED0">
        <w:t>.</w:t>
      </w:r>
    </w:p>
    <w:p w14:paraId="48685116" w14:textId="08579358" w:rsidR="00237D13" w:rsidRDefault="00237D13" w:rsidP="00604C03">
      <w:pPr>
        <w:pStyle w:val="PanelPara"/>
        <w:numPr>
          <w:ilvl w:val="1"/>
          <w:numId w:val="6"/>
        </w:numPr>
      </w:pPr>
      <w:r w:rsidRPr="00BD2797">
        <w:t>Integrated Offender Management</w:t>
      </w:r>
      <w:r w:rsidR="00627ED0">
        <w:t>.</w:t>
      </w:r>
    </w:p>
    <w:p w14:paraId="4C787CF6" w14:textId="7FECDBB4" w:rsidR="00FC4407" w:rsidRPr="00AA7BE8" w:rsidRDefault="00FC4407" w:rsidP="00604C03">
      <w:pPr>
        <w:pStyle w:val="PanelPara"/>
      </w:pPr>
      <w:bookmarkStart w:id="23" w:name="_Hlk93920243"/>
      <w:r w:rsidRPr="00AA7BE8">
        <w:t xml:space="preserve">Grant </w:t>
      </w:r>
      <w:r w:rsidRPr="00604C03">
        <w:t>funding</w:t>
      </w:r>
      <w:r w:rsidRPr="00AA7BE8">
        <w:t xml:space="preserve"> for the Immediate Justice pilot has been ceased from April 2025.  However, the PFCC has recognised its success so far and will be continuing to fund the project in 2025/26.  The project seeks to increase the speed and visibility of reparative action in response to ASB, primarily through funding additional staff to supervise and facilitate reparative activity.  Reparative activity may include:</w:t>
      </w:r>
    </w:p>
    <w:p w14:paraId="455ECDD9" w14:textId="1AADA7E6" w:rsidR="00FC4407" w:rsidRPr="00AA7BE8" w:rsidRDefault="00FC4407" w:rsidP="00FC4407">
      <w:pPr>
        <w:pStyle w:val="PanelBullet"/>
        <w:numPr>
          <w:ilvl w:val="1"/>
          <w:numId w:val="6"/>
        </w:numPr>
      </w:pPr>
      <w:r w:rsidRPr="00AA7BE8">
        <w:t>Litter-picking in public parks and high streets</w:t>
      </w:r>
      <w:r w:rsidR="00627ED0">
        <w:t>.</w:t>
      </w:r>
    </w:p>
    <w:p w14:paraId="610BC78F" w14:textId="3B77DF9B" w:rsidR="00FC4407" w:rsidRPr="00AA7BE8" w:rsidRDefault="00FC4407" w:rsidP="00FC4407">
      <w:pPr>
        <w:pStyle w:val="PanelBullet"/>
        <w:numPr>
          <w:ilvl w:val="1"/>
          <w:numId w:val="6"/>
        </w:numPr>
      </w:pPr>
      <w:r w:rsidRPr="00AA7BE8">
        <w:t>Site clean-up after council funded events</w:t>
      </w:r>
      <w:r w:rsidR="00627ED0">
        <w:t>.</w:t>
      </w:r>
    </w:p>
    <w:p w14:paraId="1BF3AEF7" w14:textId="6120DE6B" w:rsidR="00FC4407" w:rsidRPr="00AA7BE8" w:rsidRDefault="00FC4407" w:rsidP="00FC4407">
      <w:pPr>
        <w:pStyle w:val="PanelBullet"/>
        <w:numPr>
          <w:ilvl w:val="1"/>
          <w:numId w:val="6"/>
        </w:numPr>
      </w:pPr>
      <w:r w:rsidRPr="00AA7BE8">
        <w:t>Proactive or reactive cleaning of civic memorials</w:t>
      </w:r>
      <w:r w:rsidR="00627ED0">
        <w:t>.</w:t>
      </w:r>
    </w:p>
    <w:p w14:paraId="6E8BF06D" w14:textId="69E608B9" w:rsidR="00FC4407" w:rsidRPr="00AA7BE8" w:rsidRDefault="00FC4407" w:rsidP="00FC4407">
      <w:pPr>
        <w:pStyle w:val="PanelBullet"/>
        <w:numPr>
          <w:ilvl w:val="1"/>
          <w:numId w:val="6"/>
        </w:numPr>
      </w:pPr>
      <w:r w:rsidRPr="00AA7BE8">
        <w:t>Installation of hanging baskets or temporary civic notices</w:t>
      </w:r>
      <w:r w:rsidR="00627ED0">
        <w:t>.</w:t>
      </w:r>
    </w:p>
    <w:p w14:paraId="0993765E" w14:textId="70B20690" w:rsidR="00FC4407" w:rsidRPr="00AA7BE8" w:rsidRDefault="00FC4407" w:rsidP="00FC4407">
      <w:pPr>
        <w:pStyle w:val="PanelBullet"/>
        <w:numPr>
          <w:ilvl w:val="1"/>
          <w:numId w:val="6"/>
        </w:numPr>
      </w:pPr>
      <w:r w:rsidRPr="00AA7BE8">
        <w:t>Gardening of communal flower beds in town centres</w:t>
      </w:r>
      <w:r w:rsidR="00627ED0">
        <w:t>.</w:t>
      </w:r>
    </w:p>
    <w:p w14:paraId="7930B5DB" w14:textId="7AA9AD0B" w:rsidR="00FC4407" w:rsidRPr="00AA7BE8" w:rsidRDefault="00FC4407" w:rsidP="00FC4407">
      <w:pPr>
        <w:pStyle w:val="PanelBullet"/>
        <w:numPr>
          <w:ilvl w:val="1"/>
          <w:numId w:val="6"/>
        </w:numPr>
      </w:pPr>
      <w:r w:rsidRPr="00AA7BE8">
        <w:t>Cleaning of graffiti on bus shelters, tram stops or train stations or public signage</w:t>
      </w:r>
      <w:r w:rsidR="00627ED0">
        <w:t>.</w:t>
      </w:r>
    </w:p>
    <w:p w14:paraId="1F2BABA0" w14:textId="4C95C5FB" w:rsidR="00045427" w:rsidRPr="00604C03" w:rsidRDefault="00FC4407" w:rsidP="00604C03">
      <w:pPr>
        <w:pStyle w:val="PanelPara"/>
        <w:numPr>
          <w:ilvl w:val="1"/>
          <w:numId w:val="6"/>
        </w:numPr>
      </w:pPr>
      <w:r w:rsidRPr="00AA7BE8">
        <w:t>Basic repairs of damaged public property, or private property with victim/owner consent</w:t>
      </w:r>
      <w:r w:rsidR="00627ED0">
        <w:t>.</w:t>
      </w:r>
    </w:p>
    <w:p w14:paraId="40200A4C" w14:textId="55AC956D" w:rsidR="00F82357" w:rsidRDefault="00BD2797" w:rsidP="009A6A8E">
      <w:pPr>
        <w:pStyle w:val="PanelPara"/>
      </w:pPr>
      <w:r w:rsidRPr="00BD2797">
        <w:t>T</w:t>
      </w:r>
      <w:r w:rsidR="00F56758" w:rsidRPr="00BD2797">
        <w:t xml:space="preserve">he Police, Fire and Crime </w:t>
      </w:r>
      <w:r w:rsidR="00656A64" w:rsidRPr="00BD2797">
        <w:t xml:space="preserve">Plan </w:t>
      </w:r>
      <w:r w:rsidR="00F56758" w:rsidRPr="00BD2797">
        <w:t>Delivery Fund</w:t>
      </w:r>
      <w:r w:rsidRPr="00BD2797">
        <w:t xml:space="preserve"> is earmarked to </w:t>
      </w:r>
      <w:r w:rsidR="00ED6358" w:rsidRPr="00BD2797">
        <w:t xml:space="preserve">support initiatives which are </w:t>
      </w:r>
      <w:r w:rsidRPr="00BD2797">
        <w:t>identified to drive forward work on achieving outcomes in the Public Safety Plan</w:t>
      </w:r>
      <w:r w:rsidR="00ED6358" w:rsidRPr="00BD2797">
        <w:t xml:space="preserve">. </w:t>
      </w:r>
      <w:r w:rsidR="002A32A6" w:rsidRPr="00BD2797">
        <w:t xml:space="preserve"> T</w:t>
      </w:r>
      <w:r w:rsidR="00ED6358" w:rsidRPr="00BD2797">
        <w:t xml:space="preserve">he sum of £0.250m </w:t>
      </w:r>
      <w:r w:rsidR="002A32A6" w:rsidRPr="00BD2797">
        <w:t xml:space="preserve">has been ring-fenced </w:t>
      </w:r>
      <w:r w:rsidR="00656A64" w:rsidRPr="00BD2797">
        <w:t xml:space="preserve">along </w:t>
      </w:r>
      <w:r w:rsidR="005073E5" w:rsidRPr="00BD2797">
        <w:t>with</w:t>
      </w:r>
      <w:r w:rsidR="002A32A6" w:rsidRPr="00BD2797">
        <w:t xml:space="preserve"> funding for</w:t>
      </w:r>
      <w:r w:rsidR="005073E5" w:rsidRPr="00BD2797">
        <w:t xml:space="preserve"> the grant schemes </w:t>
      </w:r>
      <w:r w:rsidR="002A32A6" w:rsidRPr="00BD2797">
        <w:t>already</w:t>
      </w:r>
      <w:r w:rsidR="00CF6BC0" w:rsidRPr="00BD2797">
        <w:t xml:space="preserve"> in place.</w:t>
      </w:r>
    </w:p>
    <w:p w14:paraId="0B020159" w14:textId="34351C81" w:rsidR="00592CA9" w:rsidRDefault="00AD7B4F" w:rsidP="00AE75DF">
      <w:pPr>
        <w:pStyle w:val="PanelPara"/>
      </w:pPr>
      <w:r>
        <w:t>The Customer Services and Communications Teams have been bolstered to ensure they are adequately staffed to meet demand, provide the best possible service and to take forward work that delivers against the Public Safety Plan.</w:t>
      </w:r>
      <w:bookmarkEnd w:id="23"/>
    </w:p>
    <w:p w14:paraId="42BA7C3B" w14:textId="77777777" w:rsidR="00FF3F04" w:rsidRPr="00AE75DF" w:rsidRDefault="00FF3F04" w:rsidP="00FF3F04"/>
    <w:p w14:paraId="57C785B7" w14:textId="77777777" w:rsidR="00604C03" w:rsidRDefault="00604C03" w:rsidP="00C6649D">
      <w:pPr>
        <w:pStyle w:val="PanelHeading"/>
      </w:pPr>
    </w:p>
    <w:p w14:paraId="670DF56D" w14:textId="77777777" w:rsidR="00604C03" w:rsidRDefault="00604C03" w:rsidP="00C6649D">
      <w:pPr>
        <w:pStyle w:val="PanelHeading"/>
      </w:pPr>
    </w:p>
    <w:p w14:paraId="4D45C1D3" w14:textId="77777777" w:rsidR="00604C03" w:rsidRDefault="00604C03" w:rsidP="00C6649D">
      <w:pPr>
        <w:pStyle w:val="PanelHeading"/>
      </w:pPr>
    </w:p>
    <w:p w14:paraId="3DC35B2C" w14:textId="77777777" w:rsidR="00604C03" w:rsidRDefault="00604C03" w:rsidP="00C6649D">
      <w:pPr>
        <w:pStyle w:val="PanelHeading"/>
      </w:pPr>
    </w:p>
    <w:p w14:paraId="6F214C84" w14:textId="77777777" w:rsidR="00604C03" w:rsidRDefault="00604C03" w:rsidP="00C6649D">
      <w:pPr>
        <w:pStyle w:val="PanelHeading"/>
      </w:pPr>
    </w:p>
    <w:p w14:paraId="5FDC7407" w14:textId="0A8D707E" w:rsidR="00211AF5" w:rsidRPr="00AD7B4F" w:rsidRDefault="00FC4407" w:rsidP="00C6649D">
      <w:pPr>
        <w:pStyle w:val="PanelHeading"/>
      </w:pPr>
      <w:r w:rsidRPr="00AD7B4F">
        <w:lastRenderedPageBreak/>
        <w:t>MEDIUM TERM FINANCIAL PLAN (MTFP)</w:t>
      </w:r>
    </w:p>
    <w:p w14:paraId="4AE06E3B" w14:textId="7D08BE7C" w:rsidR="003E5914" w:rsidRDefault="003E5914" w:rsidP="00C6649D">
      <w:pPr>
        <w:pStyle w:val="PanelPara"/>
      </w:pPr>
      <w:bookmarkStart w:id="24" w:name="_Hlk187326694"/>
      <w:r w:rsidRPr="004B1AD4">
        <w:t xml:space="preserve">The MTFP covers a </w:t>
      </w:r>
      <w:r w:rsidR="00B02BB4" w:rsidRPr="004B1AD4">
        <w:t>five-year</w:t>
      </w:r>
      <w:r w:rsidRPr="004B1AD4">
        <w:t xml:space="preserve"> period</w:t>
      </w:r>
      <w:r w:rsidR="00C6649D" w:rsidRPr="004B1AD4">
        <w:t xml:space="preserve"> and is included in more detail at Appendix B.  </w:t>
      </w:r>
      <w:r w:rsidR="004B1AD4" w:rsidRPr="004B1AD4">
        <w:t>It is reviewed regularly with formal updates every 6 months.</w:t>
      </w:r>
      <w:r w:rsidR="00AA5E18">
        <w:t xml:space="preserve">  The current version</w:t>
      </w:r>
      <w:r w:rsidR="00FF3F04">
        <w:t>, updated to take into account the provisional settlement</w:t>
      </w:r>
      <w:r w:rsidR="00AA5E18">
        <w:t xml:space="preserve"> is as follows:</w:t>
      </w:r>
    </w:p>
    <w:tbl>
      <w:tblPr>
        <w:tblW w:w="8380" w:type="dxa"/>
        <w:tblInd w:w="562" w:type="dxa"/>
        <w:tblLook w:val="04A0" w:firstRow="1" w:lastRow="0" w:firstColumn="1" w:lastColumn="0" w:noHBand="0" w:noVBand="1"/>
      </w:tblPr>
      <w:tblGrid>
        <w:gridCol w:w="1100"/>
        <w:gridCol w:w="1780"/>
        <w:gridCol w:w="1100"/>
        <w:gridCol w:w="1100"/>
        <w:gridCol w:w="1100"/>
        <w:gridCol w:w="1100"/>
        <w:gridCol w:w="1100"/>
      </w:tblGrid>
      <w:tr w:rsidR="00FF3F04" w:rsidRPr="00FF3F04" w14:paraId="306934F7" w14:textId="77777777" w:rsidTr="00FF3F04">
        <w:trPr>
          <w:trHeight w:val="630"/>
        </w:trPr>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bookmarkEnd w:id="24"/>
          <w:p w14:paraId="47ABF621" w14:textId="77777777" w:rsidR="00FF3F04" w:rsidRPr="00FF3F04" w:rsidRDefault="00FF3F04" w:rsidP="00FF3F04">
            <w:pPr>
              <w:spacing w:line="240" w:lineRule="auto"/>
              <w:jc w:val="center"/>
              <w:rPr>
                <w:rFonts w:eastAsia="Times New Roman" w:cs="Calibri"/>
                <w:b/>
                <w:bCs/>
                <w:color w:val="000000"/>
                <w:lang w:eastAsia="en-GB"/>
              </w:rPr>
            </w:pPr>
            <w:r w:rsidRPr="00FF3F04">
              <w:rPr>
                <w:rFonts w:eastAsia="Times New Roman" w:cs="Calibri"/>
                <w:b/>
                <w:bCs/>
                <w:color w:val="000000"/>
                <w:lang w:eastAsia="en-GB"/>
              </w:rPr>
              <w:t>2024/25</w:t>
            </w:r>
            <w:r w:rsidRPr="00FF3F04">
              <w:rPr>
                <w:rFonts w:eastAsia="Times New Roman" w:cs="Calibri"/>
                <w:b/>
                <w:bCs/>
                <w:color w:val="000000"/>
                <w:lang w:eastAsia="en-GB"/>
              </w:rPr>
              <w:br/>
              <w:t>£m</w:t>
            </w:r>
          </w:p>
        </w:tc>
        <w:tc>
          <w:tcPr>
            <w:tcW w:w="1780" w:type="dxa"/>
            <w:tcBorders>
              <w:top w:val="single" w:sz="4" w:space="0" w:color="auto"/>
              <w:left w:val="nil"/>
              <w:bottom w:val="single" w:sz="4" w:space="0" w:color="auto"/>
              <w:right w:val="single" w:sz="4" w:space="0" w:color="auto"/>
            </w:tcBorders>
            <w:shd w:val="clear" w:color="000000" w:fill="FFFFFF"/>
            <w:noWrap/>
            <w:vAlign w:val="center"/>
            <w:hideMark/>
          </w:tcPr>
          <w:p w14:paraId="2B0E34FE" w14:textId="77777777" w:rsidR="00FF3F04" w:rsidRPr="00FF3F04" w:rsidRDefault="00FF3F04" w:rsidP="00FF3F04">
            <w:pPr>
              <w:spacing w:line="240" w:lineRule="auto"/>
              <w:jc w:val="center"/>
              <w:rPr>
                <w:rFonts w:eastAsia="Times New Roman" w:cs="Calibri"/>
                <w:b/>
                <w:bCs/>
                <w:color w:val="000000"/>
                <w:lang w:eastAsia="en-GB"/>
              </w:rPr>
            </w:pPr>
            <w:r w:rsidRPr="00FF3F04">
              <w:rPr>
                <w:rFonts w:eastAsia="Times New Roman" w:cs="Calibri"/>
                <w:b/>
                <w:bCs/>
                <w:color w:val="000000"/>
                <w:lang w:eastAsia="en-GB"/>
              </w:rPr>
              <w:t> </w:t>
            </w:r>
          </w:p>
        </w:tc>
        <w:tc>
          <w:tcPr>
            <w:tcW w:w="1100" w:type="dxa"/>
            <w:tcBorders>
              <w:top w:val="single" w:sz="4" w:space="0" w:color="auto"/>
              <w:left w:val="nil"/>
              <w:bottom w:val="single" w:sz="4" w:space="0" w:color="auto"/>
              <w:right w:val="single" w:sz="4" w:space="0" w:color="auto"/>
            </w:tcBorders>
            <w:shd w:val="clear" w:color="000000" w:fill="DDEBF7"/>
            <w:vAlign w:val="center"/>
            <w:hideMark/>
          </w:tcPr>
          <w:p w14:paraId="5B13C86B" w14:textId="77777777" w:rsidR="00FF3F04" w:rsidRPr="00FF3F04" w:rsidRDefault="00FF3F04" w:rsidP="00FF3F04">
            <w:pPr>
              <w:spacing w:line="240" w:lineRule="auto"/>
              <w:jc w:val="center"/>
              <w:rPr>
                <w:rFonts w:eastAsia="Times New Roman" w:cs="Calibri"/>
                <w:b/>
                <w:bCs/>
                <w:color w:val="000000"/>
                <w:lang w:eastAsia="en-GB"/>
              </w:rPr>
            </w:pPr>
            <w:r w:rsidRPr="00FF3F04">
              <w:rPr>
                <w:rFonts w:eastAsia="Times New Roman" w:cs="Calibri"/>
                <w:b/>
                <w:bCs/>
                <w:color w:val="000000"/>
                <w:lang w:eastAsia="en-GB"/>
              </w:rPr>
              <w:t>2025/26</w:t>
            </w:r>
            <w:r w:rsidRPr="00FF3F04">
              <w:rPr>
                <w:rFonts w:eastAsia="Times New Roman" w:cs="Calibri"/>
                <w:b/>
                <w:bCs/>
                <w:color w:val="000000"/>
                <w:lang w:eastAsia="en-GB"/>
              </w:rPr>
              <w:br/>
              <w:t>£m</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14:paraId="20FC8A0A" w14:textId="77777777" w:rsidR="00FF3F04" w:rsidRPr="00FF3F04" w:rsidRDefault="00FF3F04" w:rsidP="00FF3F04">
            <w:pPr>
              <w:spacing w:line="240" w:lineRule="auto"/>
              <w:jc w:val="center"/>
              <w:rPr>
                <w:rFonts w:eastAsia="Times New Roman" w:cs="Calibri"/>
                <w:b/>
                <w:bCs/>
                <w:color w:val="000000"/>
                <w:lang w:eastAsia="en-GB"/>
              </w:rPr>
            </w:pPr>
            <w:r w:rsidRPr="00FF3F04">
              <w:rPr>
                <w:rFonts w:eastAsia="Times New Roman" w:cs="Calibri"/>
                <w:b/>
                <w:bCs/>
                <w:color w:val="000000"/>
                <w:lang w:eastAsia="en-GB"/>
              </w:rPr>
              <w:t>2026/27</w:t>
            </w:r>
            <w:r w:rsidRPr="00FF3F04">
              <w:rPr>
                <w:rFonts w:eastAsia="Times New Roman" w:cs="Calibri"/>
                <w:b/>
                <w:bCs/>
                <w:color w:val="000000"/>
                <w:lang w:eastAsia="en-GB"/>
              </w:rPr>
              <w:br/>
              <w:t>£m</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14:paraId="13485AF5" w14:textId="77777777" w:rsidR="00FF3F04" w:rsidRPr="00FF3F04" w:rsidRDefault="00FF3F04" w:rsidP="00FF3F04">
            <w:pPr>
              <w:spacing w:line="240" w:lineRule="auto"/>
              <w:jc w:val="center"/>
              <w:rPr>
                <w:rFonts w:eastAsia="Times New Roman" w:cs="Calibri"/>
                <w:b/>
                <w:bCs/>
                <w:color w:val="000000"/>
                <w:lang w:eastAsia="en-GB"/>
              </w:rPr>
            </w:pPr>
            <w:r w:rsidRPr="00FF3F04">
              <w:rPr>
                <w:rFonts w:eastAsia="Times New Roman" w:cs="Calibri"/>
                <w:b/>
                <w:bCs/>
                <w:color w:val="000000"/>
                <w:lang w:eastAsia="en-GB"/>
              </w:rPr>
              <w:t>2027/28</w:t>
            </w:r>
            <w:r w:rsidRPr="00FF3F04">
              <w:rPr>
                <w:rFonts w:eastAsia="Times New Roman" w:cs="Calibri"/>
                <w:b/>
                <w:bCs/>
                <w:color w:val="000000"/>
                <w:lang w:eastAsia="en-GB"/>
              </w:rPr>
              <w:br/>
              <w:t>£m</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14:paraId="59D61AC1" w14:textId="77777777" w:rsidR="00FF3F04" w:rsidRPr="00FF3F04" w:rsidRDefault="00FF3F04" w:rsidP="00FF3F04">
            <w:pPr>
              <w:spacing w:line="240" w:lineRule="auto"/>
              <w:jc w:val="center"/>
              <w:rPr>
                <w:rFonts w:eastAsia="Times New Roman" w:cs="Calibri"/>
                <w:b/>
                <w:bCs/>
                <w:color w:val="000000"/>
                <w:lang w:eastAsia="en-GB"/>
              </w:rPr>
            </w:pPr>
            <w:r w:rsidRPr="00FF3F04">
              <w:rPr>
                <w:rFonts w:eastAsia="Times New Roman" w:cs="Calibri"/>
                <w:b/>
                <w:bCs/>
                <w:color w:val="000000"/>
                <w:lang w:eastAsia="en-GB"/>
              </w:rPr>
              <w:t>2028/29</w:t>
            </w:r>
            <w:r w:rsidRPr="00FF3F04">
              <w:rPr>
                <w:rFonts w:eastAsia="Times New Roman" w:cs="Calibri"/>
                <w:b/>
                <w:bCs/>
                <w:color w:val="000000"/>
                <w:lang w:eastAsia="en-GB"/>
              </w:rPr>
              <w:br/>
              <w:t>£m</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14:paraId="05CD4F55" w14:textId="77777777" w:rsidR="00FF3F04" w:rsidRPr="00FF3F04" w:rsidRDefault="00FF3F04" w:rsidP="00FF3F04">
            <w:pPr>
              <w:spacing w:line="240" w:lineRule="auto"/>
              <w:jc w:val="center"/>
              <w:rPr>
                <w:rFonts w:eastAsia="Times New Roman" w:cs="Calibri"/>
                <w:b/>
                <w:bCs/>
                <w:color w:val="000000"/>
                <w:lang w:eastAsia="en-GB"/>
              </w:rPr>
            </w:pPr>
            <w:r w:rsidRPr="00FF3F04">
              <w:rPr>
                <w:rFonts w:eastAsia="Times New Roman" w:cs="Calibri"/>
                <w:b/>
                <w:bCs/>
                <w:color w:val="000000"/>
                <w:lang w:eastAsia="en-GB"/>
              </w:rPr>
              <w:t>2029/30</w:t>
            </w:r>
            <w:r w:rsidRPr="00FF3F04">
              <w:rPr>
                <w:rFonts w:eastAsia="Times New Roman" w:cs="Calibri"/>
                <w:b/>
                <w:bCs/>
                <w:color w:val="000000"/>
                <w:lang w:eastAsia="en-GB"/>
              </w:rPr>
              <w:br/>
              <w:t>£m</w:t>
            </w:r>
          </w:p>
        </w:tc>
      </w:tr>
      <w:tr w:rsidR="00FF3F04" w:rsidRPr="00FF3F04" w14:paraId="42E8BB25" w14:textId="77777777" w:rsidTr="00FF3F04">
        <w:trPr>
          <w:trHeight w:val="315"/>
        </w:trPr>
        <w:tc>
          <w:tcPr>
            <w:tcW w:w="1100" w:type="dxa"/>
            <w:tcBorders>
              <w:top w:val="nil"/>
              <w:left w:val="single" w:sz="4" w:space="0" w:color="auto"/>
              <w:bottom w:val="nil"/>
              <w:right w:val="single" w:sz="4" w:space="0" w:color="auto"/>
            </w:tcBorders>
            <w:shd w:val="clear" w:color="000000" w:fill="FFFFFF"/>
            <w:noWrap/>
            <w:vAlign w:val="bottom"/>
            <w:hideMark/>
          </w:tcPr>
          <w:p w14:paraId="4F21AD57" w14:textId="77777777" w:rsidR="00FF3F04" w:rsidRPr="00FF3F04" w:rsidRDefault="00FF3F04" w:rsidP="00FF3F04">
            <w:pPr>
              <w:spacing w:line="240" w:lineRule="auto"/>
              <w:jc w:val="right"/>
              <w:rPr>
                <w:rFonts w:eastAsia="Times New Roman" w:cs="Calibri"/>
                <w:color w:val="000000"/>
                <w:lang w:eastAsia="en-GB"/>
              </w:rPr>
            </w:pPr>
            <w:r w:rsidRPr="00FF3F04">
              <w:rPr>
                <w:rFonts w:eastAsia="Times New Roman" w:cs="Calibri"/>
                <w:color w:val="000000"/>
                <w:lang w:eastAsia="en-GB"/>
              </w:rPr>
              <w:t>183.771</w:t>
            </w:r>
          </w:p>
        </w:tc>
        <w:tc>
          <w:tcPr>
            <w:tcW w:w="1780" w:type="dxa"/>
            <w:tcBorders>
              <w:top w:val="nil"/>
              <w:left w:val="nil"/>
              <w:bottom w:val="nil"/>
              <w:right w:val="single" w:sz="4" w:space="0" w:color="auto"/>
            </w:tcBorders>
            <w:shd w:val="clear" w:color="000000" w:fill="FFFFFF"/>
            <w:noWrap/>
            <w:vAlign w:val="bottom"/>
            <w:hideMark/>
          </w:tcPr>
          <w:p w14:paraId="5A03B2A1" w14:textId="77777777" w:rsidR="00FF3F04" w:rsidRPr="00FF3F04" w:rsidRDefault="00FF3F04" w:rsidP="00FF3F04">
            <w:pPr>
              <w:spacing w:line="240" w:lineRule="auto"/>
              <w:rPr>
                <w:rFonts w:eastAsia="Times New Roman" w:cs="Calibri"/>
                <w:color w:val="000000"/>
                <w:lang w:eastAsia="en-GB"/>
              </w:rPr>
            </w:pPr>
            <w:r w:rsidRPr="00FF3F04">
              <w:rPr>
                <w:rFonts w:eastAsia="Times New Roman" w:cs="Calibri"/>
                <w:color w:val="000000"/>
                <w:lang w:eastAsia="en-GB"/>
              </w:rPr>
              <w:t>Expenditure</w:t>
            </w:r>
          </w:p>
        </w:tc>
        <w:tc>
          <w:tcPr>
            <w:tcW w:w="1100" w:type="dxa"/>
            <w:tcBorders>
              <w:top w:val="nil"/>
              <w:left w:val="nil"/>
              <w:bottom w:val="nil"/>
              <w:right w:val="single" w:sz="4" w:space="0" w:color="auto"/>
            </w:tcBorders>
            <w:shd w:val="clear" w:color="000000" w:fill="DDEBF7"/>
            <w:noWrap/>
            <w:vAlign w:val="bottom"/>
            <w:hideMark/>
          </w:tcPr>
          <w:p w14:paraId="5AE8A407" w14:textId="77777777" w:rsidR="00FF3F04" w:rsidRPr="00FF3F04" w:rsidRDefault="00FF3F04" w:rsidP="00FF3F04">
            <w:pPr>
              <w:spacing w:line="240" w:lineRule="auto"/>
              <w:jc w:val="right"/>
              <w:rPr>
                <w:rFonts w:eastAsia="Times New Roman" w:cs="Calibri"/>
                <w:color w:val="000000"/>
                <w:lang w:eastAsia="en-GB"/>
              </w:rPr>
            </w:pPr>
            <w:r w:rsidRPr="00FF3F04">
              <w:rPr>
                <w:rFonts w:eastAsia="Times New Roman" w:cs="Calibri"/>
                <w:color w:val="000000"/>
                <w:lang w:eastAsia="en-GB"/>
              </w:rPr>
              <w:t>197.628</w:t>
            </w:r>
          </w:p>
        </w:tc>
        <w:tc>
          <w:tcPr>
            <w:tcW w:w="1100" w:type="dxa"/>
            <w:tcBorders>
              <w:top w:val="nil"/>
              <w:left w:val="nil"/>
              <w:bottom w:val="nil"/>
              <w:right w:val="single" w:sz="4" w:space="0" w:color="auto"/>
            </w:tcBorders>
            <w:shd w:val="clear" w:color="000000" w:fill="FFFFFF"/>
            <w:noWrap/>
            <w:vAlign w:val="bottom"/>
            <w:hideMark/>
          </w:tcPr>
          <w:p w14:paraId="29E97CB5" w14:textId="77777777" w:rsidR="00FF3F04" w:rsidRPr="00FF3F04" w:rsidRDefault="00FF3F04" w:rsidP="00FF3F04">
            <w:pPr>
              <w:spacing w:line="240" w:lineRule="auto"/>
              <w:jc w:val="right"/>
              <w:rPr>
                <w:rFonts w:eastAsia="Times New Roman" w:cs="Calibri"/>
                <w:color w:val="000000"/>
                <w:lang w:eastAsia="en-GB"/>
              </w:rPr>
            </w:pPr>
            <w:r w:rsidRPr="00FF3F04">
              <w:rPr>
                <w:rFonts w:eastAsia="Times New Roman" w:cs="Calibri"/>
                <w:color w:val="000000"/>
                <w:lang w:eastAsia="en-GB"/>
              </w:rPr>
              <w:t>205.454</w:t>
            </w:r>
          </w:p>
        </w:tc>
        <w:tc>
          <w:tcPr>
            <w:tcW w:w="1100" w:type="dxa"/>
            <w:tcBorders>
              <w:top w:val="nil"/>
              <w:left w:val="nil"/>
              <w:bottom w:val="nil"/>
              <w:right w:val="single" w:sz="4" w:space="0" w:color="auto"/>
            </w:tcBorders>
            <w:shd w:val="clear" w:color="000000" w:fill="FFFFFF"/>
            <w:noWrap/>
            <w:vAlign w:val="bottom"/>
            <w:hideMark/>
          </w:tcPr>
          <w:p w14:paraId="7D61EF43" w14:textId="77777777" w:rsidR="00FF3F04" w:rsidRPr="00FF3F04" w:rsidRDefault="00FF3F04" w:rsidP="00FF3F04">
            <w:pPr>
              <w:spacing w:line="240" w:lineRule="auto"/>
              <w:jc w:val="right"/>
              <w:rPr>
                <w:rFonts w:eastAsia="Times New Roman" w:cs="Calibri"/>
                <w:color w:val="000000"/>
                <w:lang w:eastAsia="en-GB"/>
              </w:rPr>
            </w:pPr>
            <w:r w:rsidRPr="00FF3F04">
              <w:rPr>
                <w:rFonts w:eastAsia="Times New Roman" w:cs="Calibri"/>
                <w:color w:val="000000"/>
                <w:lang w:eastAsia="en-GB"/>
              </w:rPr>
              <w:t>212.813</w:t>
            </w:r>
          </w:p>
        </w:tc>
        <w:tc>
          <w:tcPr>
            <w:tcW w:w="1100" w:type="dxa"/>
            <w:tcBorders>
              <w:top w:val="nil"/>
              <w:left w:val="nil"/>
              <w:bottom w:val="nil"/>
              <w:right w:val="single" w:sz="4" w:space="0" w:color="auto"/>
            </w:tcBorders>
            <w:shd w:val="clear" w:color="000000" w:fill="FFFFFF"/>
            <w:noWrap/>
            <w:vAlign w:val="bottom"/>
            <w:hideMark/>
          </w:tcPr>
          <w:p w14:paraId="3124D06E" w14:textId="77777777" w:rsidR="00FF3F04" w:rsidRPr="00FF3F04" w:rsidRDefault="00FF3F04" w:rsidP="00FF3F04">
            <w:pPr>
              <w:spacing w:line="240" w:lineRule="auto"/>
              <w:jc w:val="right"/>
              <w:rPr>
                <w:rFonts w:eastAsia="Times New Roman" w:cs="Calibri"/>
                <w:color w:val="000000"/>
                <w:lang w:eastAsia="en-GB"/>
              </w:rPr>
            </w:pPr>
            <w:r w:rsidRPr="00FF3F04">
              <w:rPr>
                <w:rFonts w:eastAsia="Times New Roman" w:cs="Calibri"/>
                <w:color w:val="000000"/>
                <w:lang w:eastAsia="en-GB"/>
              </w:rPr>
              <w:t>217.261</w:t>
            </w:r>
          </w:p>
        </w:tc>
        <w:tc>
          <w:tcPr>
            <w:tcW w:w="1100" w:type="dxa"/>
            <w:tcBorders>
              <w:top w:val="nil"/>
              <w:left w:val="nil"/>
              <w:bottom w:val="nil"/>
              <w:right w:val="single" w:sz="4" w:space="0" w:color="auto"/>
            </w:tcBorders>
            <w:shd w:val="clear" w:color="000000" w:fill="FFFFFF"/>
            <w:noWrap/>
            <w:vAlign w:val="bottom"/>
            <w:hideMark/>
          </w:tcPr>
          <w:p w14:paraId="6C5CE5CC" w14:textId="77777777" w:rsidR="00FF3F04" w:rsidRPr="00FF3F04" w:rsidRDefault="00FF3F04" w:rsidP="00FF3F04">
            <w:pPr>
              <w:spacing w:line="240" w:lineRule="auto"/>
              <w:jc w:val="right"/>
              <w:rPr>
                <w:rFonts w:eastAsia="Times New Roman" w:cs="Calibri"/>
                <w:color w:val="000000"/>
                <w:lang w:eastAsia="en-GB"/>
              </w:rPr>
            </w:pPr>
            <w:r w:rsidRPr="00FF3F04">
              <w:rPr>
                <w:rFonts w:eastAsia="Times New Roman" w:cs="Calibri"/>
                <w:color w:val="000000"/>
                <w:lang w:eastAsia="en-GB"/>
              </w:rPr>
              <w:t>222.814</w:t>
            </w:r>
          </w:p>
        </w:tc>
      </w:tr>
      <w:tr w:rsidR="00FF3F04" w:rsidRPr="00FF3F04" w14:paraId="4567216F" w14:textId="77777777" w:rsidTr="00FF3F04">
        <w:trPr>
          <w:trHeight w:val="315"/>
        </w:trPr>
        <w:tc>
          <w:tcPr>
            <w:tcW w:w="1100" w:type="dxa"/>
            <w:tcBorders>
              <w:top w:val="nil"/>
              <w:left w:val="single" w:sz="4" w:space="0" w:color="auto"/>
              <w:bottom w:val="nil"/>
              <w:right w:val="single" w:sz="4" w:space="0" w:color="auto"/>
            </w:tcBorders>
            <w:shd w:val="clear" w:color="000000" w:fill="FFFFFF"/>
            <w:noWrap/>
            <w:vAlign w:val="bottom"/>
            <w:hideMark/>
          </w:tcPr>
          <w:p w14:paraId="756053FA" w14:textId="77777777" w:rsidR="00FF3F04" w:rsidRPr="00FF3F04" w:rsidRDefault="00FF3F04" w:rsidP="00FF3F04">
            <w:pPr>
              <w:spacing w:line="240" w:lineRule="auto"/>
              <w:jc w:val="right"/>
              <w:rPr>
                <w:rFonts w:eastAsia="Times New Roman" w:cs="Calibri"/>
                <w:color w:val="000000"/>
                <w:lang w:eastAsia="en-GB"/>
              </w:rPr>
            </w:pPr>
            <w:r w:rsidRPr="00FF3F04">
              <w:rPr>
                <w:rFonts w:eastAsia="Times New Roman" w:cs="Calibri"/>
                <w:color w:val="000000"/>
                <w:lang w:eastAsia="en-GB"/>
              </w:rPr>
              <w:t>(0.803)</w:t>
            </w:r>
          </w:p>
        </w:tc>
        <w:tc>
          <w:tcPr>
            <w:tcW w:w="1780" w:type="dxa"/>
            <w:tcBorders>
              <w:top w:val="nil"/>
              <w:left w:val="nil"/>
              <w:bottom w:val="nil"/>
              <w:right w:val="single" w:sz="4" w:space="0" w:color="auto"/>
            </w:tcBorders>
            <w:shd w:val="clear" w:color="000000" w:fill="FFFFFF"/>
            <w:noWrap/>
            <w:vAlign w:val="bottom"/>
            <w:hideMark/>
          </w:tcPr>
          <w:p w14:paraId="0B82A059" w14:textId="77777777" w:rsidR="00FF3F04" w:rsidRPr="00FF3F04" w:rsidRDefault="00FF3F04" w:rsidP="00FF3F04">
            <w:pPr>
              <w:spacing w:line="240" w:lineRule="auto"/>
              <w:rPr>
                <w:rFonts w:eastAsia="Times New Roman" w:cs="Calibri"/>
                <w:color w:val="000000"/>
                <w:lang w:eastAsia="en-GB"/>
              </w:rPr>
            </w:pPr>
            <w:r w:rsidRPr="00FF3F04">
              <w:rPr>
                <w:rFonts w:eastAsia="Times New Roman" w:cs="Calibri"/>
                <w:color w:val="000000"/>
                <w:lang w:eastAsia="en-GB"/>
              </w:rPr>
              <w:t>Savings Plans</w:t>
            </w:r>
          </w:p>
        </w:tc>
        <w:tc>
          <w:tcPr>
            <w:tcW w:w="1100" w:type="dxa"/>
            <w:tcBorders>
              <w:top w:val="nil"/>
              <w:left w:val="nil"/>
              <w:bottom w:val="nil"/>
              <w:right w:val="single" w:sz="4" w:space="0" w:color="auto"/>
            </w:tcBorders>
            <w:shd w:val="clear" w:color="000000" w:fill="DDEBF7"/>
            <w:noWrap/>
            <w:vAlign w:val="bottom"/>
            <w:hideMark/>
          </w:tcPr>
          <w:p w14:paraId="2D4E39FE" w14:textId="77777777" w:rsidR="00FF3F04" w:rsidRPr="00FF3F04" w:rsidRDefault="00FF3F04" w:rsidP="00FF3F04">
            <w:pPr>
              <w:spacing w:line="240" w:lineRule="auto"/>
              <w:jc w:val="right"/>
              <w:rPr>
                <w:rFonts w:eastAsia="Times New Roman" w:cs="Calibri"/>
                <w:color w:val="000000"/>
                <w:lang w:eastAsia="en-GB"/>
              </w:rPr>
            </w:pPr>
            <w:r w:rsidRPr="00FF3F04">
              <w:rPr>
                <w:rFonts w:eastAsia="Times New Roman" w:cs="Calibri"/>
                <w:color w:val="000000"/>
                <w:lang w:eastAsia="en-GB"/>
              </w:rPr>
              <w:t>(3.435)</w:t>
            </w:r>
          </w:p>
        </w:tc>
        <w:tc>
          <w:tcPr>
            <w:tcW w:w="1100" w:type="dxa"/>
            <w:tcBorders>
              <w:top w:val="nil"/>
              <w:left w:val="nil"/>
              <w:bottom w:val="nil"/>
              <w:right w:val="single" w:sz="4" w:space="0" w:color="auto"/>
            </w:tcBorders>
            <w:shd w:val="clear" w:color="000000" w:fill="FFFFFF"/>
            <w:noWrap/>
            <w:vAlign w:val="bottom"/>
            <w:hideMark/>
          </w:tcPr>
          <w:p w14:paraId="2D139FF0" w14:textId="77777777" w:rsidR="00FF3F04" w:rsidRPr="00FF3F04" w:rsidRDefault="00FF3F04" w:rsidP="00FF3F04">
            <w:pPr>
              <w:spacing w:line="240" w:lineRule="auto"/>
              <w:jc w:val="right"/>
              <w:rPr>
                <w:rFonts w:eastAsia="Times New Roman" w:cs="Calibri"/>
                <w:color w:val="000000"/>
                <w:lang w:eastAsia="en-GB"/>
              </w:rPr>
            </w:pPr>
            <w:r w:rsidRPr="00FF3F04">
              <w:rPr>
                <w:rFonts w:eastAsia="Times New Roman" w:cs="Calibri"/>
                <w:color w:val="000000"/>
                <w:lang w:eastAsia="en-GB"/>
              </w:rPr>
              <w:t>(4.222)</w:t>
            </w:r>
          </w:p>
        </w:tc>
        <w:tc>
          <w:tcPr>
            <w:tcW w:w="1100" w:type="dxa"/>
            <w:tcBorders>
              <w:top w:val="nil"/>
              <w:left w:val="nil"/>
              <w:bottom w:val="nil"/>
              <w:right w:val="single" w:sz="4" w:space="0" w:color="auto"/>
            </w:tcBorders>
            <w:shd w:val="clear" w:color="000000" w:fill="FFFFFF"/>
            <w:noWrap/>
            <w:vAlign w:val="bottom"/>
            <w:hideMark/>
          </w:tcPr>
          <w:p w14:paraId="64EB8BC8" w14:textId="77777777" w:rsidR="00FF3F04" w:rsidRPr="00FF3F04" w:rsidRDefault="00FF3F04" w:rsidP="00FF3F04">
            <w:pPr>
              <w:spacing w:line="240" w:lineRule="auto"/>
              <w:jc w:val="right"/>
              <w:rPr>
                <w:rFonts w:eastAsia="Times New Roman" w:cs="Calibri"/>
                <w:color w:val="000000"/>
                <w:lang w:eastAsia="en-GB"/>
              </w:rPr>
            </w:pPr>
            <w:r w:rsidRPr="00FF3F04">
              <w:rPr>
                <w:rFonts w:eastAsia="Times New Roman" w:cs="Calibri"/>
                <w:color w:val="000000"/>
                <w:lang w:eastAsia="en-GB"/>
              </w:rPr>
              <w:t>(5.217)</w:t>
            </w:r>
          </w:p>
        </w:tc>
        <w:tc>
          <w:tcPr>
            <w:tcW w:w="1100" w:type="dxa"/>
            <w:tcBorders>
              <w:top w:val="nil"/>
              <w:left w:val="nil"/>
              <w:bottom w:val="nil"/>
              <w:right w:val="single" w:sz="4" w:space="0" w:color="auto"/>
            </w:tcBorders>
            <w:shd w:val="clear" w:color="000000" w:fill="FFFFFF"/>
            <w:noWrap/>
            <w:vAlign w:val="bottom"/>
            <w:hideMark/>
          </w:tcPr>
          <w:p w14:paraId="3B5E7071" w14:textId="77777777" w:rsidR="00FF3F04" w:rsidRPr="00FF3F04" w:rsidRDefault="00FF3F04" w:rsidP="00FF3F04">
            <w:pPr>
              <w:spacing w:line="240" w:lineRule="auto"/>
              <w:jc w:val="right"/>
              <w:rPr>
                <w:rFonts w:eastAsia="Times New Roman" w:cs="Calibri"/>
                <w:color w:val="000000"/>
                <w:lang w:eastAsia="en-GB"/>
              </w:rPr>
            </w:pPr>
            <w:r w:rsidRPr="00FF3F04">
              <w:rPr>
                <w:rFonts w:eastAsia="Times New Roman" w:cs="Calibri"/>
                <w:color w:val="000000"/>
                <w:lang w:eastAsia="en-GB"/>
              </w:rPr>
              <w:t>(6.232)</w:t>
            </w:r>
          </w:p>
        </w:tc>
        <w:tc>
          <w:tcPr>
            <w:tcW w:w="1100" w:type="dxa"/>
            <w:tcBorders>
              <w:top w:val="nil"/>
              <w:left w:val="nil"/>
              <w:bottom w:val="nil"/>
              <w:right w:val="single" w:sz="4" w:space="0" w:color="auto"/>
            </w:tcBorders>
            <w:shd w:val="clear" w:color="000000" w:fill="FFFFFF"/>
            <w:noWrap/>
            <w:vAlign w:val="bottom"/>
            <w:hideMark/>
          </w:tcPr>
          <w:p w14:paraId="310C7166" w14:textId="77777777" w:rsidR="00FF3F04" w:rsidRPr="00FF3F04" w:rsidRDefault="00FF3F04" w:rsidP="00FF3F04">
            <w:pPr>
              <w:spacing w:line="240" w:lineRule="auto"/>
              <w:jc w:val="right"/>
              <w:rPr>
                <w:rFonts w:eastAsia="Times New Roman" w:cs="Calibri"/>
                <w:color w:val="000000"/>
                <w:lang w:eastAsia="en-GB"/>
              </w:rPr>
            </w:pPr>
            <w:r w:rsidRPr="00FF3F04">
              <w:rPr>
                <w:rFonts w:eastAsia="Times New Roman" w:cs="Calibri"/>
                <w:color w:val="000000"/>
                <w:lang w:eastAsia="en-GB"/>
              </w:rPr>
              <w:t>(7.270)</w:t>
            </w:r>
          </w:p>
        </w:tc>
      </w:tr>
      <w:tr w:rsidR="00FF3F04" w:rsidRPr="00FF3F04" w14:paraId="27ECF378" w14:textId="77777777" w:rsidTr="00FF3F04">
        <w:trPr>
          <w:trHeight w:val="315"/>
        </w:trPr>
        <w:tc>
          <w:tcPr>
            <w:tcW w:w="1100" w:type="dxa"/>
            <w:tcBorders>
              <w:top w:val="single" w:sz="4" w:space="0" w:color="auto"/>
              <w:left w:val="single" w:sz="4" w:space="0" w:color="auto"/>
              <w:bottom w:val="nil"/>
              <w:right w:val="single" w:sz="4" w:space="0" w:color="auto"/>
            </w:tcBorders>
            <w:shd w:val="clear" w:color="000000" w:fill="FFFFFF"/>
            <w:noWrap/>
            <w:vAlign w:val="bottom"/>
            <w:hideMark/>
          </w:tcPr>
          <w:p w14:paraId="207A6ED3" w14:textId="77777777" w:rsidR="00FF3F04" w:rsidRPr="00FF3F04" w:rsidRDefault="00FF3F04" w:rsidP="00FF3F04">
            <w:pPr>
              <w:spacing w:line="240" w:lineRule="auto"/>
              <w:jc w:val="right"/>
              <w:rPr>
                <w:rFonts w:eastAsia="Times New Roman" w:cs="Calibri"/>
                <w:b/>
                <w:bCs/>
                <w:color w:val="000000"/>
                <w:lang w:eastAsia="en-GB"/>
              </w:rPr>
            </w:pPr>
            <w:r w:rsidRPr="00FF3F04">
              <w:rPr>
                <w:rFonts w:eastAsia="Times New Roman" w:cs="Calibri"/>
                <w:b/>
                <w:bCs/>
                <w:color w:val="000000"/>
                <w:lang w:eastAsia="en-GB"/>
              </w:rPr>
              <w:t>182.968</w:t>
            </w:r>
          </w:p>
        </w:tc>
        <w:tc>
          <w:tcPr>
            <w:tcW w:w="1780" w:type="dxa"/>
            <w:tcBorders>
              <w:top w:val="nil"/>
              <w:left w:val="nil"/>
              <w:bottom w:val="nil"/>
              <w:right w:val="single" w:sz="4" w:space="0" w:color="auto"/>
            </w:tcBorders>
            <w:shd w:val="clear" w:color="000000" w:fill="FFFFFF"/>
            <w:noWrap/>
            <w:vAlign w:val="bottom"/>
            <w:hideMark/>
          </w:tcPr>
          <w:p w14:paraId="13FA63C8" w14:textId="77777777" w:rsidR="00FF3F04" w:rsidRPr="00FF3F04" w:rsidRDefault="00FF3F04" w:rsidP="00FF3F04">
            <w:pPr>
              <w:spacing w:line="240" w:lineRule="auto"/>
              <w:rPr>
                <w:rFonts w:eastAsia="Times New Roman" w:cs="Calibri"/>
                <w:b/>
                <w:bCs/>
                <w:color w:val="000000"/>
                <w:lang w:eastAsia="en-GB"/>
              </w:rPr>
            </w:pPr>
            <w:r w:rsidRPr="00FF3F04">
              <w:rPr>
                <w:rFonts w:eastAsia="Times New Roman" w:cs="Calibri"/>
                <w:b/>
                <w:bCs/>
                <w:color w:val="000000"/>
                <w:lang w:eastAsia="en-GB"/>
              </w:rPr>
              <w:t> </w:t>
            </w:r>
          </w:p>
        </w:tc>
        <w:tc>
          <w:tcPr>
            <w:tcW w:w="1100" w:type="dxa"/>
            <w:tcBorders>
              <w:top w:val="single" w:sz="4" w:space="0" w:color="auto"/>
              <w:left w:val="nil"/>
              <w:bottom w:val="nil"/>
              <w:right w:val="single" w:sz="4" w:space="0" w:color="auto"/>
            </w:tcBorders>
            <w:shd w:val="clear" w:color="000000" w:fill="DDEBF7"/>
            <w:noWrap/>
            <w:vAlign w:val="bottom"/>
            <w:hideMark/>
          </w:tcPr>
          <w:p w14:paraId="07D29BF1" w14:textId="77777777" w:rsidR="00FF3F04" w:rsidRPr="00FF3F04" w:rsidRDefault="00FF3F04" w:rsidP="00FF3F04">
            <w:pPr>
              <w:spacing w:line="240" w:lineRule="auto"/>
              <w:jc w:val="right"/>
              <w:rPr>
                <w:rFonts w:eastAsia="Times New Roman" w:cs="Calibri"/>
                <w:b/>
                <w:bCs/>
                <w:color w:val="000000"/>
                <w:lang w:eastAsia="en-GB"/>
              </w:rPr>
            </w:pPr>
            <w:r w:rsidRPr="00FF3F04">
              <w:rPr>
                <w:rFonts w:eastAsia="Times New Roman" w:cs="Calibri"/>
                <w:b/>
                <w:bCs/>
                <w:color w:val="000000"/>
                <w:lang w:eastAsia="en-GB"/>
              </w:rPr>
              <w:t>194.193</w:t>
            </w:r>
          </w:p>
        </w:tc>
        <w:tc>
          <w:tcPr>
            <w:tcW w:w="1100" w:type="dxa"/>
            <w:tcBorders>
              <w:top w:val="single" w:sz="4" w:space="0" w:color="auto"/>
              <w:left w:val="nil"/>
              <w:bottom w:val="nil"/>
              <w:right w:val="single" w:sz="4" w:space="0" w:color="auto"/>
            </w:tcBorders>
            <w:shd w:val="clear" w:color="000000" w:fill="FFFFFF"/>
            <w:noWrap/>
            <w:vAlign w:val="bottom"/>
            <w:hideMark/>
          </w:tcPr>
          <w:p w14:paraId="35B52D71" w14:textId="77777777" w:rsidR="00FF3F04" w:rsidRPr="00FF3F04" w:rsidRDefault="00FF3F04" w:rsidP="00FF3F04">
            <w:pPr>
              <w:spacing w:line="240" w:lineRule="auto"/>
              <w:jc w:val="right"/>
              <w:rPr>
                <w:rFonts w:eastAsia="Times New Roman" w:cs="Calibri"/>
                <w:b/>
                <w:bCs/>
                <w:color w:val="000000"/>
                <w:lang w:eastAsia="en-GB"/>
              </w:rPr>
            </w:pPr>
            <w:r w:rsidRPr="00FF3F04">
              <w:rPr>
                <w:rFonts w:eastAsia="Times New Roman" w:cs="Calibri"/>
                <w:b/>
                <w:bCs/>
                <w:color w:val="000000"/>
                <w:lang w:eastAsia="en-GB"/>
              </w:rPr>
              <w:t>201.232</w:t>
            </w:r>
          </w:p>
        </w:tc>
        <w:tc>
          <w:tcPr>
            <w:tcW w:w="1100" w:type="dxa"/>
            <w:tcBorders>
              <w:top w:val="single" w:sz="4" w:space="0" w:color="auto"/>
              <w:left w:val="nil"/>
              <w:bottom w:val="nil"/>
              <w:right w:val="single" w:sz="4" w:space="0" w:color="auto"/>
            </w:tcBorders>
            <w:shd w:val="clear" w:color="000000" w:fill="FFFFFF"/>
            <w:noWrap/>
            <w:vAlign w:val="bottom"/>
            <w:hideMark/>
          </w:tcPr>
          <w:p w14:paraId="029D0712" w14:textId="77777777" w:rsidR="00FF3F04" w:rsidRPr="00FF3F04" w:rsidRDefault="00FF3F04" w:rsidP="00FF3F04">
            <w:pPr>
              <w:spacing w:line="240" w:lineRule="auto"/>
              <w:jc w:val="right"/>
              <w:rPr>
                <w:rFonts w:eastAsia="Times New Roman" w:cs="Calibri"/>
                <w:b/>
                <w:bCs/>
                <w:color w:val="000000"/>
                <w:lang w:eastAsia="en-GB"/>
              </w:rPr>
            </w:pPr>
            <w:r w:rsidRPr="00FF3F04">
              <w:rPr>
                <w:rFonts w:eastAsia="Times New Roman" w:cs="Calibri"/>
                <w:b/>
                <w:bCs/>
                <w:color w:val="000000"/>
                <w:lang w:eastAsia="en-GB"/>
              </w:rPr>
              <w:t>207.596</w:t>
            </w:r>
          </w:p>
        </w:tc>
        <w:tc>
          <w:tcPr>
            <w:tcW w:w="1100" w:type="dxa"/>
            <w:tcBorders>
              <w:top w:val="single" w:sz="4" w:space="0" w:color="auto"/>
              <w:left w:val="nil"/>
              <w:bottom w:val="nil"/>
              <w:right w:val="single" w:sz="4" w:space="0" w:color="auto"/>
            </w:tcBorders>
            <w:shd w:val="clear" w:color="000000" w:fill="FFFFFF"/>
            <w:noWrap/>
            <w:vAlign w:val="bottom"/>
            <w:hideMark/>
          </w:tcPr>
          <w:p w14:paraId="5D24E7CC" w14:textId="77777777" w:rsidR="00FF3F04" w:rsidRPr="00FF3F04" w:rsidRDefault="00FF3F04" w:rsidP="00FF3F04">
            <w:pPr>
              <w:spacing w:line="240" w:lineRule="auto"/>
              <w:jc w:val="right"/>
              <w:rPr>
                <w:rFonts w:eastAsia="Times New Roman" w:cs="Calibri"/>
                <w:b/>
                <w:bCs/>
                <w:color w:val="000000"/>
                <w:lang w:eastAsia="en-GB"/>
              </w:rPr>
            </w:pPr>
            <w:r w:rsidRPr="00FF3F04">
              <w:rPr>
                <w:rFonts w:eastAsia="Times New Roman" w:cs="Calibri"/>
                <w:b/>
                <w:bCs/>
                <w:color w:val="000000"/>
                <w:lang w:eastAsia="en-GB"/>
              </w:rPr>
              <w:t>211.029</w:t>
            </w:r>
          </w:p>
        </w:tc>
        <w:tc>
          <w:tcPr>
            <w:tcW w:w="1100" w:type="dxa"/>
            <w:tcBorders>
              <w:top w:val="single" w:sz="4" w:space="0" w:color="auto"/>
              <w:left w:val="nil"/>
              <w:bottom w:val="nil"/>
              <w:right w:val="single" w:sz="4" w:space="0" w:color="auto"/>
            </w:tcBorders>
            <w:shd w:val="clear" w:color="000000" w:fill="FFFFFF"/>
            <w:noWrap/>
            <w:vAlign w:val="bottom"/>
            <w:hideMark/>
          </w:tcPr>
          <w:p w14:paraId="6BDD6808" w14:textId="77777777" w:rsidR="00FF3F04" w:rsidRPr="00FF3F04" w:rsidRDefault="00FF3F04" w:rsidP="00FF3F04">
            <w:pPr>
              <w:spacing w:line="240" w:lineRule="auto"/>
              <w:jc w:val="right"/>
              <w:rPr>
                <w:rFonts w:eastAsia="Times New Roman" w:cs="Calibri"/>
                <w:b/>
                <w:bCs/>
                <w:color w:val="000000"/>
                <w:lang w:eastAsia="en-GB"/>
              </w:rPr>
            </w:pPr>
            <w:r w:rsidRPr="00FF3F04">
              <w:rPr>
                <w:rFonts w:eastAsia="Times New Roman" w:cs="Calibri"/>
                <w:b/>
                <w:bCs/>
                <w:color w:val="000000"/>
                <w:lang w:eastAsia="en-GB"/>
              </w:rPr>
              <w:t>215.544</w:t>
            </w:r>
          </w:p>
        </w:tc>
      </w:tr>
      <w:tr w:rsidR="00FF3F04" w:rsidRPr="00FF3F04" w14:paraId="482EE6E0" w14:textId="77777777" w:rsidTr="00FF3F04">
        <w:trPr>
          <w:trHeight w:val="315"/>
        </w:trPr>
        <w:tc>
          <w:tcPr>
            <w:tcW w:w="1100" w:type="dxa"/>
            <w:tcBorders>
              <w:top w:val="nil"/>
              <w:left w:val="single" w:sz="4" w:space="0" w:color="auto"/>
              <w:bottom w:val="nil"/>
              <w:right w:val="single" w:sz="4" w:space="0" w:color="auto"/>
            </w:tcBorders>
            <w:shd w:val="clear" w:color="000000" w:fill="FFFFFF"/>
            <w:noWrap/>
            <w:vAlign w:val="bottom"/>
            <w:hideMark/>
          </w:tcPr>
          <w:p w14:paraId="4845001C" w14:textId="77777777" w:rsidR="00FF3F04" w:rsidRPr="00FF3F04" w:rsidRDefault="00FF3F04" w:rsidP="00FF3F04">
            <w:pPr>
              <w:spacing w:line="240" w:lineRule="auto"/>
              <w:rPr>
                <w:rFonts w:eastAsia="Times New Roman" w:cs="Calibri"/>
                <w:color w:val="000000"/>
                <w:lang w:eastAsia="en-GB"/>
              </w:rPr>
            </w:pPr>
            <w:r w:rsidRPr="00FF3F04">
              <w:rPr>
                <w:rFonts w:eastAsia="Times New Roman" w:cs="Calibri"/>
                <w:color w:val="000000"/>
                <w:lang w:eastAsia="en-GB"/>
              </w:rPr>
              <w:t> </w:t>
            </w:r>
          </w:p>
        </w:tc>
        <w:tc>
          <w:tcPr>
            <w:tcW w:w="1780" w:type="dxa"/>
            <w:tcBorders>
              <w:top w:val="nil"/>
              <w:left w:val="nil"/>
              <w:bottom w:val="nil"/>
              <w:right w:val="single" w:sz="4" w:space="0" w:color="auto"/>
            </w:tcBorders>
            <w:shd w:val="clear" w:color="000000" w:fill="FFFFFF"/>
            <w:noWrap/>
            <w:vAlign w:val="bottom"/>
            <w:hideMark/>
          </w:tcPr>
          <w:p w14:paraId="1A2210E2" w14:textId="77777777" w:rsidR="00FF3F04" w:rsidRPr="00FF3F04" w:rsidRDefault="00FF3F04" w:rsidP="00FF3F04">
            <w:pPr>
              <w:spacing w:line="240" w:lineRule="auto"/>
              <w:rPr>
                <w:rFonts w:eastAsia="Times New Roman" w:cs="Calibri"/>
                <w:color w:val="000000"/>
                <w:lang w:eastAsia="en-GB"/>
              </w:rPr>
            </w:pPr>
            <w:r w:rsidRPr="00FF3F04">
              <w:rPr>
                <w:rFonts w:eastAsia="Times New Roman" w:cs="Calibri"/>
                <w:color w:val="000000"/>
                <w:lang w:eastAsia="en-GB"/>
              </w:rPr>
              <w:t> </w:t>
            </w:r>
          </w:p>
        </w:tc>
        <w:tc>
          <w:tcPr>
            <w:tcW w:w="1100" w:type="dxa"/>
            <w:tcBorders>
              <w:top w:val="nil"/>
              <w:left w:val="nil"/>
              <w:bottom w:val="nil"/>
              <w:right w:val="single" w:sz="4" w:space="0" w:color="auto"/>
            </w:tcBorders>
            <w:shd w:val="clear" w:color="000000" w:fill="DDEBF7"/>
            <w:noWrap/>
            <w:vAlign w:val="bottom"/>
            <w:hideMark/>
          </w:tcPr>
          <w:p w14:paraId="27EE785B" w14:textId="77777777" w:rsidR="00FF3F04" w:rsidRPr="00FF3F04" w:rsidRDefault="00FF3F04" w:rsidP="00FF3F04">
            <w:pPr>
              <w:spacing w:line="240" w:lineRule="auto"/>
              <w:rPr>
                <w:rFonts w:eastAsia="Times New Roman" w:cs="Calibri"/>
                <w:color w:val="000000"/>
                <w:lang w:eastAsia="en-GB"/>
              </w:rPr>
            </w:pPr>
            <w:r w:rsidRPr="00FF3F04">
              <w:rPr>
                <w:rFonts w:eastAsia="Times New Roman" w:cs="Calibri"/>
                <w:color w:val="000000"/>
                <w:lang w:eastAsia="en-GB"/>
              </w:rPr>
              <w:t> </w:t>
            </w:r>
          </w:p>
        </w:tc>
        <w:tc>
          <w:tcPr>
            <w:tcW w:w="1100" w:type="dxa"/>
            <w:tcBorders>
              <w:top w:val="nil"/>
              <w:left w:val="nil"/>
              <w:bottom w:val="nil"/>
              <w:right w:val="single" w:sz="4" w:space="0" w:color="auto"/>
            </w:tcBorders>
            <w:shd w:val="clear" w:color="000000" w:fill="FFFFFF"/>
            <w:noWrap/>
            <w:vAlign w:val="bottom"/>
            <w:hideMark/>
          </w:tcPr>
          <w:p w14:paraId="028C1520" w14:textId="77777777" w:rsidR="00FF3F04" w:rsidRPr="00FF3F04" w:rsidRDefault="00FF3F04" w:rsidP="00FF3F04">
            <w:pPr>
              <w:spacing w:line="240" w:lineRule="auto"/>
              <w:rPr>
                <w:rFonts w:eastAsia="Times New Roman" w:cs="Calibri"/>
                <w:color w:val="000000"/>
                <w:lang w:eastAsia="en-GB"/>
              </w:rPr>
            </w:pPr>
            <w:r w:rsidRPr="00FF3F04">
              <w:rPr>
                <w:rFonts w:eastAsia="Times New Roman" w:cs="Calibri"/>
                <w:color w:val="000000"/>
                <w:lang w:eastAsia="en-GB"/>
              </w:rPr>
              <w:t> </w:t>
            </w:r>
          </w:p>
        </w:tc>
        <w:tc>
          <w:tcPr>
            <w:tcW w:w="1100" w:type="dxa"/>
            <w:tcBorders>
              <w:top w:val="nil"/>
              <w:left w:val="nil"/>
              <w:bottom w:val="nil"/>
              <w:right w:val="single" w:sz="4" w:space="0" w:color="auto"/>
            </w:tcBorders>
            <w:shd w:val="clear" w:color="000000" w:fill="FFFFFF"/>
            <w:noWrap/>
            <w:vAlign w:val="bottom"/>
            <w:hideMark/>
          </w:tcPr>
          <w:p w14:paraId="53132CD6" w14:textId="77777777" w:rsidR="00FF3F04" w:rsidRPr="00FF3F04" w:rsidRDefault="00FF3F04" w:rsidP="00FF3F04">
            <w:pPr>
              <w:spacing w:line="240" w:lineRule="auto"/>
              <w:rPr>
                <w:rFonts w:eastAsia="Times New Roman" w:cs="Calibri"/>
                <w:color w:val="000000"/>
                <w:lang w:eastAsia="en-GB"/>
              </w:rPr>
            </w:pPr>
            <w:r w:rsidRPr="00FF3F04">
              <w:rPr>
                <w:rFonts w:eastAsia="Times New Roman" w:cs="Calibri"/>
                <w:color w:val="000000"/>
                <w:lang w:eastAsia="en-GB"/>
              </w:rPr>
              <w:t> </w:t>
            </w:r>
          </w:p>
        </w:tc>
        <w:tc>
          <w:tcPr>
            <w:tcW w:w="1100" w:type="dxa"/>
            <w:tcBorders>
              <w:top w:val="nil"/>
              <w:left w:val="nil"/>
              <w:bottom w:val="nil"/>
              <w:right w:val="single" w:sz="4" w:space="0" w:color="auto"/>
            </w:tcBorders>
            <w:shd w:val="clear" w:color="000000" w:fill="FFFFFF"/>
            <w:noWrap/>
            <w:vAlign w:val="bottom"/>
            <w:hideMark/>
          </w:tcPr>
          <w:p w14:paraId="21AC0123" w14:textId="77777777" w:rsidR="00FF3F04" w:rsidRPr="00FF3F04" w:rsidRDefault="00FF3F04" w:rsidP="00FF3F04">
            <w:pPr>
              <w:spacing w:line="240" w:lineRule="auto"/>
              <w:rPr>
                <w:rFonts w:eastAsia="Times New Roman" w:cs="Calibri"/>
                <w:color w:val="000000"/>
                <w:lang w:eastAsia="en-GB"/>
              </w:rPr>
            </w:pPr>
            <w:r w:rsidRPr="00FF3F04">
              <w:rPr>
                <w:rFonts w:eastAsia="Times New Roman" w:cs="Calibri"/>
                <w:color w:val="000000"/>
                <w:lang w:eastAsia="en-GB"/>
              </w:rPr>
              <w:t> </w:t>
            </w:r>
          </w:p>
        </w:tc>
        <w:tc>
          <w:tcPr>
            <w:tcW w:w="1100" w:type="dxa"/>
            <w:tcBorders>
              <w:top w:val="nil"/>
              <w:left w:val="nil"/>
              <w:bottom w:val="nil"/>
              <w:right w:val="single" w:sz="4" w:space="0" w:color="auto"/>
            </w:tcBorders>
            <w:shd w:val="clear" w:color="000000" w:fill="FFFFFF"/>
            <w:noWrap/>
            <w:vAlign w:val="bottom"/>
            <w:hideMark/>
          </w:tcPr>
          <w:p w14:paraId="5EB45BB4" w14:textId="77777777" w:rsidR="00FF3F04" w:rsidRPr="00FF3F04" w:rsidRDefault="00FF3F04" w:rsidP="00FF3F04">
            <w:pPr>
              <w:spacing w:line="240" w:lineRule="auto"/>
              <w:rPr>
                <w:rFonts w:eastAsia="Times New Roman" w:cs="Calibri"/>
                <w:color w:val="000000"/>
                <w:lang w:eastAsia="en-GB"/>
              </w:rPr>
            </w:pPr>
            <w:r w:rsidRPr="00FF3F04">
              <w:rPr>
                <w:rFonts w:eastAsia="Times New Roman" w:cs="Calibri"/>
                <w:color w:val="000000"/>
                <w:lang w:eastAsia="en-GB"/>
              </w:rPr>
              <w:t> </w:t>
            </w:r>
          </w:p>
        </w:tc>
      </w:tr>
      <w:tr w:rsidR="00FF3F04" w:rsidRPr="00FF3F04" w14:paraId="146B7B00" w14:textId="77777777" w:rsidTr="00FF3F04">
        <w:trPr>
          <w:trHeight w:val="315"/>
        </w:trPr>
        <w:tc>
          <w:tcPr>
            <w:tcW w:w="1100" w:type="dxa"/>
            <w:tcBorders>
              <w:top w:val="nil"/>
              <w:left w:val="single" w:sz="4" w:space="0" w:color="auto"/>
              <w:bottom w:val="nil"/>
              <w:right w:val="single" w:sz="4" w:space="0" w:color="auto"/>
            </w:tcBorders>
            <w:shd w:val="clear" w:color="000000" w:fill="FFFFFF"/>
            <w:noWrap/>
            <w:vAlign w:val="bottom"/>
            <w:hideMark/>
          </w:tcPr>
          <w:p w14:paraId="4A5BFB16" w14:textId="77777777" w:rsidR="00FF3F04" w:rsidRPr="00FF3F04" w:rsidRDefault="00FF3F04" w:rsidP="00FF3F04">
            <w:pPr>
              <w:spacing w:line="240" w:lineRule="auto"/>
              <w:jc w:val="right"/>
              <w:rPr>
                <w:rFonts w:eastAsia="Times New Roman" w:cs="Calibri"/>
                <w:color w:val="000000"/>
                <w:lang w:eastAsia="en-GB"/>
              </w:rPr>
            </w:pPr>
            <w:r w:rsidRPr="00FF3F04">
              <w:rPr>
                <w:rFonts w:eastAsia="Times New Roman" w:cs="Calibri"/>
                <w:color w:val="000000"/>
                <w:lang w:eastAsia="en-GB"/>
              </w:rPr>
              <w:t>(182.968)</w:t>
            </w:r>
          </w:p>
        </w:tc>
        <w:tc>
          <w:tcPr>
            <w:tcW w:w="1780" w:type="dxa"/>
            <w:tcBorders>
              <w:top w:val="nil"/>
              <w:left w:val="nil"/>
              <w:bottom w:val="nil"/>
              <w:right w:val="single" w:sz="4" w:space="0" w:color="auto"/>
            </w:tcBorders>
            <w:shd w:val="clear" w:color="000000" w:fill="FFFFFF"/>
            <w:noWrap/>
            <w:vAlign w:val="bottom"/>
            <w:hideMark/>
          </w:tcPr>
          <w:p w14:paraId="45BC616B" w14:textId="77777777" w:rsidR="00FF3F04" w:rsidRPr="00FF3F04" w:rsidRDefault="00FF3F04" w:rsidP="00FF3F04">
            <w:pPr>
              <w:spacing w:line="240" w:lineRule="auto"/>
              <w:rPr>
                <w:rFonts w:eastAsia="Times New Roman" w:cs="Calibri"/>
                <w:color w:val="000000"/>
                <w:lang w:eastAsia="en-GB"/>
              </w:rPr>
            </w:pPr>
            <w:r w:rsidRPr="00FF3F04">
              <w:rPr>
                <w:rFonts w:eastAsia="Times New Roman" w:cs="Calibri"/>
                <w:color w:val="000000"/>
                <w:lang w:eastAsia="en-GB"/>
              </w:rPr>
              <w:t>Funding</w:t>
            </w:r>
          </w:p>
        </w:tc>
        <w:tc>
          <w:tcPr>
            <w:tcW w:w="1100" w:type="dxa"/>
            <w:tcBorders>
              <w:top w:val="nil"/>
              <w:left w:val="nil"/>
              <w:bottom w:val="nil"/>
              <w:right w:val="single" w:sz="4" w:space="0" w:color="auto"/>
            </w:tcBorders>
            <w:shd w:val="clear" w:color="000000" w:fill="DDEBF7"/>
            <w:noWrap/>
            <w:vAlign w:val="bottom"/>
            <w:hideMark/>
          </w:tcPr>
          <w:p w14:paraId="66F22B52" w14:textId="77777777" w:rsidR="00FF3F04" w:rsidRPr="00FF3F04" w:rsidRDefault="00FF3F04" w:rsidP="00FF3F04">
            <w:pPr>
              <w:spacing w:line="240" w:lineRule="auto"/>
              <w:jc w:val="right"/>
              <w:rPr>
                <w:rFonts w:eastAsia="Times New Roman" w:cs="Calibri"/>
                <w:color w:val="000000"/>
                <w:lang w:eastAsia="en-GB"/>
              </w:rPr>
            </w:pPr>
            <w:r w:rsidRPr="00FF3F04">
              <w:rPr>
                <w:rFonts w:eastAsia="Times New Roman" w:cs="Calibri"/>
                <w:color w:val="000000"/>
                <w:lang w:eastAsia="en-GB"/>
              </w:rPr>
              <w:t>(194.193)</w:t>
            </w:r>
          </w:p>
        </w:tc>
        <w:tc>
          <w:tcPr>
            <w:tcW w:w="1100" w:type="dxa"/>
            <w:tcBorders>
              <w:top w:val="nil"/>
              <w:left w:val="nil"/>
              <w:bottom w:val="nil"/>
              <w:right w:val="single" w:sz="4" w:space="0" w:color="auto"/>
            </w:tcBorders>
            <w:shd w:val="clear" w:color="000000" w:fill="FFFFFF"/>
            <w:noWrap/>
            <w:vAlign w:val="bottom"/>
            <w:hideMark/>
          </w:tcPr>
          <w:p w14:paraId="7374E6BE" w14:textId="77777777" w:rsidR="00FF3F04" w:rsidRPr="00FF3F04" w:rsidRDefault="00FF3F04" w:rsidP="00FF3F04">
            <w:pPr>
              <w:spacing w:line="240" w:lineRule="auto"/>
              <w:jc w:val="right"/>
              <w:rPr>
                <w:rFonts w:eastAsia="Times New Roman" w:cs="Calibri"/>
                <w:color w:val="000000"/>
                <w:lang w:eastAsia="en-GB"/>
              </w:rPr>
            </w:pPr>
            <w:r w:rsidRPr="00FF3F04">
              <w:rPr>
                <w:rFonts w:eastAsia="Times New Roman" w:cs="Calibri"/>
                <w:color w:val="000000"/>
                <w:lang w:eastAsia="en-GB"/>
              </w:rPr>
              <w:t>(198.749)</w:t>
            </w:r>
          </w:p>
        </w:tc>
        <w:tc>
          <w:tcPr>
            <w:tcW w:w="1100" w:type="dxa"/>
            <w:tcBorders>
              <w:top w:val="nil"/>
              <w:left w:val="nil"/>
              <w:bottom w:val="nil"/>
              <w:right w:val="single" w:sz="4" w:space="0" w:color="auto"/>
            </w:tcBorders>
            <w:shd w:val="clear" w:color="000000" w:fill="FFFFFF"/>
            <w:noWrap/>
            <w:vAlign w:val="bottom"/>
            <w:hideMark/>
          </w:tcPr>
          <w:p w14:paraId="66C4EDD3" w14:textId="77777777" w:rsidR="00FF3F04" w:rsidRPr="00FF3F04" w:rsidRDefault="00FF3F04" w:rsidP="00FF3F04">
            <w:pPr>
              <w:spacing w:line="240" w:lineRule="auto"/>
              <w:jc w:val="right"/>
              <w:rPr>
                <w:rFonts w:eastAsia="Times New Roman" w:cs="Calibri"/>
                <w:color w:val="000000"/>
                <w:lang w:eastAsia="en-GB"/>
              </w:rPr>
            </w:pPr>
            <w:r w:rsidRPr="00FF3F04">
              <w:rPr>
                <w:rFonts w:eastAsia="Times New Roman" w:cs="Calibri"/>
                <w:color w:val="000000"/>
                <w:lang w:eastAsia="en-GB"/>
              </w:rPr>
              <w:t>(203.764)</w:t>
            </w:r>
          </w:p>
        </w:tc>
        <w:tc>
          <w:tcPr>
            <w:tcW w:w="1100" w:type="dxa"/>
            <w:tcBorders>
              <w:top w:val="nil"/>
              <w:left w:val="nil"/>
              <w:bottom w:val="nil"/>
              <w:right w:val="single" w:sz="4" w:space="0" w:color="auto"/>
            </w:tcBorders>
            <w:shd w:val="clear" w:color="000000" w:fill="FFFFFF"/>
            <w:noWrap/>
            <w:vAlign w:val="bottom"/>
            <w:hideMark/>
          </w:tcPr>
          <w:p w14:paraId="2BE49996" w14:textId="77777777" w:rsidR="00FF3F04" w:rsidRPr="00FF3F04" w:rsidRDefault="00FF3F04" w:rsidP="00FF3F04">
            <w:pPr>
              <w:spacing w:line="240" w:lineRule="auto"/>
              <w:jc w:val="right"/>
              <w:rPr>
                <w:rFonts w:eastAsia="Times New Roman" w:cs="Calibri"/>
                <w:color w:val="000000"/>
                <w:lang w:eastAsia="en-GB"/>
              </w:rPr>
            </w:pPr>
            <w:r w:rsidRPr="00FF3F04">
              <w:rPr>
                <w:rFonts w:eastAsia="Times New Roman" w:cs="Calibri"/>
                <w:color w:val="000000"/>
                <w:lang w:eastAsia="en-GB"/>
              </w:rPr>
              <w:t>(208.891)</w:t>
            </w:r>
          </w:p>
        </w:tc>
        <w:tc>
          <w:tcPr>
            <w:tcW w:w="1100" w:type="dxa"/>
            <w:tcBorders>
              <w:top w:val="nil"/>
              <w:left w:val="nil"/>
              <w:bottom w:val="nil"/>
              <w:right w:val="single" w:sz="4" w:space="0" w:color="auto"/>
            </w:tcBorders>
            <w:shd w:val="clear" w:color="000000" w:fill="FFFFFF"/>
            <w:noWrap/>
            <w:vAlign w:val="bottom"/>
            <w:hideMark/>
          </w:tcPr>
          <w:p w14:paraId="7BE4D27A" w14:textId="77777777" w:rsidR="00FF3F04" w:rsidRPr="00FF3F04" w:rsidRDefault="00FF3F04" w:rsidP="00FF3F04">
            <w:pPr>
              <w:spacing w:line="240" w:lineRule="auto"/>
              <w:jc w:val="right"/>
              <w:rPr>
                <w:rFonts w:eastAsia="Times New Roman" w:cs="Calibri"/>
                <w:color w:val="000000"/>
                <w:lang w:eastAsia="en-GB"/>
              </w:rPr>
            </w:pPr>
            <w:r w:rsidRPr="00FF3F04">
              <w:rPr>
                <w:rFonts w:eastAsia="Times New Roman" w:cs="Calibri"/>
                <w:color w:val="000000"/>
                <w:lang w:eastAsia="en-GB"/>
              </w:rPr>
              <w:t>(214.131)</w:t>
            </w:r>
          </w:p>
        </w:tc>
      </w:tr>
      <w:tr w:rsidR="00FF3F04" w:rsidRPr="00FF3F04" w14:paraId="23A7A279" w14:textId="77777777" w:rsidTr="00FF3F04">
        <w:trPr>
          <w:trHeight w:val="315"/>
        </w:trPr>
        <w:tc>
          <w:tcPr>
            <w:tcW w:w="11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5A5908" w14:textId="77777777" w:rsidR="00FF3F04" w:rsidRPr="00FF3F04" w:rsidRDefault="00FF3F04" w:rsidP="00FF3F04">
            <w:pPr>
              <w:spacing w:line="240" w:lineRule="auto"/>
              <w:jc w:val="right"/>
              <w:rPr>
                <w:rFonts w:eastAsia="Times New Roman" w:cs="Calibri"/>
                <w:b/>
                <w:bCs/>
                <w:color w:val="000000"/>
                <w:lang w:eastAsia="en-GB"/>
              </w:rPr>
            </w:pPr>
            <w:r w:rsidRPr="00FF3F04">
              <w:rPr>
                <w:rFonts w:eastAsia="Times New Roman" w:cs="Calibri"/>
                <w:b/>
                <w:bCs/>
                <w:color w:val="000000"/>
                <w:lang w:eastAsia="en-GB"/>
              </w:rPr>
              <w:t>-</w:t>
            </w:r>
          </w:p>
        </w:tc>
        <w:tc>
          <w:tcPr>
            <w:tcW w:w="1780" w:type="dxa"/>
            <w:tcBorders>
              <w:top w:val="single" w:sz="4" w:space="0" w:color="auto"/>
              <w:left w:val="nil"/>
              <w:bottom w:val="single" w:sz="4" w:space="0" w:color="auto"/>
              <w:right w:val="single" w:sz="4" w:space="0" w:color="auto"/>
            </w:tcBorders>
            <w:shd w:val="clear" w:color="000000" w:fill="FFFFFF"/>
            <w:noWrap/>
            <w:vAlign w:val="bottom"/>
            <w:hideMark/>
          </w:tcPr>
          <w:p w14:paraId="77168449" w14:textId="77777777" w:rsidR="00FF3F04" w:rsidRPr="00FF3F04" w:rsidRDefault="00FF3F04" w:rsidP="00FF3F04">
            <w:pPr>
              <w:spacing w:line="240" w:lineRule="auto"/>
              <w:rPr>
                <w:rFonts w:eastAsia="Times New Roman" w:cs="Calibri"/>
                <w:b/>
                <w:bCs/>
                <w:color w:val="000000"/>
                <w:lang w:eastAsia="en-GB"/>
              </w:rPr>
            </w:pPr>
            <w:r w:rsidRPr="00FF3F04">
              <w:rPr>
                <w:rFonts w:eastAsia="Times New Roman" w:cs="Calibri"/>
                <w:b/>
                <w:bCs/>
                <w:color w:val="000000"/>
                <w:lang w:eastAsia="en-GB"/>
              </w:rPr>
              <w:t>Shortfall</w:t>
            </w:r>
          </w:p>
        </w:tc>
        <w:tc>
          <w:tcPr>
            <w:tcW w:w="1100" w:type="dxa"/>
            <w:tcBorders>
              <w:top w:val="single" w:sz="4" w:space="0" w:color="auto"/>
              <w:left w:val="nil"/>
              <w:bottom w:val="single" w:sz="4" w:space="0" w:color="auto"/>
              <w:right w:val="single" w:sz="4" w:space="0" w:color="auto"/>
            </w:tcBorders>
            <w:shd w:val="clear" w:color="000000" w:fill="DDEBF7"/>
            <w:noWrap/>
            <w:vAlign w:val="bottom"/>
            <w:hideMark/>
          </w:tcPr>
          <w:p w14:paraId="35DDD271" w14:textId="77777777" w:rsidR="00FF3F04" w:rsidRPr="00FF3F04" w:rsidRDefault="00FF3F04" w:rsidP="00FF3F04">
            <w:pPr>
              <w:spacing w:line="240" w:lineRule="auto"/>
              <w:jc w:val="right"/>
              <w:rPr>
                <w:rFonts w:eastAsia="Times New Roman" w:cs="Calibri"/>
                <w:b/>
                <w:bCs/>
                <w:color w:val="000000"/>
                <w:lang w:eastAsia="en-GB"/>
              </w:rPr>
            </w:pPr>
            <w:r w:rsidRPr="00FF3F04">
              <w:rPr>
                <w:rFonts w:eastAsia="Times New Roman" w:cs="Calibri"/>
                <w:b/>
                <w:bCs/>
                <w:color w:val="000000"/>
                <w:lang w:eastAsia="en-GB"/>
              </w:rPr>
              <w:t>-</w:t>
            </w:r>
          </w:p>
        </w:tc>
        <w:tc>
          <w:tcPr>
            <w:tcW w:w="1100" w:type="dxa"/>
            <w:tcBorders>
              <w:top w:val="single" w:sz="4" w:space="0" w:color="auto"/>
              <w:left w:val="nil"/>
              <w:bottom w:val="single" w:sz="4" w:space="0" w:color="auto"/>
              <w:right w:val="single" w:sz="4" w:space="0" w:color="auto"/>
            </w:tcBorders>
            <w:shd w:val="clear" w:color="000000" w:fill="FFFFFF"/>
            <w:noWrap/>
            <w:vAlign w:val="bottom"/>
            <w:hideMark/>
          </w:tcPr>
          <w:p w14:paraId="19DEFE83" w14:textId="77777777" w:rsidR="00FF3F04" w:rsidRPr="00FF3F04" w:rsidRDefault="00FF3F04" w:rsidP="00FF3F04">
            <w:pPr>
              <w:spacing w:line="240" w:lineRule="auto"/>
              <w:jc w:val="right"/>
              <w:rPr>
                <w:rFonts w:eastAsia="Times New Roman" w:cs="Calibri"/>
                <w:b/>
                <w:bCs/>
                <w:color w:val="000000"/>
                <w:lang w:eastAsia="en-GB"/>
              </w:rPr>
            </w:pPr>
            <w:r w:rsidRPr="00FF3F04">
              <w:rPr>
                <w:rFonts w:eastAsia="Times New Roman" w:cs="Calibri"/>
                <w:b/>
                <w:bCs/>
                <w:color w:val="000000"/>
                <w:lang w:eastAsia="en-GB"/>
              </w:rPr>
              <w:t>2.484</w:t>
            </w:r>
          </w:p>
        </w:tc>
        <w:tc>
          <w:tcPr>
            <w:tcW w:w="1100" w:type="dxa"/>
            <w:tcBorders>
              <w:top w:val="single" w:sz="4" w:space="0" w:color="auto"/>
              <w:left w:val="nil"/>
              <w:bottom w:val="single" w:sz="4" w:space="0" w:color="auto"/>
              <w:right w:val="single" w:sz="4" w:space="0" w:color="auto"/>
            </w:tcBorders>
            <w:shd w:val="clear" w:color="000000" w:fill="FFFFFF"/>
            <w:noWrap/>
            <w:vAlign w:val="bottom"/>
            <w:hideMark/>
          </w:tcPr>
          <w:p w14:paraId="1AD6A9AE" w14:textId="77777777" w:rsidR="00FF3F04" w:rsidRPr="00FF3F04" w:rsidRDefault="00FF3F04" w:rsidP="00FF3F04">
            <w:pPr>
              <w:spacing w:line="240" w:lineRule="auto"/>
              <w:jc w:val="right"/>
              <w:rPr>
                <w:rFonts w:eastAsia="Times New Roman" w:cs="Calibri"/>
                <w:b/>
                <w:bCs/>
                <w:color w:val="000000"/>
                <w:lang w:eastAsia="en-GB"/>
              </w:rPr>
            </w:pPr>
            <w:r w:rsidRPr="00FF3F04">
              <w:rPr>
                <w:rFonts w:eastAsia="Times New Roman" w:cs="Calibri"/>
                <w:b/>
                <w:bCs/>
                <w:color w:val="000000"/>
                <w:lang w:eastAsia="en-GB"/>
              </w:rPr>
              <w:t>3.832</w:t>
            </w:r>
          </w:p>
        </w:tc>
        <w:tc>
          <w:tcPr>
            <w:tcW w:w="1100" w:type="dxa"/>
            <w:tcBorders>
              <w:top w:val="single" w:sz="4" w:space="0" w:color="auto"/>
              <w:left w:val="nil"/>
              <w:bottom w:val="single" w:sz="4" w:space="0" w:color="auto"/>
              <w:right w:val="single" w:sz="4" w:space="0" w:color="auto"/>
            </w:tcBorders>
            <w:shd w:val="clear" w:color="000000" w:fill="FFFFFF"/>
            <w:noWrap/>
            <w:vAlign w:val="bottom"/>
            <w:hideMark/>
          </w:tcPr>
          <w:p w14:paraId="383833A1" w14:textId="77777777" w:rsidR="00FF3F04" w:rsidRPr="00FF3F04" w:rsidRDefault="00FF3F04" w:rsidP="00FF3F04">
            <w:pPr>
              <w:spacing w:line="240" w:lineRule="auto"/>
              <w:jc w:val="right"/>
              <w:rPr>
                <w:rFonts w:eastAsia="Times New Roman" w:cs="Calibri"/>
                <w:b/>
                <w:bCs/>
                <w:color w:val="000000"/>
                <w:lang w:eastAsia="en-GB"/>
              </w:rPr>
            </w:pPr>
            <w:r w:rsidRPr="00FF3F04">
              <w:rPr>
                <w:rFonts w:eastAsia="Times New Roman" w:cs="Calibri"/>
                <w:b/>
                <w:bCs/>
                <w:color w:val="000000"/>
                <w:lang w:eastAsia="en-GB"/>
              </w:rPr>
              <w:t>2.138</w:t>
            </w:r>
          </w:p>
        </w:tc>
        <w:tc>
          <w:tcPr>
            <w:tcW w:w="1100" w:type="dxa"/>
            <w:tcBorders>
              <w:top w:val="single" w:sz="4" w:space="0" w:color="auto"/>
              <w:left w:val="nil"/>
              <w:bottom w:val="single" w:sz="4" w:space="0" w:color="auto"/>
              <w:right w:val="single" w:sz="4" w:space="0" w:color="auto"/>
            </w:tcBorders>
            <w:shd w:val="clear" w:color="000000" w:fill="FFFFFF"/>
            <w:noWrap/>
            <w:vAlign w:val="bottom"/>
            <w:hideMark/>
          </w:tcPr>
          <w:p w14:paraId="5F2182E6" w14:textId="77777777" w:rsidR="00FF3F04" w:rsidRPr="00FF3F04" w:rsidRDefault="00FF3F04" w:rsidP="00FF3F04">
            <w:pPr>
              <w:spacing w:line="240" w:lineRule="auto"/>
              <w:jc w:val="right"/>
              <w:rPr>
                <w:rFonts w:eastAsia="Times New Roman" w:cs="Calibri"/>
                <w:b/>
                <w:bCs/>
                <w:color w:val="000000"/>
                <w:lang w:eastAsia="en-GB"/>
              </w:rPr>
            </w:pPr>
            <w:r w:rsidRPr="00FF3F04">
              <w:rPr>
                <w:rFonts w:eastAsia="Times New Roman" w:cs="Calibri"/>
                <w:b/>
                <w:bCs/>
                <w:color w:val="000000"/>
                <w:lang w:eastAsia="en-GB"/>
              </w:rPr>
              <w:t>1.413</w:t>
            </w:r>
          </w:p>
        </w:tc>
      </w:tr>
    </w:tbl>
    <w:p w14:paraId="568BAC8A" w14:textId="77777777" w:rsidR="00AA5E18" w:rsidRPr="004B1AD4" w:rsidRDefault="00AA5E18" w:rsidP="00FF3F04"/>
    <w:p w14:paraId="1F0F7C19" w14:textId="1F9C36CF" w:rsidR="003E5914" w:rsidRPr="004B1AD4" w:rsidRDefault="00AA5E18" w:rsidP="00C6649D">
      <w:pPr>
        <w:pStyle w:val="PanelPara"/>
      </w:pPr>
      <w:bookmarkStart w:id="25" w:name="_Hlk187327326"/>
      <w:r>
        <w:t>T</w:t>
      </w:r>
      <w:r w:rsidR="003E5914" w:rsidRPr="004B1AD4">
        <w:t>he MTFP include</w:t>
      </w:r>
      <w:r>
        <w:t>s</w:t>
      </w:r>
      <w:r w:rsidR="003E5914" w:rsidRPr="004B1AD4">
        <w:t xml:space="preserve"> </w:t>
      </w:r>
      <w:r>
        <w:t xml:space="preserve">a </w:t>
      </w:r>
      <w:r w:rsidR="0056502A">
        <w:t>target</w:t>
      </w:r>
      <w:r>
        <w:t xml:space="preserve"> for</w:t>
      </w:r>
      <w:r w:rsidR="003E5914" w:rsidRPr="004B1AD4">
        <w:t xml:space="preserve"> </w:t>
      </w:r>
      <w:r w:rsidR="00C6649D" w:rsidRPr="004B1AD4">
        <w:t xml:space="preserve">cashable </w:t>
      </w:r>
      <w:r w:rsidR="003E5914" w:rsidRPr="004B1AD4">
        <w:t xml:space="preserve">efficiency savings </w:t>
      </w:r>
      <w:r w:rsidR="00C6649D" w:rsidRPr="004B1AD4">
        <w:t>each year</w:t>
      </w:r>
      <w:r w:rsidR="003E5914" w:rsidRPr="004B1AD4">
        <w:t xml:space="preserve">, </w:t>
      </w:r>
      <w:r>
        <w:t xml:space="preserve">but </w:t>
      </w:r>
      <w:r w:rsidR="003E5914" w:rsidRPr="004B1AD4">
        <w:t xml:space="preserve">these will not be sufficient to meet the shortfalls identified. </w:t>
      </w:r>
      <w:r w:rsidR="00C6649D" w:rsidRPr="004B1AD4">
        <w:t xml:space="preserve"> </w:t>
      </w:r>
      <w:r w:rsidR="003E5914" w:rsidRPr="004B1AD4">
        <w:t xml:space="preserve">Efficiencies will continue to be sought from sharing buildings, robust and shared procurement practices and sharing of </w:t>
      </w:r>
      <w:r w:rsidR="00C6649D" w:rsidRPr="004B1AD4">
        <w:t>resources/assets</w:t>
      </w:r>
      <w:r w:rsidR="003E5914" w:rsidRPr="004B1AD4">
        <w:t xml:space="preserve"> where it makes sense to do so.</w:t>
      </w:r>
      <w:r w:rsidR="00C6649D" w:rsidRPr="004B1AD4">
        <w:t xml:space="preserve"> </w:t>
      </w:r>
      <w:r w:rsidR="003E5914" w:rsidRPr="004B1AD4">
        <w:t xml:space="preserve"> The Chief Constable has already started work to look at </w:t>
      </w:r>
      <w:r w:rsidR="00C6649D" w:rsidRPr="004B1AD4">
        <w:t>a comprehensive savings plan</w:t>
      </w:r>
      <w:r w:rsidR="003E5914" w:rsidRPr="004B1AD4">
        <w:t xml:space="preserve">. </w:t>
      </w:r>
    </w:p>
    <w:bookmarkEnd w:id="25"/>
    <w:p w14:paraId="19F9EE18" w14:textId="680F3EDC" w:rsidR="003E5914" w:rsidRPr="004B1AD4" w:rsidRDefault="003E5914" w:rsidP="00C6649D">
      <w:pPr>
        <w:pStyle w:val="PanelPara"/>
      </w:pPr>
      <w:r w:rsidRPr="004B1AD4">
        <w:t>Despite future shortfalls forecast in the MTFP, in the unlikely event that further efficiencies could not be found, the budget can be balanced in the short term by the use of reserves</w:t>
      </w:r>
      <w:r w:rsidR="00C6649D" w:rsidRPr="004B1AD4">
        <w:t>.</w:t>
      </w:r>
      <w:r w:rsidRPr="004B1AD4">
        <w:t xml:space="preserve"> </w:t>
      </w:r>
      <w:r w:rsidR="00C6649D" w:rsidRPr="004B1AD4">
        <w:t xml:space="preserve"> </w:t>
      </w:r>
      <w:r w:rsidRPr="004B1AD4">
        <w:t>However, the use of reserves is not a permanent solution, and the PFCC and Chief Constable will continue to seek efficiencies to ensure the budgets are balanced.</w:t>
      </w:r>
    </w:p>
    <w:p w14:paraId="31DEA533" w14:textId="48AB7299" w:rsidR="00C6649D" w:rsidRPr="00CF27E5" w:rsidRDefault="001B5AD6" w:rsidP="00C6649D">
      <w:pPr>
        <w:pStyle w:val="PanelPara"/>
      </w:pPr>
      <w:bookmarkStart w:id="26" w:name="_Hlk187327404"/>
      <w:r w:rsidRPr="00CF27E5">
        <w:t xml:space="preserve">The </w:t>
      </w:r>
      <w:r w:rsidR="00C6649D" w:rsidRPr="00CF27E5">
        <w:t>k</w:t>
      </w:r>
      <w:r w:rsidR="00273010" w:rsidRPr="00CF27E5">
        <w:t xml:space="preserve">ey assumptions </w:t>
      </w:r>
      <w:r w:rsidR="00C6649D" w:rsidRPr="00CF27E5">
        <w:t>used to estimate</w:t>
      </w:r>
      <w:r w:rsidR="00273010" w:rsidRPr="00CF27E5">
        <w:t xml:space="preserve"> the financial challenge for the medium term are:</w:t>
      </w:r>
    </w:p>
    <w:bookmarkEnd w:id="26"/>
    <w:p w14:paraId="0364AFE7" w14:textId="24B8A426" w:rsidR="00C6649D" w:rsidRPr="00CF27E5" w:rsidRDefault="004364E9" w:rsidP="00CC0A00">
      <w:pPr>
        <w:pStyle w:val="PanelPara"/>
        <w:numPr>
          <w:ilvl w:val="1"/>
          <w:numId w:val="6"/>
        </w:numPr>
      </w:pPr>
      <w:r w:rsidRPr="00CF27E5">
        <w:t xml:space="preserve">Precept will increase by </w:t>
      </w:r>
      <w:r w:rsidR="00045427" w:rsidRPr="00CF27E5">
        <w:t>£1</w:t>
      </w:r>
      <w:r w:rsidR="004B1AD4" w:rsidRPr="00CF27E5">
        <w:t>4</w:t>
      </w:r>
      <w:r w:rsidR="00045427" w:rsidRPr="00CF27E5">
        <w:t xml:space="preserve"> in 202</w:t>
      </w:r>
      <w:r w:rsidR="00C6649D" w:rsidRPr="00CF27E5">
        <w:t>4</w:t>
      </w:r>
      <w:r w:rsidR="00045427" w:rsidRPr="00CF27E5">
        <w:t>/2</w:t>
      </w:r>
      <w:r w:rsidR="00C6649D" w:rsidRPr="00CF27E5">
        <w:t>5</w:t>
      </w:r>
      <w:r w:rsidR="00045427" w:rsidRPr="00CF27E5">
        <w:t>,</w:t>
      </w:r>
      <w:r w:rsidRPr="00CF27E5">
        <w:t xml:space="preserve"> and </w:t>
      </w:r>
      <w:r w:rsidR="004B1AD4" w:rsidRPr="00CF27E5">
        <w:t>£10</w:t>
      </w:r>
      <w:r w:rsidRPr="00CF27E5">
        <w:t xml:space="preserve"> </w:t>
      </w:r>
      <w:r w:rsidR="00C6649D" w:rsidRPr="00CF27E5">
        <w:t>each year</w:t>
      </w:r>
      <w:r w:rsidRPr="00CF27E5">
        <w:t xml:space="preserve"> thereafter. </w:t>
      </w:r>
      <w:r w:rsidR="00C6649D" w:rsidRPr="00CF27E5">
        <w:t xml:space="preserve"> No information is yet available about referendum limits beyond 202</w:t>
      </w:r>
      <w:r w:rsidR="00CF27E5" w:rsidRPr="00CF27E5">
        <w:t>5</w:t>
      </w:r>
      <w:r w:rsidR="00C6649D" w:rsidRPr="00CF27E5">
        <w:t>/2</w:t>
      </w:r>
      <w:r w:rsidR="00CF27E5" w:rsidRPr="00CF27E5">
        <w:t>6</w:t>
      </w:r>
      <w:r w:rsidR="00C6649D" w:rsidRPr="00CF27E5">
        <w:t>.</w:t>
      </w:r>
    </w:p>
    <w:p w14:paraId="5A6883DF" w14:textId="12A15C46" w:rsidR="0004646B" w:rsidRPr="00AA1B14" w:rsidRDefault="004364E9" w:rsidP="00CC0A00">
      <w:pPr>
        <w:pStyle w:val="PanelPara"/>
        <w:numPr>
          <w:ilvl w:val="1"/>
          <w:numId w:val="6"/>
        </w:numPr>
      </w:pPr>
      <w:r w:rsidRPr="00AA1B14">
        <w:t xml:space="preserve">Prudent funding assumptions have been made in respect of government funding, taxbase levels, and council tax </w:t>
      </w:r>
      <w:r w:rsidR="0056502A">
        <w:t>collection rates</w:t>
      </w:r>
      <w:r w:rsidR="00CF27E5" w:rsidRPr="00AA1B14">
        <w:t xml:space="preserve">.  </w:t>
      </w:r>
      <w:bookmarkStart w:id="27" w:name="_Hlk187327585"/>
      <w:r w:rsidR="00CF27E5" w:rsidRPr="00AA1B14">
        <w:t>More information on funding in future years has been promised by the government in the coming months</w:t>
      </w:r>
      <w:r w:rsidR="00AA1B14" w:rsidRPr="00AA1B14">
        <w:t>, and colleagues will continue to liaise with the local authorities to align assumptions for council taxbase/collection.</w:t>
      </w:r>
      <w:bookmarkEnd w:id="27"/>
    </w:p>
    <w:p w14:paraId="4F4F5E4E" w14:textId="00052C09" w:rsidR="0004646B" w:rsidRPr="00AA5E18" w:rsidRDefault="00AA1B14" w:rsidP="00CC0A00">
      <w:pPr>
        <w:pStyle w:val="PanelPara"/>
        <w:numPr>
          <w:ilvl w:val="1"/>
          <w:numId w:val="6"/>
        </w:numPr>
      </w:pPr>
      <w:bookmarkStart w:id="28" w:name="_Hlk187327938"/>
      <w:r w:rsidRPr="00AA5E18">
        <w:t>In line with previous assumptions,</w:t>
      </w:r>
      <w:r w:rsidR="004364E9" w:rsidRPr="00AA5E18">
        <w:t xml:space="preserve"> </w:t>
      </w:r>
      <w:r w:rsidR="0035748F" w:rsidRPr="00AA5E18">
        <w:t>p</w:t>
      </w:r>
      <w:r w:rsidR="004364E9" w:rsidRPr="00AA5E18">
        <w:t>ay increase estimates are assumed at an average of 2%</w:t>
      </w:r>
      <w:r w:rsidR="007D18FC" w:rsidRPr="00AA5E18">
        <w:t xml:space="preserve"> per year</w:t>
      </w:r>
      <w:r w:rsidR="0004646B" w:rsidRPr="00AA5E18">
        <w:t xml:space="preserve">.  </w:t>
      </w:r>
      <w:r w:rsidRPr="00AA5E18">
        <w:t xml:space="preserve">There has not </w:t>
      </w:r>
      <w:r w:rsidR="00AA5E18" w:rsidRPr="00AA5E18">
        <w:t xml:space="preserve">yet </w:t>
      </w:r>
      <w:r w:rsidRPr="00AA5E18">
        <w:t xml:space="preserve">been any indication of government </w:t>
      </w:r>
      <w:r w:rsidR="00AA5E18" w:rsidRPr="00AA5E18">
        <w:t xml:space="preserve">funding to </w:t>
      </w:r>
      <w:r w:rsidRPr="00AA5E18">
        <w:t xml:space="preserve">support </w:t>
      </w:r>
      <w:r w:rsidR="00AA5E18" w:rsidRPr="00AA5E18">
        <w:t xml:space="preserve">any increases </w:t>
      </w:r>
      <w:r w:rsidRPr="00AA5E18">
        <w:t>above this level</w:t>
      </w:r>
      <w:r w:rsidR="0004646B" w:rsidRPr="00AA5E18">
        <w:t>.</w:t>
      </w:r>
    </w:p>
    <w:p w14:paraId="597A0E7B" w14:textId="60271AFB" w:rsidR="0004646B" w:rsidRPr="00AA5E18" w:rsidRDefault="004364E9" w:rsidP="00CC0A00">
      <w:pPr>
        <w:pStyle w:val="PanelPara"/>
        <w:numPr>
          <w:ilvl w:val="1"/>
          <w:numId w:val="6"/>
        </w:numPr>
      </w:pPr>
      <w:bookmarkStart w:id="29" w:name="_Hlk187328734"/>
      <w:bookmarkEnd w:id="28"/>
      <w:r w:rsidRPr="00AA5E18">
        <w:t>Investment requirements can be prioritised and met from within the revenue budget or capital programme.</w:t>
      </w:r>
      <w:r w:rsidR="0004646B" w:rsidRPr="00AA5E18">
        <w:t xml:space="preserve">  </w:t>
      </w:r>
      <w:r w:rsidR="00E7205D" w:rsidRPr="00AA5E18">
        <w:t xml:space="preserve">Where appropriate, the PFCC will use reserves to pump prime investment initiatives.  </w:t>
      </w:r>
      <w:r w:rsidR="0004646B" w:rsidRPr="00AA5E18">
        <w:t xml:space="preserve">Any multi-year investments will be subject to review each year and may require additional savings to embed </w:t>
      </w:r>
      <w:r w:rsidR="00E7205D" w:rsidRPr="00AA5E18">
        <w:t xml:space="preserve">in the base budget </w:t>
      </w:r>
      <w:r w:rsidR="0004646B" w:rsidRPr="00AA5E18">
        <w:t>longer term.</w:t>
      </w:r>
    </w:p>
    <w:bookmarkEnd w:id="29"/>
    <w:p w14:paraId="73ACDF1D" w14:textId="77777777" w:rsidR="0004646B" w:rsidRPr="00AA5E18" w:rsidRDefault="004364E9" w:rsidP="00CC0A00">
      <w:pPr>
        <w:pStyle w:val="PanelPara"/>
        <w:numPr>
          <w:ilvl w:val="1"/>
          <w:numId w:val="6"/>
        </w:numPr>
      </w:pPr>
      <w:r w:rsidRPr="00AA5E18">
        <w:t>Further borrowing beyond the capital programme is not required.</w:t>
      </w:r>
    </w:p>
    <w:p w14:paraId="69480590" w14:textId="76BAE0DC" w:rsidR="003E5914" w:rsidRPr="00AA5E18" w:rsidRDefault="004364E9" w:rsidP="00CC0A00">
      <w:pPr>
        <w:pStyle w:val="PanelPara"/>
        <w:numPr>
          <w:ilvl w:val="1"/>
          <w:numId w:val="6"/>
        </w:numPr>
      </w:pPr>
      <w:r w:rsidRPr="00AA5E18">
        <w:t>Funding for regional collaborations will remain consistent</w:t>
      </w:r>
      <w:r w:rsidR="0004646B" w:rsidRPr="00AA5E18">
        <w:t>, allowing for a reasonable level of general inflation.</w:t>
      </w:r>
    </w:p>
    <w:p w14:paraId="4B127E3C" w14:textId="77777777" w:rsidR="0004646B" w:rsidRPr="00AA5E18" w:rsidRDefault="003E5914" w:rsidP="00AA5E18">
      <w:pPr>
        <w:pStyle w:val="PanelPara"/>
        <w:numPr>
          <w:ilvl w:val="1"/>
          <w:numId w:val="6"/>
        </w:numPr>
      </w:pPr>
      <w:r w:rsidRPr="00AA5E18">
        <w:lastRenderedPageBreak/>
        <w:t xml:space="preserve">It is assumed that no additional unfunded priorities or responsibilities </w:t>
      </w:r>
      <w:r w:rsidR="00B02BB4" w:rsidRPr="00AA5E18">
        <w:t xml:space="preserve">will be </w:t>
      </w:r>
      <w:r w:rsidRPr="00AA5E18">
        <w:t xml:space="preserve">given to the PFCC and Chief </w:t>
      </w:r>
      <w:r w:rsidR="00D04A86" w:rsidRPr="00AA5E18">
        <w:t>Constable</w:t>
      </w:r>
      <w:r w:rsidR="00B02BB4" w:rsidRPr="00AA5E18">
        <w:t xml:space="preserve"> to deliver</w:t>
      </w:r>
      <w:r w:rsidRPr="00AA5E18">
        <w:t>.</w:t>
      </w:r>
    </w:p>
    <w:p w14:paraId="28E9B9D3" w14:textId="77777777" w:rsidR="00D958D3" w:rsidRDefault="00D958D3" w:rsidP="0049467C">
      <w:pPr>
        <w:pStyle w:val="PanelHeading"/>
      </w:pPr>
    </w:p>
    <w:p w14:paraId="618CE0A2" w14:textId="27C011B7" w:rsidR="0049467C" w:rsidRPr="00362289" w:rsidRDefault="0049467C" w:rsidP="0049467C">
      <w:pPr>
        <w:pStyle w:val="PanelHeading"/>
      </w:pPr>
      <w:r w:rsidRPr="00362289">
        <w:t xml:space="preserve">THE FINANCIAL CHALLENGE – FUTURE RISKS, CHALLENGES AND UNCERTAINTIES </w:t>
      </w:r>
    </w:p>
    <w:p w14:paraId="74928602" w14:textId="77777777" w:rsidR="0049467C" w:rsidRPr="00134538" w:rsidRDefault="0049467C" w:rsidP="0049467C">
      <w:pPr>
        <w:pStyle w:val="PanelPara"/>
      </w:pPr>
      <w:r w:rsidRPr="00134538">
        <w:t>The impact of a different inflation assumptions to that estimated in the MTFP are as follows:</w:t>
      </w:r>
    </w:p>
    <w:p w14:paraId="342BFA41" w14:textId="77777777" w:rsidR="0049467C" w:rsidRPr="00134538" w:rsidRDefault="0049467C" w:rsidP="0049467C">
      <w:pPr>
        <w:pStyle w:val="PanelPara"/>
        <w:numPr>
          <w:ilvl w:val="1"/>
          <w:numId w:val="6"/>
        </w:numPr>
      </w:pPr>
      <w:bookmarkStart w:id="30" w:name="_Hlk156745554"/>
      <w:r w:rsidRPr="00134538">
        <w:t>Every 1% reduction in grant equates to circa £1.09m per annum</w:t>
      </w:r>
    </w:p>
    <w:bookmarkEnd w:id="30"/>
    <w:p w14:paraId="162C6F73" w14:textId="77777777" w:rsidR="0049467C" w:rsidRPr="00134538" w:rsidRDefault="0049467C" w:rsidP="0049467C">
      <w:pPr>
        <w:pStyle w:val="PanelPara"/>
        <w:numPr>
          <w:ilvl w:val="1"/>
          <w:numId w:val="6"/>
        </w:numPr>
      </w:pPr>
      <w:r w:rsidRPr="00134538">
        <w:t>Every 1% in Council Tax equates to circa £0.85m per annum</w:t>
      </w:r>
    </w:p>
    <w:p w14:paraId="41BC4E77" w14:textId="77777777" w:rsidR="0049467C" w:rsidRPr="00134538" w:rsidRDefault="0049467C" w:rsidP="0049467C">
      <w:pPr>
        <w:pStyle w:val="PanelPara"/>
        <w:numPr>
          <w:ilvl w:val="1"/>
          <w:numId w:val="6"/>
        </w:numPr>
      </w:pPr>
      <w:r w:rsidRPr="00134538">
        <w:t>Every £1 in Council Tax equates to £0.26m per annum</w:t>
      </w:r>
    </w:p>
    <w:p w14:paraId="701B1434" w14:textId="77777777" w:rsidR="0049467C" w:rsidRPr="00134538" w:rsidRDefault="0049467C" w:rsidP="0049467C">
      <w:pPr>
        <w:pStyle w:val="PanelPara"/>
        <w:numPr>
          <w:ilvl w:val="1"/>
          <w:numId w:val="6"/>
        </w:numPr>
      </w:pPr>
      <w:r w:rsidRPr="00134538">
        <w:t>Every 1% in Pay equates to circa £1.7m in a full year</w:t>
      </w:r>
    </w:p>
    <w:p w14:paraId="59E2FB16" w14:textId="77777777" w:rsidR="0049467C" w:rsidRPr="00A94A3C" w:rsidRDefault="0049467C" w:rsidP="0049467C">
      <w:pPr>
        <w:pStyle w:val="PanelPara"/>
        <w:numPr>
          <w:ilvl w:val="1"/>
          <w:numId w:val="6"/>
        </w:numPr>
      </w:pPr>
      <w:r w:rsidRPr="00A94A3C">
        <w:t>Every 1% non-pay inflation equates to £0.38m per annum</w:t>
      </w:r>
    </w:p>
    <w:p w14:paraId="73C75FEB" w14:textId="089397EE" w:rsidR="0049467C" w:rsidRPr="003701F3" w:rsidRDefault="0049467C" w:rsidP="0049467C">
      <w:pPr>
        <w:pStyle w:val="PanelPara"/>
      </w:pPr>
      <w:bookmarkStart w:id="31" w:name="_Hlk156746022"/>
      <w:r w:rsidRPr="003701F3">
        <w:t>Prudent forecasts have been included where information which has not yet been finalised.  Any variations between the provisional and final settlement, council tax or the collection fund will be balanced with reserves.</w:t>
      </w:r>
    </w:p>
    <w:p w14:paraId="42B7ADE9" w14:textId="0E034B0D" w:rsidR="0049467C" w:rsidRPr="003701F3" w:rsidRDefault="0049467C" w:rsidP="0049467C">
      <w:pPr>
        <w:pStyle w:val="PanelPara"/>
      </w:pPr>
      <w:bookmarkStart w:id="32" w:name="_Hlk187329237"/>
      <w:bookmarkEnd w:id="31"/>
      <w:r w:rsidRPr="003701F3">
        <w:t>There are some further financial and operational risks</w:t>
      </w:r>
      <w:r w:rsidR="008E133A">
        <w:t xml:space="preserve">, </w:t>
      </w:r>
      <w:r w:rsidRPr="003701F3">
        <w:t>challenges</w:t>
      </w:r>
      <w:r w:rsidR="008E133A">
        <w:t xml:space="preserve"> and mitigations</w:t>
      </w:r>
      <w:r w:rsidRPr="003701F3">
        <w:t xml:space="preserve"> which are as follows:  </w:t>
      </w:r>
    </w:p>
    <w:bookmarkEnd w:id="32"/>
    <w:p w14:paraId="1B97A115" w14:textId="77777777" w:rsidR="0049467C" w:rsidRPr="003701F3" w:rsidRDefault="0049467C" w:rsidP="0049467C">
      <w:pPr>
        <w:pStyle w:val="PanelPara"/>
        <w:numPr>
          <w:ilvl w:val="1"/>
          <w:numId w:val="6"/>
        </w:numPr>
      </w:pPr>
      <w:r w:rsidRPr="003701F3">
        <w:t xml:space="preserve">The unknown timing and impact of the Police Funding Formula review on Core Grant distribution between forces. </w:t>
      </w:r>
    </w:p>
    <w:p w14:paraId="230B6983" w14:textId="77777777" w:rsidR="0049467C" w:rsidRPr="003701F3" w:rsidRDefault="0049467C" w:rsidP="0049467C">
      <w:pPr>
        <w:pStyle w:val="PanelPara"/>
        <w:numPr>
          <w:ilvl w:val="1"/>
          <w:numId w:val="6"/>
        </w:numPr>
      </w:pPr>
      <w:r w:rsidRPr="003701F3">
        <w:t>There is a national move to consider the charging of costs in line with a Net Revenue Expenditure (NRE) rather than a funding formula methodology.  This could be seen as a fairer way of distributing costs and income but until such time as the underlying funding formula disparity is addressed, it could potentially make the disparity even worse.  NRE methodology currently disproportionately affects forces such as Northamptonshire who have a lower-than-average grant allocation and it bears no correlation to increasing population or households as can be seen earlier in the report.  Any movement of national charging to NRE will result in cost increases to Northamptonshire.</w:t>
      </w:r>
    </w:p>
    <w:p w14:paraId="07DB99FD" w14:textId="77777777" w:rsidR="0049467C" w:rsidRPr="003701F3" w:rsidRDefault="0049467C" w:rsidP="0049467C">
      <w:pPr>
        <w:pStyle w:val="PanelPara"/>
        <w:numPr>
          <w:ilvl w:val="1"/>
          <w:numId w:val="6"/>
        </w:numPr>
      </w:pPr>
      <w:r w:rsidRPr="003701F3">
        <w:t>The impact of a different core grant assumption to that estimated in the MTFP for the years after 2025/26.  This will be mitigated if multi-year funding indications are provided by the government as promised in recent announcements.</w:t>
      </w:r>
    </w:p>
    <w:p w14:paraId="0EAF38C2" w14:textId="77777777" w:rsidR="0049467C" w:rsidRPr="003701F3" w:rsidRDefault="0049467C" w:rsidP="0049467C">
      <w:pPr>
        <w:pStyle w:val="PanelPara"/>
        <w:numPr>
          <w:ilvl w:val="1"/>
          <w:numId w:val="6"/>
        </w:numPr>
      </w:pPr>
      <w:r w:rsidRPr="003701F3">
        <w:t>The operational and financial impact of new, emerging and increasing areas of threat and demand, including, but not limited to, child sexual exploitation, adult and child sexual and domestic violence crimes and increasing cybercrime.</w:t>
      </w:r>
    </w:p>
    <w:p w14:paraId="732126A4" w14:textId="77777777" w:rsidR="0049467C" w:rsidRPr="00FE46A6" w:rsidRDefault="0049467C" w:rsidP="0049467C">
      <w:pPr>
        <w:pStyle w:val="PanelPara"/>
        <w:numPr>
          <w:ilvl w:val="1"/>
          <w:numId w:val="6"/>
        </w:numPr>
      </w:pPr>
      <w:r w:rsidRPr="00FE46A6">
        <w:t xml:space="preserve">The impact of national grants reducing or ceasing for regional activities such as for the Regional Organised Crime Unit (ROCU) would have a significant impact. </w:t>
      </w:r>
    </w:p>
    <w:p w14:paraId="59D45C4F" w14:textId="77777777" w:rsidR="0049467C" w:rsidRPr="00FE46A6" w:rsidRDefault="0049467C" w:rsidP="0049467C">
      <w:pPr>
        <w:pStyle w:val="PanelPara"/>
        <w:numPr>
          <w:ilvl w:val="1"/>
          <w:numId w:val="6"/>
        </w:numPr>
      </w:pPr>
      <w:r w:rsidRPr="00FE46A6">
        <w:t xml:space="preserve">The capital programme requirements and the investment required to take any business as usual, innovative or collaborative work forward in advance of the timings of savings.  The removal of capital grants continues to have an impact on the revenue costs of the </w:t>
      </w:r>
      <w:r w:rsidRPr="00FE46A6">
        <w:lastRenderedPageBreak/>
        <w:t>capital programme, which are built into the MTFP.  Variations to interest rates can have a material impact on borrowing costs and treasury income.</w:t>
      </w:r>
    </w:p>
    <w:p w14:paraId="42E630EB" w14:textId="1FDE4E1D" w:rsidR="0049467C" w:rsidRPr="00FE46A6" w:rsidRDefault="0049467C" w:rsidP="0049467C">
      <w:pPr>
        <w:pStyle w:val="PanelPara"/>
        <w:numPr>
          <w:ilvl w:val="1"/>
          <w:numId w:val="6"/>
        </w:numPr>
      </w:pPr>
      <w:bookmarkStart w:id="33" w:name="_Hlk187329393"/>
      <w:r w:rsidRPr="00FE46A6">
        <w:t>Strategies for</w:t>
      </w:r>
      <w:r w:rsidR="00FD7DF1">
        <w:t xml:space="preserve"> </w:t>
      </w:r>
      <w:r w:rsidRPr="00FE46A6">
        <w:t>estates, fleet, digital and operational equipment are in place which inform the capital programme and revenue budgets.  The Estates Strategy has been reviewed and updated throughout the MTFP and built into longer term financial forecasts.</w:t>
      </w:r>
    </w:p>
    <w:bookmarkEnd w:id="33"/>
    <w:p w14:paraId="13EF88A2" w14:textId="77777777" w:rsidR="0049467C" w:rsidRPr="00FE46A6" w:rsidRDefault="0049467C" w:rsidP="0049467C">
      <w:pPr>
        <w:pStyle w:val="PanelPara"/>
        <w:numPr>
          <w:ilvl w:val="1"/>
          <w:numId w:val="6"/>
        </w:numPr>
      </w:pPr>
      <w:r w:rsidRPr="00FE46A6">
        <w:t xml:space="preserve">The impact of partners’ spending decisions which may affect services provided by the Force or PFCC.   </w:t>
      </w:r>
    </w:p>
    <w:p w14:paraId="6759597C" w14:textId="77777777" w:rsidR="0049467C" w:rsidRPr="00FE46A6" w:rsidRDefault="0049467C" w:rsidP="0049467C">
      <w:pPr>
        <w:pStyle w:val="PanelPara"/>
        <w:numPr>
          <w:ilvl w:val="1"/>
          <w:numId w:val="6"/>
        </w:numPr>
      </w:pPr>
      <w:r w:rsidRPr="00FE46A6">
        <w:t>Inflation uncertainty both in terms of future pay awards and non-pay costs.</w:t>
      </w:r>
    </w:p>
    <w:p w14:paraId="04E82890" w14:textId="77777777" w:rsidR="00117B24" w:rsidRPr="00A81E04" w:rsidRDefault="00117B24" w:rsidP="00425585">
      <w:pPr>
        <w:spacing w:line="240" w:lineRule="auto"/>
        <w:rPr>
          <w:rFonts w:ascii="Arial" w:hAnsi="Arial" w:cs="Arial"/>
          <w:highlight w:val="yellow"/>
        </w:rPr>
      </w:pPr>
    </w:p>
    <w:p w14:paraId="4C60BA6E" w14:textId="0A49C5A6" w:rsidR="001C1326" w:rsidRPr="00B5503F" w:rsidRDefault="00FC4407" w:rsidP="006770A5">
      <w:pPr>
        <w:pStyle w:val="PanelHeading"/>
      </w:pPr>
      <w:r w:rsidRPr="00B5503F">
        <w:t>CAPITAL PROGRAMME</w:t>
      </w:r>
    </w:p>
    <w:p w14:paraId="7B35BCB5" w14:textId="79872104" w:rsidR="006770A5" w:rsidRPr="00B5503F" w:rsidRDefault="00E26588" w:rsidP="006770A5">
      <w:pPr>
        <w:pStyle w:val="PanelPara"/>
      </w:pPr>
      <w:bookmarkStart w:id="34" w:name="_Hlk187329783"/>
      <w:r w:rsidRPr="00B5503F">
        <w:t xml:space="preserve">A </w:t>
      </w:r>
      <w:r w:rsidR="00EE4050" w:rsidRPr="00B5503F">
        <w:t>C</w:t>
      </w:r>
      <w:r w:rsidRPr="00B5503F">
        <w:t xml:space="preserve">apital </w:t>
      </w:r>
      <w:r w:rsidR="00EE4050" w:rsidRPr="00B5503F">
        <w:t>P</w:t>
      </w:r>
      <w:r w:rsidRPr="00B5503F">
        <w:t>rogramme has been approved as part of the budget setting process, which identifie</w:t>
      </w:r>
      <w:r w:rsidR="006770A5" w:rsidRPr="00B5503F">
        <w:t>s</w:t>
      </w:r>
      <w:r w:rsidR="007375CA" w:rsidRPr="00B5503F">
        <w:t xml:space="preserve"> the</w:t>
      </w:r>
      <w:r w:rsidRPr="00B5503F">
        <w:t xml:space="preserve"> requirements across </w:t>
      </w:r>
      <w:r w:rsidR="00DF18AF" w:rsidRPr="00B5503F">
        <w:t>fleet</w:t>
      </w:r>
      <w:r w:rsidRPr="00B5503F">
        <w:t xml:space="preserve">, </w:t>
      </w:r>
      <w:r w:rsidR="00DF18AF" w:rsidRPr="00B5503F">
        <w:t>estates</w:t>
      </w:r>
      <w:r w:rsidRPr="00B5503F">
        <w:t xml:space="preserve">, ICT and </w:t>
      </w:r>
      <w:r w:rsidR="00DF18AF" w:rsidRPr="00B5503F">
        <w:t xml:space="preserve">operational </w:t>
      </w:r>
      <w:r w:rsidRPr="00B5503F">
        <w:t>equipment.</w:t>
      </w:r>
    </w:p>
    <w:bookmarkEnd w:id="34"/>
    <w:p w14:paraId="7BE40AE3" w14:textId="274650CA" w:rsidR="002D7500" w:rsidRPr="00B5503F" w:rsidRDefault="00E26588" w:rsidP="006770A5">
      <w:pPr>
        <w:pStyle w:val="PanelPara"/>
      </w:pPr>
      <w:r w:rsidRPr="00B5503F">
        <w:t xml:space="preserve">The approved </w:t>
      </w:r>
      <w:r w:rsidR="00EE4050" w:rsidRPr="00B5503F">
        <w:t>C</w:t>
      </w:r>
      <w:r w:rsidRPr="00B5503F">
        <w:t xml:space="preserve">apital </w:t>
      </w:r>
      <w:r w:rsidR="00EE4050" w:rsidRPr="00B5503F">
        <w:t>P</w:t>
      </w:r>
      <w:r w:rsidRPr="00B5503F">
        <w:t>rogramme is as follows:</w:t>
      </w:r>
    </w:p>
    <w:tbl>
      <w:tblPr>
        <w:tblW w:w="8940" w:type="dxa"/>
        <w:tblInd w:w="562" w:type="dxa"/>
        <w:tblLook w:val="04A0" w:firstRow="1" w:lastRow="0" w:firstColumn="1" w:lastColumn="0" w:noHBand="0" w:noVBand="1"/>
      </w:tblPr>
      <w:tblGrid>
        <w:gridCol w:w="3640"/>
        <w:gridCol w:w="1060"/>
        <w:gridCol w:w="1060"/>
        <w:gridCol w:w="1060"/>
        <w:gridCol w:w="1060"/>
        <w:gridCol w:w="1060"/>
      </w:tblGrid>
      <w:tr w:rsidR="00B5503F" w:rsidRPr="00B5503F" w14:paraId="6E93D6BD" w14:textId="77777777" w:rsidTr="00B5503F">
        <w:trPr>
          <w:trHeight w:val="630"/>
        </w:trPr>
        <w:tc>
          <w:tcPr>
            <w:tcW w:w="36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E8033B" w14:textId="77777777" w:rsidR="00B5503F" w:rsidRPr="00B5503F" w:rsidRDefault="00B5503F" w:rsidP="00B5503F">
            <w:pPr>
              <w:spacing w:line="240" w:lineRule="auto"/>
              <w:jc w:val="center"/>
              <w:rPr>
                <w:rFonts w:eastAsia="Times New Roman" w:cs="Calibri"/>
                <w:b/>
                <w:bCs/>
                <w:color w:val="000000"/>
                <w:sz w:val="24"/>
                <w:szCs w:val="24"/>
                <w:lang w:eastAsia="en-GB"/>
              </w:rPr>
            </w:pPr>
            <w:r w:rsidRPr="00B5503F">
              <w:rPr>
                <w:rFonts w:eastAsia="Times New Roman" w:cs="Calibri"/>
                <w:b/>
                <w:bCs/>
                <w:color w:val="000000"/>
                <w:sz w:val="24"/>
                <w:szCs w:val="24"/>
                <w:lang w:eastAsia="en-GB"/>
              </w:rPr>
              <w:t>Programme</w:t>
            </w:r>
          </w:p>
        </w:tc>
        <w:tc>
          <w:tcPr>
            <w:tcW w:w="1060" w:type="dxa"/>
            <w:tcBorders>
              <w:top w:val="single" w:sz="4" w:space="0" w:color="auto"/>
              <w:left w:val="nil"/>
              <w:bottom w:val="single" w:sz="4" w:space="0" w:color="auto"/>
              <w:right w:val="single" w:sz="4" w:space="0" w:color="auto"/>
            </w:tcBorders>
            <w:shd w:val="clear" w:color="000000" w:fill="DDEBF7"/>
            <w:vAlign w:val="center"/>
            <w:hideMark/>
          </w:tcPr>
          <w:p w14:paraId="41D0D935" w14:textId="77777777" w:rsidR="00B5503F" w:rsidRPr="00B5503F" w:rsidRDefault="00B5503F" w:rsidP="00B5503F">
            <w:pPr>
              <w:spacing w:line="240" w:lineRule="auto"/>
              <w:jc w:val="center"/>
              <w:rPr>
                <w:rFonts w:eastAsia="Times New Roman" w:cs="Calibri"/>
                <w:b/>
                <w:bCs/>
                <w:color w:val="000000"/>
                <w:sz w:val="24"/>
                <w:szCs w:val="24"/>
                <w:lang w:eastAsia="en-GB"/>
              </w:rPr>
            </w:pPr>
            <w:r w:rsidRPr="00B5503F">
              <w:rPr>
                <w:rFonts w:eastAsia="Times New Roman" w:cs="Calibri"/>
                <w:b/>
                <w:bCs/>
                <w:color w:val="000000"/>
                <w:sz w:val="24"/>
                <w:szCs w:val="24"/>
                <w:lang w:eastAsia="en-GB"/>
              </w:rPr>
              <w:t>2025/26</w:t>
            </w:r>
            <w:r w:rsidRPr="00B5503F">
              <w:rPr>
                <w:rFonts w:eastAsia="Times New Roman" w:cs="Calibri"/>
                <w:b/>
                <w:bCs/>
                <w:color w:val="000000"/>
                <w:sz w:val="24"/>
                <w:szCs w:val="24"/>
                <w:lang w:eastAsia="en-GB"/>
              </w:rPr>
              <w:br/>
              <w:t>£m</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14:paraId="042999E1" w14:textId="77777777" w:rsidR="00B5503F" w:rsidRPr="00B5503F" w:rsidRDefault="00B5503F" w:rsidP="00B5503F">
            <w:pPr>
              <w:spacing w:line="240" w:lineRule="auto"/>
              <w:jc w:val="center"/>
              <w:rPr>
                <w:rFonts w:eastAsia="Times New Roman" w:cs="Calibri"/>
                <w:b/>
                <w:bCs/>
                <w:color w:val="000000"/>
                <w:sz w:val="24"/>
                <w:szCs w:val="24"/>
                <w:lang w:eastAsia="en-GB"/>
              </w:rPr>
            </w:pPr>
            <w:r w:rsidRPr="00B5503F">
              <w:rPr>
                <w:rFonts w:eastAsia="Times New Roman" w:cs="Calibri"/>
                <w:b/>
                <w:bCs/>
                <w:color w:val="000000"/>
                <w:sz w:val="24"/>
                <w:szCs w:val="24"/>
                <w:lang w:eastAsia="en-GB"/>
              </w:rPr>
              <w:t>2026/27</w:t>
            </w:r>
            <w:r w:rsidRPr="00B5503F">
              <w:rPr>
                <w:rFonts w:eastAsia="Times New Roman" w:cs="Calibri"/>
                <w:b/>
                <w:bCs/>
                <w:color w:val="000000"/>
                <w:sz w:val="24"/>
                <w:szCs w:val="24"/>
                <w:lang w:eastAsia="en-GB"/>
              </w:rPr>
              <w:br/>
              <w:t>£m</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14:paraId="4B00F520" w14:textId="77777777" w:rsidR="00B5503F" w:rsidRPr="00B5503F" w:rsidRDefault="00B5503F" w:rsidP="00B5503F">
            <w:pPr>
              <w:spacing w:line="240" w:lineRule="auto"/>
              <w:jc w:val="center"/>
              <w:rPr>
                <w:rFonts w:eastAsia="Times New Roman" w:cs="Calibri"/>
                <w:b/>
                <w:bCs/>
                <w:color w:val="000000"/>
                <w:sz w:val="24"/>
                <w:szCs w:val="24"/>
                <w:lang w:eastAsia="en-GB"/>
              </w:rPr>
            </w:pPr>
            <w:r w:rsidRPr="00B5503F">
              <w:rPr>
                <w:rFonts w:eastAsia="Times New Roman" w:cs="Calibri"/>
                <w:b/>
                <w:bCs/>
                <w:color w:val="000000"/>
                <w:sz w:val="24"/>
                <w:szCs w:val="24"/>
                <w:lang w:eastAsia="en-GB"/>
              </w:rPr>
              <w:t>2027/28</w:t>
            </w:r>
            <w:r w:rsidRPr="00B5503F">
              <w:rPr>
                <w:rFonts w:eastAsia="Times New Roman" w:cs="Calibri"/>
                <w:b/>
                <w:bCs/>
                <w:color w:val="000000"/>
                <w:sz w:val="24"/>
                <w:szCs w:val="24"/>
                <w:lang w:eastAsia="en-GB"/>
              </w:rPr>
              <w:br/>
              <w:t>£m</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14:paraId="7EC8A2CA" w14:textId="77777777" w:rsidR="00B5503F" w:rsidRPr="00B5503F" w:rsidRDefault="00B5503F" w:rsidP="00B5503F">
            <w:pPr>
              <w:spacing w:line="240" w:lineRule="auto"/>
              <w:jc w:val="center"/>
              <w:rPr>
                <w:rFonts w:eastAsia="Times New Roman" w:cs="Calibri"/>
                <w:b/>
                <w:bCs/>
                <w:color w:val="000000"/>
                <w:sz w:val="24"/>
                <w:szCs w:val="24"/>
                <w:lang w:eastAsia="en-GB"/>
              </w:rPr>
            </w:pPr>
            <w:r w:rsidRPr="00B5503F">
              <w:rPr>
                <w:rFonts w:eastAsia="Times New Roman" w:cs="Calibri"/>
                <w:b/>
                <w:bCs/>
                <w:color w:val="000000"/>
                <w:sz w:val="24"/>
                <w:szCs w:val="24"/>
                <w:lang w:eastAsia="en-GB"/>
              </w:rPr>
              <w:t>2028/29</w:t>
            </w:r>
            <w:r w:rsidRPr="00B5503F">
              <w:rPr>
                <w:rFonts w:eastAsia="Times New Roman" w:cs="Calibri"/>
                <w:b/>
                <w:bCs/>
                <w:color w:val="000000"/>
                <w:sz w:val="24"/>
                <w:szCs w:val="24"/>
                <w:lang w:eastAsia="en-GB"/>
              </w:rPr>
              <w:br/>
              <w:t>£m</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14:paraId="721A1B3D" w14:textId="77777777" w:rsidR="00B5503F" w:rsidRPr="00B5503F" w:rsidRDefault="00B5503F" w:rsidP="00B5503F">
            <w:pPr>
              <w:spacing w:line="240" w:lineRule="auto"/>
              <w:jc w:val="center"/>
              <w:rPr>
                <w:rFonts w:eastAsia="Times New Roman" w:cs="Calibri"/>
                <w:b/>
                <w:bCs/>
                <w:color w:val="000000"/>
                <w:sz w:val="24"/>
                <w:szCs w:val="24"/>
                <w:lang w:eastAsia="en-GB"/>
              </w:rPr>
            </w:pPr>
            <w:r w:rsidRPr="00B5503F">
              <w:rPr>
                <w:rFonts w:eastAsia="Times New Roman" w:cs="Calibri"/>
                <w:b/>
                <w:bCs/>
                <w:color w:val="000000"/>
                <w:sz w:val="24"/>
                <w:szCs w:val="24"/>
                <w:lang w:eastAsia="en-GB"/>
              </w:rPr>
              <w:t>2029/30</w:t>
            </w:r>
            <w:r w:rsidRPr="00B5503F">
              <w:rPr>
                <w:rFonts w:eastAsia="Times New Roman" w:cs="Calibri"/>
                <w:b/>
                <w:bCs/>
                <w:color w:val="000000"/>
                <w:sz w:val="24"/>
                <w:szCs w:val="24"/>
                <w:lang w:eastAsia="en-GB"/>
              </w:rPr>
              <w:br/>
              <w:t>£m</w:t>
            </w:r>
          </w:p>
        </w:tc>
      </w:tr>
      <w:tr w:rsidR="00B5503F" w:rsidRPr="00B5503F" w14:paraId="69C3D178" w14:textId="77777777" w:rsidTr="00B5503F">
        <w:trPr>
          <w:trHeight w:val="315"/>
        </w:trPr>
        <w:tc>
          <w:tcPr>
            <w:tcW w:w="3640" w:type="dxa"/>
            <w:tcBorders>
              <w:top w:val="nil"/>
              <w:left w:val="single" w:sz="4" w:space="0" w:color="auto"/>
              <w:bottom w:val="nil"/>
              <w:right w:val="single" w:sz="4" w:space="0" w:color="auto"/>
            </w:tcBorders>
            <w:shd w:val="clear" w:color="000000" w:fill="FFFFFF"/>
            <w:noWrap/>
            <w:vAlign w:val="bottom"/>
            <w:hideMark/>
          </w:tcPr>
          <w:p w14:paraId="38A1F9EF" w14:textId="77777777" w:rsidR="00B5503F" w:rsidRPr="00B5503F" w:rsidRDefault="00B5503F" w:rsidP="00B5503F">
            <w:pPr>
              <w:spacing w:line="240" w:lineRule="auto"/>
              <w:rPr>
                <w:rFonts w:eastAsia="Times New Roman" w:cs="Calibri"/>
                <w:color w:val="000000"/>
                <w:sz w:val="24"/>
                <w:szCs w:val="24"/>
                <w:lang w:eastAsia="en-GB"/>
              </w:rPr>
            </w:pPr>
            <w:r w:rsidRPr="00B5503F">
              <w:rPr>
                <w:rFonts w:eastAsia="Times New Roman" w:cs="Calibri"/>
                <w:color w:val="000000"/>
                <w:sz w:val="24"/>
                <w:szCs w:val="24"/>
                <w:lang w:eastAsia="en-GB"/>
              </w:rPr>
              <w:t>Estates</w:t>
            </w:r>
          </w:p>
        </w:tc>
        <w:tc>
          <w:tcPr>
            <w:tcW w:w="1060" w:type="dxa"/>
            <w:tcBorders>
              <w:top w:val="nil"/>
              <w:left w:val="nil"/>
              <w:bottom w:val="nil"/>
              <w:right w:val="single" w:sz="4" w:space="0" w:color="auto"/>
            </w:tcBorders>
            <w:shd w:val="clear" w:color="000000" w:fill="DDEBF7"/>
            <w:noWrap/>
            <w:vAlign w:val="bottom"/>
            <w:hideMark/>
          </w:tcPr>
          <w:p w14:paraId="38FE279B" w14:textId="77777777" w:rsidR="00B5503F" w:rsidRPr="00B5503F" w:rsidRDefault="00B5503F" w:rsidP="00B5503F">
            <w:pPr>
              <w:spacing w:line="240" w:lineRule="auto"/>
              <w:jc w:val="right"/>
              <w:rPr>
                <w:rFonts w:eastAsia="Times New Roman" w:cs="Calibri"/>
                <w:color w:val="000000"/>
                <w:sz w:val="24"/>
                <w:szCs w:val="24"/>
                <w:lang w:eastAsia="en-GB"/>
              </w:rPr>
            </w:pPr>
            <w:r w:rsidRPr="00B5503F">
              <w:rPr>
                <w:rFonts w:eastAsia="Times New Roman" w:cs="Calibri"/>
                <w:color w:val="000000"/>
                <w:sz w:val="24"/>
                <w:szCs w:val="24"/>
                <w:lang w:eastAsia="en-GB"/>
              </w:rPr>
              <w:t>15.1</w:t>
            </w:r>
          </w:p>
        </w:tc>
        <w:tc>
          <w:tcPr>
            <w:tcW w:w="1060" w:type="dxa"/>
            <w:tcBorders>
              <w:top w:val="nil"/>
              <w:left w:val="nil"/>
              <w:bottom w:val="nil"/>
              <w:right w:val="single" w:sz="4" w:space="0" w:color="auto"/>
            </w:tcBorders>
            <w:shd w:val="clear" w:color="000000" w:fill="FFFFFF"/>
            <w:noWrap/>
            <w:vAlign w:val="bottom"/>
            <w:hideMark/>
          </w:tcPr>
          <w:p w14:paraId="094240BA" w14:textId="77777777" w:rsidR="00B5503F" w:rsidRPr="00B5503F" w:rsidRDefault="00B5503F" w:rsidP="00B5503F">
            <w:pPr>
              <w:spacing w:line="240" w:lineRule="auto"/>
              <w:jc w:val="right"/>
              <w:rPr>
                <w:rFonts w:eastAsia="Times New Roman" w:cs="Calibri"/>
                <w:color w:val="000000"/>
                <w:sz w:val="24"/>
                <w:szCs w:val="24"/>
                <w:lang w:eastAsia="en-GB"/>
              </w:rPr>
            </w:pPr>
            <w:r w:rsidRPr="00B5503F">
              <w:rPr>
                <w:rFonts w:eastAsia="Times New Roman" w:cs="Calibri"/>
                <w:color w:val="000000"/>
                <w:sz w:val="24"/>
                <w:szCs w:val="24"/>
                <w:lang w:eastAsia="en-GB"/>
              </w:rPr>
              <w:t>7.0</w:t>
            </w:r>
          </w:p>
        </w:tc>
        <w:tc>
          <w:tcPr>
            <w:tcW w:w="1060" w:type="dxa"/>
            <w:tcBorders>
              <w:top w:val="nil"/>
              <w:left w:val="nil"/>
              <w:bottom w:val="nil"/>
              <w:right w:val="single" w:sz="4" w:space="0" w:color="auto"/>
            </w:tcBorders>
            <w:shd w:val="clear" w:color="000000" w:fill="FFFFFF"/>
            <w:noWrap/>
            <w:vAlign w:val="bottom"/>
            <w:hideMark/>
          </w:tcPr>
          <w:p w14:paraId="4DB9C3C3" w14:textId="77777777" w:rsidR="00B5503F" w:rsidRPr="00B5503F" w:rsidRDefault="00B5503F" w:rsidP="00B5503F">
            <w:pPr>
              <w:spacing w:line="240" w:lineRule="auto"/>
              <w:jc w:val="right"/>
              <w:rPr>
                <w:rFonts w:eastAsia="Times New Roman" w:cs="Calibri"/>
                <w:color w:val="000000"/>
                <w:sz w:val="24"/>
                <w:szCs w:val="24"/>
                <w:lang w:eastAsia="en-GB"/>
              </w:rPr>
            </w:pPr>
            <w:r w:rsidRPr="00B5503F">
              <w:rPr>
                <w:rFonts w:eastAsia="Times New Roman" w:cs="Calibri"/>
                <w:color w:val="000000"/>
                <w:sz w:val="24"/>
                <w:szCs w:val="24"/>
                <w:lang w:eastAsia="en-GB"/>
              </w:rPr>
              <w:t>1.2</w:t>
            </w:r>
          </w:p>
        </w:tc>
        <w:tc>
          <w:tcPr>
            <w:tcW w:w="1060" w:type="dxa"/>
            <w:tcBorders>
              <w:top w:val="nil"/>
              <w:left w:val="nil"/>
              <w:bottom w:val="nil"/>
              <w:right w:val="single" w:sz="4" w:space="0" w:color="auto"/>
            </w:tcBorders>
            <w:shd w:val="clear" w:color="000000" w:fill="FFFFFF"/>
            <w:noWrap/>
            <w:vAlign w:val="bottom"/>
            <w:hideMark/>
          </w:tcPr>
          <w:p w14:paraId="6A97DF69" w14:textId="77777777" w:rsidR="00B5503F" w:rsidRPr="00B5503F" w:rsidRDefault="00B5503F" w:rsidP="00B5503F">
            <w:pPr>
              <w:spacing w:line="240" w:lineRule="auto"/>
              <w:jc w:val="right"/>
              <w:rPr>
                <w:rFonts w:eastAsia="Times New Roman" w:cs="Calibri"/>
                <w:color w:val="000000"/>
                <w:sz w:val="24"/>
                <w:szCs w:val="24"/>
                <w:lang w:eastAsia="en-GB"/>
              </w:rPr>
            </w:pPr>
            <w:r w:rsidRPr="00B5503F">
              <w:rPr>
                <w:rFonts w:eastAsia="Times New Roman" w:cs="Calibri"/>
                <w:color w:val="000000"/>
                <w:sz w:val="24"/>
                <w:szCs w:val="24"/>
                <w:lang w:eastAsia="en-GB"/>
              </w:rPr>
              <w:t>10.7</w:t>
            </w:r>
          </w:p>
        </w:tc>
        <w:tc>
          <w:tcPr>
            <w:tcW w:w="1060" w:type="dxa"/>
            <w:tcBorders>
              <w:top w:val="nil"/>
              <w:left w:val="nil"/>
              <w:bottom w:val="nil"/>
              <w:right w:val="single" w:sz="4" w:space="0" w:color="auto"/>
            </w:tcBorders>
            <w:shd w:val="clear" w:color="000000" w:fill="FFFFFF"/>
            <w:noWrap/>
            <w:vAlign w:val="bottom"/>
            <w:hideMark/>
          </w:tcPr>
          <w:p w14:paraId="5F62BB99" w14:textId="77777777" w:rsidR="00B5503F" w:rsidRPr="00B5503F" w:rsidRDefault="00B5503F" w:rsidP="00B5503F">
            <w:pPr>
              <w:spacing w:line="240" w:lineRule="auto"/>
              <w:jc w:val="right"/>
              <w:rPr>
                <w:rFonts w:eastAsia="Times New Roman" w:cs="Calibri"/>
                <w:color w:val="000000"/>
                <w:sz w:val="24"/>
                <w:szCs w:val="24"/>
                <w:lang w:eastAsia="en-GB"/>
              </w:rPr>
            </w:pPr>
            <w:r w:rsidRPr="00B5503F">
              <w:rPr>
                <w:rFonts w:eastAsia="Times New Roman" w:cs="Calibri"/>
                <w:color w:val="000000"/>
                <w:sz w:val="24"/>
                <w:szCs w:val="24"/>
                <w:lang w:eastAsia="en-GB"/>
              </w:rPr>
              <w:t>12.6</w:t>
            </w:r>
          </w:p>
        </w:tc>
      </w:tr>
      <w:tr w:rsidR="00B5503F" w:rsidRPr="00B5503F" w14:paraId="47645182" w14:textId="77777777" w:rsidTr="00B5503F">
        <w:trPr>
          <w:trHeight w:val="315"/>
        </w:trPr>
        <w:tc>
          <w:tcPr>
            <w:tcW w:w="3640" w:type="dxa"/>
            <w:tcBorders>
              <w:top w:val="nil"/>
              <w:left w:val="single" w:sz="4" w:space="0" w:color="auto"/>
              <w:bottom w:val="nil"/>
              <w:right w:val="single" w:sz="4" w:space="0" w:color="auto"/>
            </w:tcBorders>
            <w:shd w:val="clear" w:color="000000" w:fill="FFFFFF"/>
            <w:noWrap/>
            <w:vAlign w:val="bottom"/>
            <w:hideMark/>
          </w:tcPr>
          <w:p w14:paraId="1847D039" w14:textId="77777777" w:rsidR="00B5503F" w:rsidRPr="00B5503F" w:rsidRDefault="00B5503F" w:rsidP="00B5503F">
            <w:pPr>
              <w:spacing w:line="240" w:lineRule="auto"/>
              <w:rPr>
                <w:rFonts w:eastAsia="Times New Roman" w:cs="Calibri"/>
                <w:color w:val="000000"/>
                <w:sz w:val="24"/>
                <w:szCs w:val="24"/>
                <w:lang w:eastAsia="en-GB"/>
              </w:rPr>
            </w:pPr>
            <w:r w:rsidRPr="00B5503F">
              <w:rPr>
                <w:rFonts w:eastAsia="Times New Roman" w:cs="Calibri"/>
                <w:color w:val="000000"/>
                <w:sz w:val="24"/>
                <w:szCs w:val="24"/>
                <w:lang w:eastAsia="en-GB"/>
              </w:rPr>
              <w:t>ICT</w:t>
            </w:r>
          </w:p>
        </w:tc>
        <w:tc>
          <w:tcPr>
            <w:tcW w:w="1060" w:type="dxa"/>
            <w:tcBorders>
              <w:top w:val="nil"/>
              <w:left w:val="nil"/>
              <w:bottom w:val="nil"/>
              <w:right w:val="single" w:sz="4" w:space="0" w:color="auto"/>
            </w:tcBorders>
            <w:shd w:val="clear" w:color="000000" w:fill="DDEBF7"/>
            <w:noWrap/>
            <w:vAlign w:val="bottom"/>
            <w:hideMark/>
          </w:tcPr>
          <w:p w14:paraId="160BD634" w14:textId="77777777" w:rsidR="00B5503F" w:rsidRPr="00B5503F" w:rsidRDefault="00B5503F" w:rsidP="00B5503F">
            <w:pPr>
              <w:spacing w:line="240" w:lineRule="auto"/>
              <w:jc w:val="right"/>
              <w:rPr>
                <w:rFonts w:eastAsia="Times New Roman" w:cs="Calibri"/>
                <w:color w:val="000000"/>
                <w:sz w:val="24"/>
                <w:szCs w:val="24"/>
                <w:lang w:eastAsia="en-GB"/>
              </w:rPr>
            </w:pPr>
            <w:r w:rsidRPr="00B5503F">
              <w:rPr>
                <w:rFonts w:eastAsia="Times New Roman" w:cs="Calibri"/>
                <w:color w:val="000000"/>
                <w:sz w:val="24"/>
                <w:szCs w:val="24"/>
                <w:lang w:eastAsia="en-GB"/>
              </w:rPr>
              <w:t>5.6</w:t>
            </w:r>
          </w:p>
        </w:tc>
        <w:tc>
          <w:tcPr>
            <w:tcW w:w="1060" w:type="dxa"/>
            <w:tcBorders>
              <w:top w:val="nil"/>
              <w:left w:val="nil"/>
              <w:bottom w:val="nil"/>
              <w:right w:val="single" w:sz="4" w:space="0" w:color="auto"/>
            </w:tcBorders>
            <w:shd w:val="clear" w:color="000000" w:fill="FFFFFF"/>
            <w:noWrap/>
            <w:vAlign w:val="bottom"/>
            <w:hideMark/>
          </w:tcPr>
          <w:p w14:paraId="5F2544E8" w14:textId="77777777" w:rsidR="00B5503F" w:rsidRPr="00B5503F" w:rsidRDefault="00B5503F" w:rsidP="00B5503F">
            <w:pPr>
              <w:spacing w:line="240" w:lineRule="auto"/>
              <w:jc w:val="right"/>
              <w:rPr>
                <w:rFonts w:eastAsia="Times New Roman" w:cs="Calibri"/>
                <w:color w:val="000000"/>
                <w:sz w:val="24"/>
                <w:szCs w:val="24"/>
                <w:lang w:eastAsia="en-GB"/>
              </w:rPr>
            </w:pPr>
            <w:r w:rsidRPr="00B5503F">
              <w:rPr>
                <w:rFonts w:eastAsia="Times New Roman" w:cs="Calibri"/>
                <w:color w:val="000000"/>
                <w:sz w:val="24"/>
                <w:szCs w:val="24"/>
                <w:lang w:eastAsia="en-GB"/>
              </w:rPr>
              <w:t>3.7</w:t>
            </w:r>
          </w:p>
        </w:tc>
        <w:tc>
          <w:tcPr>
            <w:tcW w:w="1060" w:type="dxa"/>
            <w:tcBorders>
              <w:top w:val="nil"/>
              <w:left w:val="nil"/>
              <w:bottom w:val="nil"/>
              <w:right w:val="single" w:sz="4" w:space="0" w:color="auto"/>
            </w:tcBorders>
            <w:shd w:val="clear" w:color="000000" w:fill="FFFFFF"/>
            <w:noWrap/>
            <w:vAlign w:val="bottom"/>
            <w:hideMark/>
          </w:tcPr>
          <w:p w14:paraId="33D16514" w14:textId="77777777" w:rsidR="00B5503F" w:rsidRPr="00B5503F" w:rsidRDefault="00B5503F" w:rsidP="00B5503F">
            <w:pPr>
              <w:spacing w:line="240" w:lineRule="auto"/>
              <w:jc w:val="right"/>
              <w:rPr>
                <w:rFonts w:eastAsia="Times New Roman" w:cs="Calibri"/>
                <w:color w:val="000000"/>
                <w:sz w:val="24"/>
                <w:szCs w:val="24"/>
                <w:lang w:eastAsia="en-GB"/>
              </w:rPr>
            </w:pPr>
            <w:r w:rsidRPr="00B5503F">
              <w:rPr>
                <w:rFonts w:eastAsia="Times New Roman" w:cs="Calibri"/>
                <w:color w:val="000000"/>
                <w:sz w:val="24"/>
                <w:szCs w:val="24"/>
                <w:lang w:eastAsia="en-GB"/>
              </w:rPr>
              <w:t>3.1</w:t>
            </w:r>
          </w:p>
        </w:tc>
        <w:tc>
          <w:tcPr>
            <w:tcW w:w="1060" w:type="dxa"/>
            <w:tcBorders>
              <w:top w:val="nil"/>
              <w:left w:val="nil"/>
              <w:bottom w:val="nil"/>
              <w:right w:val="single" w:sz="4" w:space="0" w:color="auto"/>
            </w:tcBorders>
            <w:shd w:val="clear" w:color="000000" w:fill="FFFFFF"/>
            <w:noWrap/>
            <w:vAlign w:val="bottom"/>
            <w:hideMark/>
          </w:tcPr>
          <w:p w14:paraId="031F8038" w14:textId="77777777" w:rsidR="00B5503F" w:rsidRPr="00B5503F" w:rsidRDefault="00B5503F" w:rsidP="00B5503F">
            <w:pPr>
              <w:spacing w:line="240" w:lineRule="auto"/>
              <w:jc w:val="right"/>
              <w:rPr>
                <w:rFonts w:eastAsia="Times New Roman" w:cs="Calibri"/>
                <w:color w:val="000000"/>
                <w:sz w:val="24"/>
                <w:szCs w:val="24"/>
                <w:lang w:eastAsia="en-GB"/>
              </w:rPr>
            </w:pPr>
            <w:r w:rsidRPr="00B5503F">
              <w:rPr>
                <w:rFonts w:eastAsia="Times New Roman" w:cs="Calibri"/>
                <w:color w:val="000000"/>
                <w:sz w:val="24"/>
                <w:szCs w:val="24"/>
                <w:lang w:eastAsia="en-GB"/>
              </w:rPr>
              <w:t>4.5</w:t>
            </w:r>
          </w:p>
        </w:tc>
        <w:tc>
          <w:tcPr>
            <w:tcW w:w="1060" w:type="dxa"/>
            <w:tcBorders>
              <w:top w:val="nil"/>
              <w:left w:val="nil"/>
              <w:bottom w:val="nil"/>
              <w:right w:val="single" w:sz="4" w:space="0" w:color="auto"/>
            </w:tcBorders>
            <w:shd w:val="clear" w:color="000000" w:fill="FFFFFF"/>
            <w:noWrap/>
            <w:vAlign w:val="bottom"/>
            <w:hideMark/>
          </w:tcPr>
          <w:p w14:paraId="6A86908D" w14:textId="77777777" w:rsidR="00B5503F" w:rsidRPr="00B5503F" w:rsidRDefault="00B5503F" w:rsidP="00B5503F">
            <w:pPr>
              <w:spacing w:line="240" w:lineRule="auto"/>
              <w:jc w:val="right"/>
              <w:rPr>
                <w:rFonts w:eastAsia="Times New Roman" w:cs="Calibri"/>
                <w:color w:val="000000"/>
                <w:sz w:val="24"/>
                <w:szCs w:val="24"/>
                <w:lang w:eastAsia="en-GB"/>
              </w:rPr>
            </w:pPr>
            <w:r w:rsidRPr="00B5503F">
              <w:rPr>
                <w:rFonts w:eastAsia="Times New Roman" w:cs="Calibri"/>
                <w:color w:val="000000"/>
                <w:sz w:val="24"/>
                <w:szCs w:val="24"/>
                <w:lang w:eastAsia="en-GB"/>
              </w:rPr>
              <w:t>5.2</w:t>
            </w:r>
          </w:p>
        </w:tc>
      </w:tr>
      <w:tr w:rsidR="00B5503F" w:rsidRPr="00B5503F" w14:paraId="1EBC7B44" w14:textId="77777777" w:rsidTr="00B5503F">
        <w:trPr>
          <w:trHeight w:val="315"/>
        </w:trPr>
        <w:tc>
          <w:tcPr>
            <w:tcW w:w="3640" w:type="dxa"/>
            <w:tcBorders>
              <w:top w:val="nil"/>
              <w:left w:val="single" w:sz="4" w:space="0" w:color="auto"/>
              <w:bottom w:val="nil"/>
              <w:right w:val="single" w:sz="4" w:space="0" w:color="auto"/>
            </w:tcBorders>
            <w:shd w:val="clear" w:color="000000" w:fill="FFFFFF"/>
            <w:noWrap/>
            <w:vAlign w:val="bottom"/>
            <w:hideMark/>
          </w:tcPr>
          <w:p w14:paraId="6E97C25D" w14:textId="77777777" w:rsidR="00B5503F" w:rsidRPr="00B5503F" w:rsidRDefault="00B5503F" w:rsidP="00B5503F">
            <w:pPr>
              <w:spacing w:line="240" w:lineRule="auto"/>
              <w:rPr>
                <w:rFonts w:eastAsia="Times New Roman" w:cs="Calibri"/>
                <w:color w:val="000000"/>
                <w:sz w:val="24"/>
                <w:szCs w:val="24"/>
                <w:lang w:eastAsia="en-GB"/>
              </w:rPr>
            </w:pPr>
            <w:r w:rsidRPr="00B5503F">
              <w:rPr>
                <w:rFonts w:eastAsia="Times New Roman" w:cs="Calibri"/>
                <w:color w:val="000000"/>
                <w:sz w:val="24"/>
                <w:szCs w:val="24"/>
                <w:lang w:eastAsia="en-GB"/>
              </w:rPr>
              <w:t>Vehicles &amp; Operational Equipment</w:t>
            </w:r>
          </w:p>
        </w:tc>
        <w:tc>
          <w:tcPr>
            <w:tcW w:w="1060" w:type="dxa"/>
            <w:tcBorders>
              <w:top w:val="nil"/>
              <w:left w:val="nil"/>
              <w:bottom w:val="nil"/>
              <w:right w:val="single" w:sz="4" w:space="0" w:color="auto"/>
            </w:tcBorders>
            <w:shd w:val="clear" w:color="000000" w:fill="DDEBF7"/>
            <w:noWrap/>
            <w:vAlign w:val="bottom"/>
            <w:hideMark/>
          </w:tcPr>
          <w:p w14:paraId="4F085754" w14:textId="77777777" w:rsidR="00B5503F" w:rsidRPr="00B5503F" w:rsidRDefault="00B5503F" w:rsidP="00B5503F">
            <w:pPr>
              <w:spacing w:line="240" w:lineRule="auto"/>
              <w:jc w:val="right"/>
              <w:rPr>
                <w:rFonts w:eastAsia="Times New Roman" w:cs="Calibri"/>
                <w:color w:val="000000"/>
                <w:sz w:val="24"/>
                <w:szCs w:val="24"/>
                <w:lang w:eastAsia="en-GB"/>
              </w:rPr>
            </w:pPr>
            <w:r w:rsidRPr="00B5503F">
              <w:rPr>
                <w:rFonts w:eastAsia="Times New Roman" w:cs="Calibri"/>
                <w:color w:val="000000"/>
                <w:sz w:val="24"/>
                <w:szCs w:val="24"/>
                <w:lang w:eastAsia="en-GB"/>
              </w:rPr>
              <w:t>4.5</w:t>
            </w:r>
          </w:p>
        </w:tc>
        <w:tc>
          <w:tcPr>
            <w:tcW w:w="1060" w:type="dxa"/>
            <w:tcBorders>
              <w:top w:val="nil"/>
              <w:left w:val="nil"/>
              <w:bottom w:val="nil"/>
              <w:right w:val="single" w:sz="4" w:space="0" w:color="auto"/>
            </w:tcBorders>
            <w:shd w:val="clear" w:color="000000" w:fill="FFFFFF"/>
            <w:noWrap/>
            <w:vAlign w:val="bottom"/>
            <w:hideMark/>
          </w:tcPr>
          <w:p w14:paraId="0E0B20F0" w14:textId="77777777" w:rsidR="00B5503F" w:rsidRPr="00B5503F" w:rsidRDefault="00B5503F" w:rsidP="00B5503F">
            <w:pPr>
              <w:spacing w:line="240" w:lineRule="auto"/>
              <w:jc w:val="right"/>
              <w:rPr>
                <w:rFonts w:eastAsia="Times New Roman" w:cs="Calibri"/>
                <w:color w:val="000000"/>
                <w:sz w:val="24"/>
                <w:szCs w:val="24"/>
                <w:lang w:eastAsia="en-GB"/>
              </w:rPr>
            </w:pPr>
            <w:r w:rsidRPr="00B5503F">
              <w:rPr>
                <w:rFonts w:eastAsia="Times New Roman" w:cs="Calibri"/>
                <w:color w:val="000000"/>
                <w:sz w:val="24"/>
                <w:szCs w:val="24"/>
                <w:lang w:eastAsia="en-GB"/>
              </w:rPr>
              <w:t>2.1</w:t>
            </w:r>
          </w:p>
        </w:tc>
        <w:tc>
          <w:tcPr>
            <w:tcW w:w="1060" w:type="dxa"/>
            <w:tcBorders>
              <w:top w:val="nil"/>
              <w:left w:val="nil"/>
              <w:bottom w:val="nil"/>
              <w:right w:val="single" w:sz="4" w:space="0" w:color="auto"/>
            </w:tcBorders>
            <w:shd w:val="clear" w:color="000000" w:fill="FFFFFF"/>
            <w:noWrap/>
            <w:vAlign w:val="bottom"/>
            <w:hideMark/>
          </w:tcPr>
          <w:p w14:paraId="5BFB4E7C" w14:textId="77777777" w:rsidR="00B5503F" w:rsidRPr="00B5503F" w:rsidRDefault="00B5503F" w:rsidP="00B5503F">
            <w:pPr>
              <w:spacing w:line="240" w:lineRule="auto"/>
              <w:jc w:val="right"/>
              <w:rPr>
                <w:rFonts w:eastAsia="Times New Roman" w:cs="Calibri"/>
                <w:color w:val="000000"/>
                <w:sz w:val="24"/>
                <w:szCs w:val="24"/>
                <w:lang w:eastAsia="en-GB"/>
              </w:rPr>
            </w:pPr>
            <w:r w:rsidRPr="00B5503F">
              <w:rPr>
                <w:rFonts w:eastAsia="Times New Roman" w:cs="Calibri"/>
                <w:color w:val="000000"/>
                <w:sz w:val="24"/>
                <w:szCs w:val="24"/>
                <w:lang w:eastAsia="en-GB"/>
              </w:rPr>
              <w:t>1.6</w:t>
            </w:r>
          </w:p>
        </w:tc>
        <w:tc>
          <w:tcPr>
            <w:tcW w:w="1060" w:type="dxa"/>
            <w:tcBorders>
              <w:top w:val="nil"/>
              <w:left w:val="nil"/>
              <w:bottom w:val="nil"/>
              <w:right w:val="single" w:sz="4" w:space="0" w:color="auto"/>
            </w:tcBorders>
            <w:shd w:val="clear" w:color="000000" w:fill="FFFFFF"/>
            <w:noWrap/>
            <w:vAlign w:val="bottom"/>
            <w:hideMark/>
          </w:tcPr>
          <w:p w14:paraId="52FEC6D5" w14:textId="77777777" w:rsidR="00B5503F" w:rsidRPr="00B5503F" w:rsidRDefault="00B5503F" w:rsidP="00B5503F">
            <w:pPr>
              <w:spacing w:line="240" w:lineRule="auto"/>
              <w:jc w:val="right"/>
              <w:rPr>
                <w:rFonts w:eastAsia="Times New Roman" w:cs="Calibri"/>
                <w:color w:val="000000"/>
                <w:sz w:val="24"/>
                <w:szCs w:val="24"/>
                <w:lang w:eastAsia="en-GB"/>
              </w:rPr>
            </w:pPr>
            <w:r w:rsidRPr="00B5503F">
              <w:rPr>
                <w:rFonts w:eastAsia="Times New Roman" w:cs="Calibri"/>
                <w:color w:val="000000"/>
                <w:sz w:val="24"/>
                <w:szCs w:val="24"/>
                <w:lang w:eastAsia="en-GB"/>
              </w:rPr>
              <w:t>1.9</w:t>
            </w:r>
          </w:p>
        </w:tc>
        <w:tc>
          <w:tcPr>
            <w:tcW w:w="1060" w:type="dxa"/>
            <w:tcBorders>
              <w:top w:val="nil"/>
              <w:left w:val="nil"/>
              <w:bottom w:val="nil"/>
              <w:right w:val="single" w:sz="4" w:space="0" w:color="auto"/>
            </w:tcBorders>
            <w:shd w:val="clear" w:color="000000" w:fill="FFFFFF"/>
            <w:noWrap/>
            <w:vAlign w:val="bottom"/>
            <w:hideMark/>
          </w:tcPr>
          <w:p w14:paraId="131EC6C7" w14:textId="77777777" w:rsidR="00B5503F" w:rsidRPr="00B5503F" w:rsidRDefault="00B5503F" w:rsidP="00B5503F">
            <w:pPr>
              <w:spacing w:line="240" w:lineRule="auto"/>
              <w:jc w:val="right"/>
              <w:rPr>
                <w:rFonts w:eastAsia="Times New Roman" w:cs="Calibri"/>
                <w:color w:val="000000"/>
                <w:sz w:val="24"/>
                <w:szCs w:val="24"/>
                <w:lang w:eastAsia="en-GB"/>
              </w:rPr>
            </w:pPr>
            <w:r w:rsidRPr="00B5503F">
              <w:rPr>
                <w:rFonts w:eastAsia="Times New Roman" w:cs="Calibri"/>
                <w:color w:val="000000"/>
                <w:sz w:val="24"/>
                <w:szCs w:val="24"/>
                <w:lang w:eastAsia="en-GB"/>
              </w:rPr>
              <w:t>1.9</w:t>
            </w:r>
          </w:p>
        </w:tc>
      </w:tr>
      <w:tr w:rsidR="00B5503F" w:rsidRPr="00B5503F" w14:paraId="48C4C39E" w14:textId="77777777" w:rsidTr="00B5503F">
        <w:trPr>
          <w:trHeight w:val="315"/>
        </w:trPr>
        <w:tc>
          <w:tcPr>
            <w:tcW w:w="36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D1914E" w14:textId="77777777" w:rsidR="00B5503F" w:rsidRPr="00B5503F" w:rsidRDefault="00B5503F" w:rsidP="00B5503F">
            <w:pPr>
              <w:spacing w:line="240" w:lineRule="auto"/>
              <w:rPr>
                <w:rFonts w:eastAsia="Times New Roman" w:cs="Calibri"/>
                <w:b/>
                <w:bCs/>
                <w:color w:val="000000"/>
                <w:sz w:val="24"/>
                <w:szCs w:val="24"/>
                <w:lang w:eastAsia="en-GB"/>
              </w:rPr>
            </w:pPr>
            <w:r w:rsidRPr="00B5503F">
              <w:rPr>
                <w:rFonts w:eastAsia="Times New Roman" w:cs="Calibri"/>
                <w:b/>
                <w:bCs/>
                <w:color w:val="000000"/>
                <w:sz w:val="24"/>
                <w:szCs w:val="24"/>
                <w:lang w:eastAsia="en-GB"/>
              </w:rPr>
              <w:t>TOTAL</w:t>
            </w:r>
          </w:p>
        </w:tc>
        <w:tc>
          <w:tcPr>
            <w:tcW w:w="1060" w:type="dxa"/>
            <w:tcBorders>
              <w:top w:val="single" w:sz="4" w:space="0" w:color="auto"/>
              <w:left w:val="nil"/>
              <w:bottom w:val="single" w:sz="4" w:space="0" w:color="auto"/>
              <w:right w:val="single" w:sz="4" w:space="0" w:color="auto"/>
            </w:tcBorders>
            <w:shd w:val="clear" w:color="000000" w:fill="DDEBF7"/>
            <w:noWrap/>
            <w:vAlign w:val="bottom"/>
            <w:hideMark/>
          </w:tcPr>
          <w:p w14:paraId="65C0409D" w14:textId="77777777" w:rsidR="00B5503F" w:rsidRPr="00B5503F" w:rsidRDefault="00B5503F" w:rsidP="00B5503F">
            <w:pPr>
              <w:spacing w:line="240" w:lineRule="auto"/>
              <w:jc w:val="right"/>
              <w:rPr>
                <w:rFonts w:eastAsia="Times New Roman" w:cs="Calibri"/>
                <w:b/>
                <w:bCs/>
                <w:color w:val="000000"/>
                <w:sz w:val="24"/>
                <w:szCs w:val="24"/>
                <w:lang w:eastAsia="en-GB"/>
              </w:rPr>
            </w:pPr>
            <w:r w:rsidRPr="00B5503F">
              <w:rPr>
                <w:rFonts w:eastAsia="Times New Roman" w:cs="Calibri"/>
                <w:b/>
                <w:bCs/>
                <w:color w:val="000000"/>
                <w:sz w:val="24"/>
                <w:szCs w:val="24"/>
                <w:lang w:eastAsia="en-GB"/>
              </w:rPr>
              <w:t>25.2</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14:paraId="1B7BBABA" w14:textId="77777777" w:rsidR="00B5503F" w:rsidRPr="00B5503F" w:rsidRDefault="00B5503F" w:rsidP="00B5503F">
            <w:pPr>
              <w:spacing w:line="240" w:lineRule="auto"/>
              <w:jc w:val="right"/>
              <w:rPr>
                <w:rFonts w:eastAsia="Times New Roman" w:cs="Calibri"/>
                <w:b/>
                <w:bCs/>
                <w:color w:val="000000"/>
                <w:sz w:val="24"/>
                <w:szCs w:val="24"/>
                <w:lang w:eastAsia="en-GB"/>
              </w:rPr>
            </w:pPr>
            <w:r w:rsidRPr="00B5503F">
              <w:rPr>
                <w:rFonts w:eastAsia="Times New Roman" w:cs="Calibri"/>
                <w:b/>
                <w:bCs/>
                <w:color w:val="000000"/>
                <w:sz w:val="24"/>
                <w:szCs w:val="24"/>
                <w:lang w:eastAsia="en-GB"/>
              </w:rPr>
              <w:t>12.8</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14:paraId="74B7366D" w14:textId="77777777" w:rsidR="00B5503F" w:rsidRPr="00B5503F" w:rsidRDefault="00B5503F" w:rsidP="00B5503F">
            <w:pPr>
              <w:spacing w:line="240" w:lineRule="auto"/>
              <w:jc w:val="right"/>
              <w:rPr>
                <w:rFonts w:eastAsia="Times New Roman" w:cs="Calibri"/>
                <w:b/>
                <w:bCs/>
                <w:color w:val="000000"/>
                <w:sz w:val="24"/>
                <w:szCs w:val="24"/>
                <w:lang w:eastAsia="en-GB"/>
              </w:rPr>
            </w:pPr>
            <w:r w:rsidRPr="00B5503F">
              <w:rPr>
                <w:rFonts w:eastAsia="Times New Roman" w:cs="Calibri"/>
                <w:b/>
                <w:bCs/>
                <w:color w:val="000000"/>
                <w:sz w:val="24"/>
                <w:szCs w:val="24"/>
                <w:lang w:eastAsia="en-GB"/>
              </w:rPr>
              <w:t>5.9</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14:paraId="33AFF107" w14:textId="13E048BA" w:rsidR="00B5503F" w:rsidRPr="00B5503F" w:rsidRDefault="00B5503F" w:rsidP="00B5503F">
            <w:pPr>
              <w:spacing w:line="240" w:lineRule="auto"/>
              <w:jc w:val="right"/>
              <w:rPr>
                <w:rFonts w:eastAsia="Times New Roman" w:cs="Calibri"/>
                <w:b/>
                <w:bCs/>
                <w:color w:val="000000"/>
                <w:sz w:val="24"/>
                <w:szCs w:val="24"/>
                <w:lang w:eastAsia="en-GB"/>
              </w:rPr>
            </w:pPr>
            <w:r w:rsidRPr="00B5503F">
              <w:rPr>
                <w:rFonts w:eastAsia="Times New Roman" w:cs="Calibri"/>
                <w:b/>
                <w:bCs/>
                <w:color w:val="000000"/>
                <w:sz w:val="24"/>
                <w:szCs w:val="24"/>
                <w:lang w:eastAsia="en-GB"/>
              </w:rPr>
              <w:t>17.</w:t>
            </w:r>
            <w:r w:rsidR="00714120">
              <w:rPr>
                <w:rFonts w:eastAsia="Times New Roman" w:cs="Calibri"/>
                <w:b/>
                <w:bCs/>
                <w:color w:val="000000"/>
                <w:sz w:val="24"/>
                <w:szCs w:val="24"/>
                <w:lang w:eastAsia="en-GB"/>
              </w:rPr>
              <w:t>1</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14:paraId="7FBE7613" w14:textId="77777777" w:rsidR="00B5503F" w:rsidRPr="00B5503F" w:rsidRDefault="00B5503F" w:rsidP="00B5503F">
            <w:pPr>
              <w:spacing w:line="240" w:lineRule="auto"/>
              <w:jc w:val="right"/>
              <w:rPr>
                <w:rFonts w:eastAsia="Times New Roman" w:cs="Calibri"/>
                <w:b/>
                <w:bCs/>
                <w:color w:val="000000"/>
                <w:sz w:val="24"/>
                <w:szCs w:val="24"/>
                <w:lang w:eastAsia="en-GB"/>
              </w:rPr>
            </w:pPr>
            <w:r w:rsidRPr="00B5503F">
              <w:rPr>
                <w:rFonts w:eastAsia="Times New Roman" w:cs="Calibri"/>
                <w:b/>
                <w:bCs/>
                <w:color w:val="000000"/>
                <w:sz w:val="24"/>
                <w:szCs w:val="24"/>
                <w:lang w:eastAsia="en-GB"/>
              </w:rPr>
              <w:t>19.7</w:t>
            </w:r>
          </w:p>
        </w:tc>
      </w:tr>
    </w:tbl>
    <w:p w14:paraId="418DAB49" w14:textId="403C9F6B" w:rsidR="00E26588" w:rsidRPr="00A81E04" w:rsidRDefault="00E26588" w:rsidP="006770A5">
      <w:pPr>
        <w:spacing w:line="240" w:lineRule="auto"/>
        <w:rPr>
          <w:rFonts w:ascii="Arial" w:hAnsi="Arial" w:cs="Arial"/>
          <w:highlight w:val="yellow"/>
        </w:rPr>
      </w:pPr>
    </w:p>
    <w:p w14:paraId="6A7566A7" w14:textId="4AB46774" w:rsidR="001D2F95" w:rsidRPr="00073E24" w:rsidRDefault="00196312" w:rsidP="001D2F95">
      <w:pPr>
        <w:pStyle w:val="PanelPara"/>
        <w:rPr>
          <w:rFonts w:cs="Arial"/>
        </w:rPr>
      </w:pPr>
      <w:bookmarkStart w:id="35" w:name="_Hlk156833016"/>
      <w:r w:rsidRPr="00073E24">
        <w:t>Th</w:t>
      </w:r>
      <w:r w:rsidR="00D7603A" w:rsidRPr="00073E24">
        <w:t xml:space="preserve">is includes provision for </w:t>
      </w:r>
      <w:r w:rsidRPr="00073E24">
        <w:t xml:space="preserve">the </w:t>
      </w:r>
      <w:r w:rsidR="007375CA" w:rsidRPr="00073E24">
        <w:t xml:space="preserve">latest </w:t>
      </w:r>
      <w:r w:rsidR="00D7603A" w:rsidRPr="00073E24">
        <w:t xml:space="preserve">agreed </w:t>
      </w:r>
      <w:r w:rsidR="007375CA" w:rsidRPr="00073E24">
        <w:t>estates</w:t>
      </w:r>
      <w:r w:rsidRPr="00073E24">
        <w:t xml:space="preserve"> masterplan</w:t>
      </w:r>
      <w:r w:rsidR="00D7603A" w:rsidRPr="00073E24">
        <w:t>, continu</w:t>
      </w:r>
      <w:r w:rsidR="00073E24" w:rsidRPr="00073E24">
        <w:t xml:space="preserve">ing </w:t>
      </w:r>
      <w:r w:rsidR="00D7603A" w:rsidRPr="00073E24">
        <w:t xml:space="preserve">ambitions for joint vehicle maintenance and specialist training premises with Fire along with ensuring </w:t>
      </w:r>
      <w:r w:rsidR="00073E24" w:rsidRPr="00073E24">
        <w:t>buildings are fit-for-purpose, safe and accessible in line with the missions set out in the Public Safety Plan.</w:t>
      </w:r>
    </w:p>
    <w:p w14:paraId="5F7A9ABC" w14:textId="25356051" w:rsidR="00196312" w:rsidRPr="00073E24" w:rsidRDefault="00196312" w:rsidP="001D2F95">
      <w:pPr>
        <w:pStyle w:val="PanelPara"/>
      </w:pPr>
      <w:bookmarkStart w:id="36" w:name="_Hlk187330118"/>
      <w:bookmarkEnd w:id="35"/>
      <w:r w:rsidRPr="00073E24">
        <w:t>Costs are often occurred ahead of any efficiencies or disposals, therefore, the PFCC will continue to push to ensure that any disposals included in the plans are made in a timely an</w:t>
      </w:r>
      <w:r w:rsidR="001D2F95" w:rsidRPr="00073E24">
        <w:t>d</w:t>
      </w:r>
      <w:r w:rsidRPr="00073E24">
        <w:t xml:space="preserve"> efficient manner to ensure the full benefits can be realised.</w:t>
      </w:r>
    </w:p>
    <w:p w14:paraId="0B33185E" w14:textId="3906C7D4" w:rsidR="00A12DDB" w:rsidRPr="0099146D" w:rsidRDefault="00196312" w:rsidP="00592CA9">
      <w:pPr>
        <w:pStyle w:val="PanelPara"/>
      </w:pPr>
      <w:bookmarkStart w:id="37" w:name="_Hlk156833226"/>
      <w:bookmarkEnd w:id="36"/>
      <w:r w:rsidRPr="00073E24">
        <w:t xml:space="preserve">The </w:t>
      </w:r>
      <w:r w:rsidR="00073E24">
        <w:t>PFCC</w:t>
      </w:r>
      <w:r w:rsidRPr="00073E24">
        <w:t xml:space="preserve"> is required to approve a </w:t>
      </w:r>
      <w:r w:rsidRPr="00073E24">
        <w:rPr>
          <w:i/>
          <w:iCs/>
        </w:rPr>
        <w:t>Treasury Management Strategy</w:t>
      </w:r>
      <w:r w:rsidRPr="00073E24">
        <w:t xml:space="preserve"> each year, setting out the policy and approach to managing investments, borrowing and cash</w:t>
      </w:r>
      <w:r w:rsidR="00073E24" w:rsidRPr="00073E24">
        <w:t xml:space="preserve">flow, and that </w:t>
      </w:r>
      <w:r w:rsidR="00073E24" w:rsidRPr="00073E24">
        <w:rPr>
          <w:rFonts w:cs="Arial"/>
        </w:rPr>
        <w:t>decisions are taken in accordance with good professional practice</w:t>
      </w:r>
      <w:r w:rsidR="001D2F95" w:rsidRPr="00073E24">
        <w:t>.</w:t>
      </w:r>
      <w:r w:rsidR="00073E24" w:rsidRPr="00073E24">
        <w:t xml:space="preserve">  </w:t>
      </w:r>
      <w:r w:rsidRPr="00073E24">
        <w:rPr>
          <w:rFonts w:cs="Arial"/>
        </w:rPr>
        <w:t xml:space="preserve">This </w:t>
      </w:r>
      <w:r w:rsidR="00073E24" w:rsidRPr="00073E24">
        <w:rPr>
          <w:rFonts w:cs="Arial"/>
        </w:rPr>
        <w:t xml:space="preserve">approach </w:t>
      </w:r>
      <w:r w:rsidRPr="00073E24">
        <w:rPr>
          <w:rFonts w:cs="Arial"/>
        </w:rPr>
        <w:t xml:space="preserve">is required by the </w:t>
      </w:r>
      <w:r w:rsidR="001D2F95" w:rsidRPr="00073E24">
        <w:rPr>
          <w:rFonts w:cs="Arial"/>
        </w:rPr>
        <w:t xml:space="preserve">Prudential Code and the </w:t>
      </w:r>
      <w:r w:rsidRPr="00073E24">
        <w:rPr>
          <w:rFonts w:cs="Arial"/>
        </w:rPr>
        <w:t>Code</w:t>
      </w:r>
      <w:r w:rsidR="001D2F95" w:rsidRPr="00073E24">
        <w:rPr>
          <w:rFonts w:cs="Arial"/>
        </w:rPr>
        <w:t xml:space="preserve"> </w:t>
      </w:r>
      <w:r w:rsidRPr="00073E24">
        <w:rPr>
          <w:rFonts w:cs="Arial"/>
        </w:rPr>
        <w:t>of Treasury Management published by the Chartered Institute of Public Finance and Accountancy (CIPFA)</w:t>
      </w:r>
      <w:r w:rsidR="00EE0BF8" w:rsidRPr="00073E24">
        <w:rPr>
          <w:rFonts w:cs="Arial"/>
        </w:rPr>
        <w:t xml:space="preserve">.  </w:t>
      </w:r>
      <w:r w:rsidR="00073E24" w:rsidRPr="00073E24">
        <w:rPr>
          <w:rFonts w:cs="Arial"/>
        </w:rPr>
        <w:t>It</w:t>
      </w:r>
      <w:r w:rsidR="00EE0BF8" w:rsidRPr="00073E24">
        <w:rPr>
          <w:rFonts w:cs="Arial"/>
        </w:rPr>
        <w:t xml:space="preserve"> </w:t>
      </w:r>
      <w:r w:rsidRPr="00073E24">
        <w:rPr>
          <w:rFonts w:cs="Arial"/>
        </w:rPr>
        <w:t>ensure</w:t>
      </w:r>
      <w:r w:rsidR="00EE0BF8" w:rsidRPr="00073E24">
        <w:rPr>
          <w:rFonts w:cs="Arial"/>
        </w:rPr>
        <w:t>s</w:t>
      </w:r>
      <w:r w:rsidR="00073E24" w:rsidRPr="00073E24">
        <w:rPr>
          <w:rFonts w:cs="Arial"/>
        </w:rPr>
        <w:t xml:space="preserve"> </w:t>
      </w:r>
      <w:r w:rsidRPr="00073E24">
        <w:rPr>
          <w:rFonts w:cs="Arial"/>
        </w:rPr>
        <w:t>that the capital investment plans of local authorities are affordable, prudent and sustainable</w:t>
      </w:r>
      <w:r w:rsidRPr="00592CA9">
        <w:rPr>
          <w:rFonts w:cs="Arial"/>
        </w:rPr>
        <w:t xml:space="preserve">.  </w:t>
      </w:r>
      <w:r w:rsidR="00EE0BF8" w:rsidRPr="00592CA9">
        <w:rPr>
          <w:rFonts w:cs="Arial"/>
        </w:rPr>
        <w:t>The Joint Independent Audit Committee (JIAC) will consider this document at their March meeting prior to</w:t>
      </w:r>
      <w:r w:rsidR="00073E24" w:rsidRPr="00592CA9">
        <w:rPr>
          <w:rFonts w:cs="Arial"/>
        </w:rPr>
        <w:t xml:space="preserve"> it</w:t>
      </w:r>
      <w:r w:rsidR="00EE0BF8" w:rsidRPr="00592CA9">
        <w:rPr>
          <w:rFonts w:cs="Arial"/>
        </w:rPr>
        <w:t xml:space="preserve"> being placed on the OPFCC website.</w:t>
      </w:r>
    </w:p>
    <w:p w14:paraId="78DE0D42" w14:textId="77777777" w:rsidR="0099146D" w:rsidRDefault="0099146D" w:rsidP="0099146D">
      <w:pPr>
        <w:pStyle w:val="PanelHeading"/>
      </w:pPr>
    </w:p>
    <w:p w14:paraId="372A7D89" w14:textId="00633467" w:rsidR="0099146D" w:rsidRPr="00EC2F0A" w:rsidRDefault="0099146D" w:rsidP="0099146D">
      <w:pPr>
        <w:pStyle w:val="PanelHeading"/>
      </w:pPr>
      <w:bookmarkStart w:id="38" w:name="_Hlk188524736"/>
      <w:r>
        <w:t>DEVELOPER CONTRIBUTIONS (S106)</w:t>
      </w:r>
    </w:p>
    <w:p w14:paraId="1A7A4063" w14:textId="5D7E1A82" w:rsidR="00EC2F0A" w:rsidRDefault="00EC2F0A" w:rsidP="00592CA9">
      <w:pPr>
        <w:pStyle w:val="PanelPara"/>
      </w:pPr>
      <w:r>
        <w:t>An experienced Infrastructure Planning Manager is employed jointly across police and fire as part of the Joint Estates Team</w:t>
      </w:r>
      <w:r w:rsidR="00967548">
        <w:t xml:space="preserve">.  Their role includes working with the unitary authorities to </w:t>
      </w:r>
      <w:r w:rsidR="00967548">
        <w:lastRenderedPageBreak/>
        <w:t xml:space="preserve">ensure </w:t>
      </w:r>
      <w:r w:rsidR="00EB1D9B">
        <w:t xml:space="preserve">where possible </w:t>
      </w:r>
      <w:r w:rsidR="00967548">
        <w:t xml:space="preserve">we obtain appropriate funds from developers under </w:t>
      </w:r>
      <w:r w:rsidR="00967548" w:rsidRPr="00967548">
        <w:t>Section 106 of the Town and Country Planning Act 1990</w:t>
      </w:r>
      <w:r w:rsidR="00967548">
        <w:t>.</w:t>
      </w:r>
    </w:p>
    <w:p w14:paraId="546CD789" w14:textId="4DF7C535" w:rsidR="00967548" w:rsidRDefault="00967548" w:rsidP="00592CA9">
      <w:pPr>
        <w:pStyle w:val="PanelPara"/>
      </w:pPr>
      <w:r>
        <w:t xml:space="preserve">As present, we are aware of </w:t>
      </w:r>
      <w:r w:rsidR="0099146D">
        <w:t xml:space="preserve">up to </w:t>
      </w:r>
      <w:r>
        <w:t>an estimated £0.6m for Police and £0.2m for Fire</w:t>
      </w:r>
      <w:r w:rsidR="0099146D">
        <w:t xml:space="preserve"> for various developments</w:t>
      </w:r>
      <w:r>
        <w:t xml:space="preserve">, but the timing of when these amounts can be drawn down will depend on </w:t>
      </w:r>
      <w:r w:rsidR="0099146D">
        <w:t>a number of</w:t>
      </w:r>
      <w:r>
        <w:t xml:space="preserve"> factors</w:t>
      </w:r>
      <w:r w:rsidR="0099146D">
        <w:t>, including milestone points in building progress.</w:t>
      </w:r>
    </w:p>
    <w:p w14:paraId="15453B60" w14:textId="355DC9EB" w:rsidR="0099146D" w:rsidRPr="00592CA9" w:rsidRDefault="0099146D" w:rsidP="00592CA9">
      <w:pPr>
        <w:pStyle w:val="PanelPara"/>
      </w:pPr>
      <w:r>
        <w:t>More work is ongoing to maximise these funds, and we await progress on legislative changes that would give police and fire more certainty around these contributions.</w:t>
      </w:r>
    </w:p>
    <w:p w14:paraId="39709C83" w14:textId="77777777" w:rsidR="000967F1" w:rsidRDefault="000967F1" w:rsidP="00EE0BF8">
      <w:pPr>
        <w:pStyle w:val="PanelHeading"/>
      </w:pPr>
      <w:bookmarkStart w:id="39" w:name="_Hlk187330140"/>
      <w:bookmarkEnd w:id="37"/>
      <w:bookmarkEnd w:id="38"/>
    </w:p>
    <w:p w14:paraId="3AECA471" w14:textId="2128E89D" w:rsidR="00641136" w:rsidRPr="00A12DDB" w:rsidRDefault="00FC4407" w:rsidP="00EE0BF8">
      <w:pPr>
        <w:pStyle w:val="PanelHeading"/>
      </w:pPr>
      <w:r w:rsidRPr="00A12DDB">
        <w:t xml:space="preserve">RESERVES </w:t>
      </w:r>
    </w:p>
    <w:p w14:paraId="4579CDE1" w14:textId="77777777" w:rsidR="00A12DDB" w:rsidRPr="00A12DDB" w:rsidRDefault="00F7094D" w:rsidP="00A12DDB">
      <w:pPr>
        <w:pStyle w:val="PanelPara"/>
      </w:pPr>
      <w:bookmarkStart w:id="40" w:name="_Hlk156833283"/>
      <w:bookmarkStart w:id="41" w:name="_Hlk187330176"/>
      <w:bookmarkEnd w:id="39"/>
      <w:r w:rsidRPr="00A12DDB">
        <w:t>I</w:t>
      </w:r>
      <w:r w:rsidR="00596D6D" w:rsidRPr="00A12DDB">
        <w:t>n considering the budget, the MTF</w:t>
      </w:r>
      <w:r w:rsidR="00F33F9E" w:rsidRPr="00A12DDB">
        <w:t>P</w:t>
      </w:r>
      <w:r w:rsidR="00596D6D" w:rsidRPr="00A12DDB">
        <w:t xml:space="preserve"> and level of precept options, it is important to look closely at the size, level and type of reserves held by the </w:t>
      </w:r>
      <w:r w:rsidR="005B590E" w:rsidRPr="00A12DDB">
        <w:t>PFCC</w:t>
      </w:r>
      <w:r w:rsidR="00596D6D" w:rsidRPr="00A12DDB">
        <w:t xml:space="preserve"> to ensure that they are adequate to cover the purposes for which they are held and to provide some safeguards against the future risks identified within the budget.</w:t>
      </w:r>
      <w:bookmarkEnd w:id="40"/>
      <w:r w:rsidR="00A12DDB" w:rsidRPr="00A12DDB">
        <w:t xml:space="preserve">  </w:t>
      </w:r>
      <w:r w:rsidRPr="00A12DDB">
        <w:t>T</w:t>
      </w:r>
      <w:r w:rsidR="00596D6D" w:rsidRPr="00A12DDB">
        <w:t>here is also a need to ensure they are not excessive</w:t>
      </w:r>
      <w:r w:rsidR="00F33F9E" w:rsidRPr="00A12DDB">
        <w:t>.</w:t>
      </w:r>
    </w:p>
    <w:p w14:paraId="1B3101C1" w14:textId="136EDFEF" w:rsidR="00EE0BF8" w:rsidRPr="00A12DDB" w:rsidRDefault="00A12DDB" w:rsidP="00A12DDB">
      <w:pPr>
        <w:pStyle w:val="PanelPara"/>
      </w:pPr>
      <w:bookmarkStart w:id="42" w:name="_Hlk187330247"/>
      <w:bookmarkEnd w:id="41"/>
      <w:r w:rsidRPr="00A12DDB">
        <w:t>T</w:t>
      </w:r>
      <w:r w:rsidR="005866E2" w:rsidRPr="00A12DDB">
        <w:t xml:space="preserve">he </w:t>
      </w:r>
      <w:r w:rsidR="002D4D15" w:rsidRPr="00A12DDB">
        <w:t xml:space="preserve">updated </w:t>
      </w:r>
      <w:r w:rsidR="000C269E" w:rsidRPr="00A12DDB">
        <w:t>R</w:t>
      </w:r>
      <w:r w:rsidR="005866E2" w:rsidRPr="00A12DDB">
        <w:t xml:space="preserve">eserves </w:t>
      </w:r>
      <w:r w:rsidR="000C269E" w:rsidRPr="00A12DDB">
        <w:t>S</w:t>
      </w:r>
      <w:r w:rsidR="005866E2" w:rsidRPr="00A12DDB">
        <w:t xml:space="preserve">trategy is attached at Appendix </w:t>
      </w:r>
      <w:r w:rsidR="00AE75DF" w:rsidRPr="00A12DDB">
        <w:t>D and</w:t>
      </w:r>
      <w:r w:rsidR="005866E2" w:rsidRPr="00A12DDB">
        <w:t xml:space="preserve"> will be published on the </w:t>
      </w:r>
      <w:r w:rsidR="005B590E" w:rsidRPr="00A12DDB">
        <w:t>PFCC</w:t>
      </w:r>
      <w:r w:rsidR="00BD7FFE" w:rsidRPr="00A12DDB">
        <w:t>’</w:t>
      </w:r>
      <w:r w:rsidR="005866E2" w:rsidRPr="00A12DDB">
        <w:t xml:space="preserve">s website </w:t>
      </w:r>
      <w:r w:rsidR="00F33F9E" w:rsidRPr="00A12DDB">
        <w:t xml:space="preserve">for </w:t>
      </w:r>
      <w:r w:rsidR="005866E2" w:rsidRPr="00A12DDB">
        <w:t>transparency.</w:t>
      </w:r>
    </w:p>
    <w:p w14:paraId="3EC21D37" w14:textId="48D1D433" w:rsidR="0044465B" w:rsidRPr="00A12DDB" w:rsidRDefault="00596D6D" w:rsidP="00EE0BF8">
      <w:pPr>
        <w:pStyle w:val="PanelPara"/>
      </w:pPr>
      <w:bookmarkStart w:id="43" w:name="_Hlk156833463"/>
      <w:bookmarkEnd w:id="42"/>
      <w:r w:rsidRPr="00A12DDB">
        <w:t xml:space="preserve">Two types of </w:t>
      </w:r>
      <w:r w:rsidR="00F57399" w:rsidRPr="00A12DDB">
        <w:t>r</w:t>
      </w:r>
      <w:r w:rsidRPr="00A12DDB">
        <w:t>eserve are held</w:t>
      </w:r>
      <w:r w:rsidR="000C269E" w:rsidRPr="00A12DDB">
        <w:t>, as follows</w:t>
      </w:r>
      <w:r w:rsidR="00F33F9E" w:rsidRPr="00A12DDB">
        <w:t>:</w:t>
      </w:r>
    </w:p>
    <w:p w14:paraId="3068AA2B" w14:textId="3DFF67A2" w:rsidR="00AC1EED" w:rsidRPr="00EA1F71" w:rsidRDefault="00596D6D" w:rsidP="00FC4407">
      <w:pPr>
        <w:pStyle w:val="PanelPara"/>
      </w:pPr>
      <w:bookmarkStart w:id="44" w:name="_Hlk187330289"/>
      <w:bookmarkEnd w:id="43"/>
      <w:r w:rsidRPr="00FC4407">
        <w:t>General Reserve</w:t>
      </w:r>
      <w:r w:rsidR="00FC4407">
        <w:t xml:space="preserve"> – </w:t>
      </w:r>
      <w:r w:rsidRPr="00EA1F71">
        <w:t xml:space="preserve">There is a </w:t>
      </w:r>
      <w:r w:rsidR="00F57399" w:rsidRPr="00EA1F71">
        <w:t>g</w:t>
      </w:r>
      <w:r w:rsidRPr="00EA1F71">
        <w:t xml:space="preserve">eneral </w:t>
      </w:r>
      <w:r w:rsidR="00F57399" w:rsidRPr="00EA1F71">
        <w:t>reserve</w:t>
      </w:r>
      <w:r w:rsidRPr="00EA1F71">
        <w:t xml:space="preserve"> </w:t>
      </w:r>
      <w:r w:rsidR="00176A2A" w:rsidRPr="00EA1F71">
        <w:t>which is estimated at 31</w:t>
      </w:r>
      <w:r w:rsidR="006400EB" w:rsidRPr="00FC4407">
        <w:rPr>
          <w:vertAlign w:val="superscript"/>
        </w:rPr>
        <w:t>st</w:t>
      </w:r>
      <w:r w:rsidR="006400EB" w:rsidRPr="00EA1F71">
        <w:t xml:space="preserve"> March </w:t>
      </w:r>
      <w:r w:rsidR="00A12DDB" w:rsidRPr="00EA1F71">
        <w:t>20</w:t>
      </w:r>
      <w:r w:rsidR="00176A2A" w:rsidRPr="00EA1F71">
        <w:t>2</w:t>
      </w:r>
      <w:r w:rsidR="00A12DDB" w:rsidRPr="00EA1F71">
        <w:t>5</w:t>
      </w:r>
      <w:r w:rsidR="00F7094D" w:rsidRPr="00EA1F71">
        <w:t xml:space="preserve"> at </w:t>
      </w:r>
      <w:r w:rsidR="00F7094D" w:rsidRPr="00FC4407">
        <w:rPr>
          <w:b/>
          <w:bCs/>
        </w:rPr>
        <w:t>£</w:t>
      </w:r>
      <w:r w:rsidR="00641136" w:rsidRPr="00FC4407">
        <w:rPr>
          <w:b/>
          <w:bCs/>
        </w:rPr>
        <w:t>5</w:t>
      </w:r>
      <w:r w:rsidR="00EE0BF8" w:rsidRPr="00FC4407">
        <w:rPr>
          <w:b/>
          <w:bCs/>
        </w:rPr>
        <w:t>.3</w:t>
      </w:r>
      <w:r w:rsidRPr="00FC4407">
        <w:rPr>
          <w:b/>
          <w:bCs/>
        </w:rPr>
        <w:t>m</w:t>
      </w:r>
      <w:r w:rsidRPr="00EA1F71">
        <w:t xml:space="preserve">.  This represents </w:t>
      </w:r>
      <w:r w:rsidR="002E221A" w:rsidRPr="00EA1F71">
        <w:t>around</w:t>
      </w:r>
      <w:r w:rsidR="00CF10DB" w:rsidRPr="00EA1F71">
        <w:t xml:space="preserve"> </w:t>
      </w:r>
      <w:r w:rsidR="00EA1F71" w:rsidRPr="00EA1F71">
        <w:t>2.6</w:t>
      </w:r>
      <w:r w:rsidR="00CF10DB" w:rsidRPr="00EA1F71">
        <w:t xml:space="preserve">% of total funding </w:t>
      </w:r>
      <w:r w:rsidR="00641136" w:rsidRPr="00EA1F71">
        <w:t xml:space="preserve">for </w:t>
      </w:r>
      <w:r w:rsidR="00220144" w:rsidRPr="00EA1F71">
        <w:t>202</w:t>
      </w:r>
      <w:r w:rsidR="00EA1F71" w:rsidRPr="00EA1F71">
        <w:t>5</w:t>
      </w:r>
      <w:r w:rsidR="00220144" w:rsidRPr="00EA1F71">
        <w:t>/2</w:t>
      </w:r>
      <w:r w:rsidR="00EA1F71" w:rsidRPr="00EA1F71">
        <w:t>6</w:t>
      </w:r>
      <w:r w:rsidR="00641136" w:rsidRPr="00EA1F71">
        <w:t xml:space="preserve"> and </w:t>
      </w:r>
      <w:r w:rsidR="00EA1F71" w:rsidRPr="00EA1F71">
        <w:t>aligns to</w:t>
      </w:r>
      <w:r w:rsidR="00641136" w:rsidRPr="00EA1F71">
        <w:t xml:space="preserve"> the </w:t>
      </w:r>
      <w:r w:rsidR="00CF10DB" w:rsidRPr="00EA1F71">
        <w:t>guideline level.</w:t>
      </w:r>
      <w:r w:rsidR="00F33F9E" w:rsidRPr="00EA1F71">
        <w:t xml:space="preserve"> </w:t>
      </w:r>
      <w:r w:rsidR="00EE0BF8" w:rsidRPr="00EA1F71">
        <w:t xml:space="preserve"> </w:t>
      </w:r>
      <w:r w:rsidR="00EA1F71" w:rsidRPr="00EA1F71">
        <w:t xml:space="preserve">The </w:t>
      </w:r>
      <w:r w:rsidR="00EA1F71">
        <w:t>r</w:t>
      </w:r>
      <w:r w:rsidR="00EA1F71" w:rsidRPr="00EA1F71">
        <w:t xml:space="preserve">eserves </w:t>
      </w:r>
      <w:r w:rsidR="00EA1F71">
        <w:t>s</w:t>
      </w:r>
      <w:r w:rsidR="00EA1F71" w:rsidRPr="00EA1F71">
        <w:t>trategy ensures that</w:t>
      </w:r>
      <w:r w:rsidR="001E3237" w:rsidRPr="00EA1F71">
        <w:t xml:space="preserve"> </w:t>
      </w:r>
      <w:r w:rsidR="00F33F9E" w:rsidRPr="00EA1F71">
        <w:t xml:space="preserve">the </w:t>
      </w:r>
      <w:r w:rsidR="00F57399" w:rsidRPr="00EA1F71">
        <w:t>g</w:t>
      </w:r>
      <w:r w:rsidR="001E3237" w:rsidRPr="00EA1F71">
        <w:t xml:space="preserve">eneral </w:t>
      </w:r>
      <w:r w:rsidR="00F57399" w:rsidRPr="00EA1F71">
        <w:t>reserve</w:t>
      </w:r>
      <w:r w:rsidR="001E3237" w:rsidRPr="00EA1F71">
        <w:t xml:space="preserve"> will remain within guideline </w:t>
      </w:r>
      <w:r w:rsidR="000C269E" w:rsidRPr="00EA1F71">
        <w:t xml:space="preserve">minimum </w:t>
      </w:r>
      <w:r w:rsidR="001E3237" w:rsidRPr="00EA1F71">
        <w:t xml:space="preserve">levels </w:t>
      </w:r>
      <w:r w:rsidR="00EE0BF8" w:rsidRPr="00EA1F71">
        <w:t>over the MTFP</w:t>
      </w:r>
      <w:r w:rsidR="00F33F9E" w:rsidRPr="00EA1F71">
        <w:t xml:space="preserve">. </w:t>
      </w:r>
      <w:r w:rsidR="00EE0BF8" w:rsidRPr="00EA1F71">
        <w:t xml:space="preserve"> </w:t>
      </w:r>
      <w:r w:rsidRPr="00EA1F71">
        <w:t xml:space="preserve">It is prudent to have such a reserve at this level to enable the organisation to withstand unexpected events which may have financial implications.  </w:t>
      </w:r>
    </w:p>
    <w:p w14:paraId="4DA9F753" w14:textId="4BE5055F" w:rsidR="00750003" w:rsidRPr="009B315F" w:rsidRDefault="00596D6D" w:rsidP="009B315F">
      <w:pPr>
        <w:pStyle w:val="PanelPara"/>
        <w:rPr>
          <w:b/>
        </w:rPr>
      </w:pPr>
      <w:bookmarkStart w:id="45" w:name="_Hlk187330456"/>
      <w:bookmarkEnd w:id="44"/>
      <w:r w:rsidRPr="00EA1F71">
        <w:t xml:space="preserve">Earmarked </w:t>
      </w:r>
      <w:r w:rsidRPr="00FC4407">
        <w:t>Reserves</w:t>
      </w:r>
      <w:r w:rsidR="00FC4407" w:rsidRPr="00FC4407">
        <w:t xml:space="preserve"> – </w:t>
      </w:r>
      <w:bookmarkEnd w:id="45"/>
      <w:r w:rsidR="00F93A0D" w:rsidRPr="00FC4407">
        <w:t>As</w:t>
      </w:r>
      <w:r w:rsidR="00FC4407" w:rsidRPr="00FC4407">
        <w:t xml:space="preserve"> </w:t>
      </w:r>
      <w:r w:rsidR="00F93A0D" w:rsidRPr="00FC4407">
        <w:t>at the</w:t>
      </w:r>
      <w:r w:rsidR="00F93A0D" w:rsidRPr="00EA1F71">
        <w:t xml:space="preserve"> 31</w:t>
      </w:r>
      <w:r w:rsidR="006400EB" w:rsidRPr="00FC4407">
        <w:rPr>
          <w:vertAlign w:val="superscript"/>
        </w:rPr>
        <w:t>st</w:t>
      </w:r>
      <w:r w:rsidR="006400EB" w:rsidRPr="00EA1F71">
        <w:t xml:space="preserve"> March </w:t>
      </w:r>
      <w:r w:rsidR="00F93A0D" w:rsidRPr="00EA1F71">
        <w:t>202</w:t>
      </w:r>
      <w:r w:rsidR="00EA1F71" w:rsidRPr="00EA1F71">
        <w:t>5</w:t>
      </w:r>
      <w:r w:rsidR="00F93A0D" w:rsidRPr="00EA1F71">
        <w:t xml:space="preserve"> </w:t>
      </w:r>
      <w:r w:rsidRPr="00EA1F71">
        <w:t xml:space="preserve">it </w:t>
      </w:r>
      <w:r w:rsidR="00F93A0D" w:rsidRPr="00EA1F71">
        <w:t>i</w:t>
      </w:r>
      <w:r w:rsidRPr="00EA1F71">
        <w:t>s estima</w:t>
      </w:r>
      <w:r w:rsidR="00984C55" w:rsidRPr="00EA1F71">
        <w:t xml:space="preserve">ted that the </w:t>
      </w:r>
      <w:r w:rsidR="005B590E" w:rsidRPr="00EA1F71">
        <w:t>PFCC</w:t>
      </w:r>
      <w:r w:rsidR="00984C55" w:rsidRPr="00EA1F71">
        <w:t xml:space="preserve"> will hold </w:t>
      </w:r>
      <w:r w:rsidR="00984C55" w:rsidRPr="00FC4407">
        <w:rPr>
          <w:b/>
          <w:bCs/>
        </w:rPr>
        <w:t>£</w:t>
      </w:r>
      <w:r w:rsidR="00EA1F71" w:rsidRPr="00FC4407">
        <w:rPr>
          <w:b/>
          <w:bCs/>
        </w:rPr>
        <w:t>21</w:t>
      </w:r>
      <w:r w:rsidR="00196312" w:rsidRPr="00FC4407">
        <w:rPr>
          <w:b/>
          <w:bCs/>
        </w:rPr>
        <w:t>.</w:t>
      </w:r>
      <w:r w:rsidR="00EA1F71" w:rsidRPr="00FC4407">
        <w:rPr>
          <w:b/>
          <w:bCs/>
        </w:rPr>
        <w:t>4</w:t>
      </w:r>
      <w:r w:rsidR="00F7094D" w:rsidRPr="00FC4407">
        <w:rPr>
          <w:b/>
          <w:bCs/>
        </w:rPr>
        <w:t>m</w:t>
      </w:r>
      <w:r w:rsidRPr="00EA1F71">
        <w:t xml:space="preserve"> in </w:t>
      </w:r>
      <w:r w:rsidR="00F57399" w:rsidRPr="00EA1F71">
        <w:t>e</w:t>
      </w:r>
      <w:r w:rsidRPr="00EA1F71">
        <w:t xml:space="preserve">armarked </w:t>
      </w:r>
      <w:r w:rsidR="00F57399" w:rsidRPr="00EA1F71">
        <w:t>r</w:t>
      </w:r>
      <w:r w:rsidRPr="00EA1F71">
        <w:t>eserves</w:t>
      </w:r>
      <w:r w:rsidR="00CF10DB" w:rsidRPr="00EA1F71">
        <w:t>. T</w:t>
      </w:r>
      <w:r w:rsidR="002307C3" w:rsidRPr="00EA1F71">
        <w:t xml:space="preserve">hese are </w:t>
      </w:r>
      <w:r w:rsidR="00CF10DB" w:rsidRPr="00EA1F71">
        <w:t xml:space="preserve">detailed </w:t>
      </w:r>
      <w:r w:rsidR="002307C3" w:rsidRPr="00EA1F71">
        <w:t>in the</w:t>
      </w:r>
      <w:r w:rsidR="00F57399" w:rsidRPr="00EA1F71">
        <w:t xml:space="preserve"> r</w:t>
      </w:r>
      <w:r w:rsidR="00196312" w:rsidRPr="00EA1F71">
        <w:t xml:space="preserve">eserves </w:t>
      </w:r>
      <w:r w:rsidR="00F57399" w:rsidRPr="00EA1F71">
        <w:t>s</w:t>
      </w:r>
      <w:r w:rsidR="002307C3" w:rsidRPr="00EA1F71">
        <w:t>trategy</w:t>
      </w:r>
      <w:r w:rsidR="00196312" w:rsidRPr="00EA1F71">
        <w:t xml:space="preserve"> included at Appendix D</w:t>
      </w:r>
      <w:r w:rsidR="00641136" w:rsidRPr="00EA1F71">
        <w:t>.</w:t>
      </w:r>
      <w:r w:rsidR="009B315F">
        <w:rPr>
          <w:b/>
        </w:rPr>
        <w:t xml:space="preserve">  </w:t>
      </w:r>
      <w:r w:rsidR="00EA1F71" w:rsidRPr="00EA1F71">
        <w:t>This includes over £3.0m ringfenced to fund initiatives that deliver against the Public Safety Plan.</w:t>
      </w:r>
    </w:p>
    <w:p w14:paraId="7C0DD08E" w14:textId="53809D1F" w:rsidR="00592CA9" w:rsidRDefault="00592CA9">
      <w:pPr>
        <w:spacing w:line="240" w:lineRule="auto"/>
        <w:rPr>
          <w:rFonts w:asciiTheme="minorHAnsi" w:hAnsiTheme="minorHAnsi" w:cstheme="minorHAnsi"/>
          <w:b/>
          <w:sz w:val="24"/>
          <w:szCs w:val="24"/>
        </w:rPr>
      </w:pPr>
    </w:p>
    <w:p w14:paraId="35F54946" w14:textId="2E5EAA2E" w:rsidR="00F7017D" w:rsidRPr="00EA1F71" w:rsidRDefault="009B315F" w:rsidP="009B0902">
      <w:pPr>
        <w:pStyle w:val="PanelHeading"/>
      </w:pPr>
      <w:r w:rsidRPr="00EA1F71">
        <w:t>ROBUSTNESS OF THE BUDGET – STATEMENT OF THE S151 CHIEF FINANCE OFFICER</w:t>
      </w:r>
    </w:p>
    <w:p w14:paraId="79DCA3F0" w14:textId="7F11EA3C" w:rsidR="009B0902" w:rsidRPr="00EA1F71" w:rsidRDefault="00F7017D" w:rsidP="009B0902">
      <w:pPr>
        <w:pStyle w:val="PanelPara"/>
      </w:pPr>
      <w:r w:rsidRPr="00EA1F71">
        <w:t xml:space="preserve">Section 25 of the Local Government Act 2003 places a duty on the </w:t>
      </w:r>
      <w:r w:rsidR="00EA1F71" w:rsidRPr="00EA1F71">
        <w:t>s</w:t>
      </w:r>
      <w:r w:rsidRPr="00EA1F71">
        <w:t>151</w:t>
      </w:r>
      <w:r w:rsidR="009B0902" w:rsidRPr="00EA1F71">
        <w:t xml:space="preserve"> Officer</w:t>
      </w:r>
      <w:r w:rsidRPr="00EA1F71">
        <w:t xml:space="preserve"> to make a report to the authority on:</w:t>
      </w:r>
    </w:p>
    <w:p w14:paraId="70E29D1C" w14:textId="40B22951" w:rsidR="009B0902" w:rsidRPr="00EA1F71" w:rsidRDefault="00F7017D" w:rsidP="00CC0A00">
      <w:pPr>
        <w:pStyle w:val="PanelPara"/>
        <w:numPr>
          <w:ilvl w:val="1"/>
          <w:numId w:val="6"/>
        </w:numPr>
      </w:pPr>
      <w:r w:rsidRPr="00EA1F71">
        <w:t>The robustness of the estimates included within the budget</w:t>
      </w:r>
      <w:r w:rsidR="009B0902" w:rsidRPr="00EA1F71">
        <w:t>.</w:t>
      </w:r>
    </w:p>
    <w:p w14:paraId="05A5C5A1" w14:textId="05496220" w:rsidR="00F7017D" w:rsidRPr="004B5297" w:rsidRDefault="00F7017D" w:rsidP="00CC0A00">
      <w:pPr>
        <w:pStyle w:val="PanelPara"/>
        <w:numPr>
          <w:ilvl w:val="1"/>
          <w:numId w:val="6"/>
        </w:numPr>
      </w:pPr>
      <w:r w:rsidRPr="004B5297">
        <w:t>The adequacy of the reserves and balances</w:t>
      </w:r>
      <w:r w:rsidR="009B0902" w:rsidRPr="004B5297">
        <w:t>.</w:t>
      </w:r>
    </w:p>
    <w:p w14:paraId="399FFEDF" w14:textId="28296830" w:rsidR="00F7017D" w:rsidRPr="004B5297" w:rsidRDefault="00F7017D" w:rsidP="009B0902">
      <w:pPr>
        <w:pStyle w:val="PanelPara"/>
      </w:pPr>
      <w:r w:rsidRPr="004B5297">
        <w:t>The PFCC must have regard to this when considering the budget and the report must be shared with the Police, Fire and Crime Panel.</w:t>
      </w:r>
    </w:p>
    <w:p w14:paraId="331E23E0" w14:textId="5DBBA745" w:rsidR="00BE6E4F" w:rsidRPr="004B5297" w:rsidRDefault="00F7017D" w:rsidP="00BE6E4F">
      <w:pPr>
        <w:pStyle w:val="PanelPara"/>
      </w:pPr>
      <w:r w:rsidRPr="004B5297">
        <w:t xml:space="preserve">In </w:t>
      </w:r>
      <w:r w:rsidR="009B0902" w:rsidRPr="004B5297">
        <w:t>their</w:t>
      </w:r>
      <w:r w:rsidRPr="004B5297">
        <w:t xml:space="preserve"> considerations, the </w:t>
      </w:r>
      <w:r w:rsidR="004B5297" w:rsidRPr="004B5297">
        <w:t>s</w:t>
      </w:r>
      <w:r w:rsidRPr="004B5297">
        <w:t>151 Officer is mindful of other associated statutory safeguards designed to support the authority:</w:t>
      </w:r>
    </w:p>
    <w:p w14:paraId="6801B3E8" w14:textId="77777777" w:rsidR="00BE6E4F" w:rsidRPr="004B5297" w:rsidRDefault="00F7017D" w:rsidP="00CC0A00">
      <w:pPr>
        <w:pStyle w:val="PanelPara"/>
        <w:numPr>
          <w:ilvl w:val="1"/>
          <w:numId w:val="6"/>
        </w:numPr>
      </w:pPr>
      <w:r w:rsidRPr="004B5297">
        <w:lastRenderedPageBreak/>
        <w:t xml:space="preserve">Section 151 of the Local Government Act 1972 which requires the authority to make arrangements for the proper administration of its financial affairs and that the </w:t>
      </w:r>
      <w:r w:rsidR="00DF18AF" w:rsidRPr="004B5297">
        <w:t xml:space="preserve">Chief Financial Officer </w:t>
      </w:r>
      <w:r w:rsidRPr="004B5297">
        <w:t>has personal responsibility for such administration.</w:t>
      </w:r>
    </w:p>
    <w:p w14:paraId="1CDAEE45" w14:textId="15F39BBE" w:rsidR="00BE6E4F" w:rsidRPr="004B5297" w:rsidRDefault="00F7017D" w:rsidP="00CC0A00">
      <w:pPr>
        <w:pStyle w:val="PanelPara"/>
        <w:numPr>
          <w:ilvl w:val="1"/>
          <w:numId w:val="6"/>
        </w:numPr>
      </w:pPr>
      <w:r w:rsidRPr="004B5297">
        <w:t>Sections 32, 43 &amp; 93 of the Local Government Finance Act 1992 which requires the authority to set a balanced budget</w:t>
      </w:r>
      <w:r w:rsidR="00BE6E4F" w:rsidRPr="004B5297">
        <w:t>.</w:t>
      </w:r>
    </w:p>
    <w:p w14:paraId="3351D2FC" w14:textId="77777777" w:rsidR="00BE6E4F" w:rsidRPr="004B5297" w:rsidRDefault="00F7017D" w:rsidP="00CC0A00">
      <w:pPr>
        <w:pStyle w:val="PanelPara"/>
        <w:numPr>
          <w:ilvl w:val="1"/>
          <w:numId w:val="6"/>
        </w:numPr>
      </w:pPr>
      <w:r w:rsidRPr="004B5297">
        <w:t>The Prudential Code introduced as part of the Local Government Act 2003 which sets out the framework within which the authority must manage its investments, including adequate planning and budget estimates</w:t>
      </w:r>
      <w:r w:rsidR="00BE6E4F" w:rsidRPr="004B5297">
        <w:t>.</w:t>
      </w:r>
    </w:p>
    <w:p w14:paraId="35968E8B" w14:textId="227F20E0" w:rsidR="00F7017D" w:rsidRPr="004B5297" w:rsidRDefault="00F7017D" w:rsidP="00CC0A00">
      <w:pPr>
        <w:pStyle w:val="PanelPara"/>
        <w:numPr>
          <w:ilvl w:val="1"/>
          <w:numId w:val="6"/>
        </w:numPr>
      </w:pPr>
      <w:r w:rsidRPr="004B5297">
        <w:t>The external auditor’s duty to assess the adequacy of the authority’s proper arrangements to secure economy, efficiency and effectiveness (value for money)</w:t>
      </w:r>
    </w:p>
    <w:p w14:paraId="2F7DB15B" w14:textId="299E46B5" w:rsidR="00F7017D" w:rsidRPr="004B5297" w:rsidRDefault="00F7017D" w:rsidP="00BE6E4F">
      <w:pPr>
        <w:pStyle w:val="PanelPara"/>
      </w:pPr>
      <w:r w:rsidRPr="004B5297">
        <w:t xml:space="preserve">To reinforce these obligations, </w:t>
      </w:r>
      <w:r w:rsidR="000D0F95" w:rsidRPr="004B5297">
        <w:t>S</w:t>
      </w:r>
      <w:r w:rsidRPr="004B5297">
        <w:t xml:space="preserve">ection 114 of the Local Government Finance Act 1988 requires the </w:t>
      </w:r>
      <w:r w:rsidR="004B5297" w:rsidRPr="004B5297">
        <w:t>s</w:t>
      </w:r>
      <w:r w:rsidRPr="004B5297">
        <w:t>151 Officer to report in consultation with the Monitoring Officer if there is or is likely to be unlawful expenditure or an unbalanced budget.</w:t>
      </w:r>
    </w:p>
    <w:p w14:paraId="06A76D53" w14:textId="2A1CBFAD" w:rsidR="00F7017D" w:rsidRPr="004B5297" w:rsidRDefault="00F7017D" w:rsidP="00BE6E4F">
      <w:pPr>
        <w:pStyle w:val="PanelPara"/>
      </w:pPr>
      <w:r w:rsidRPr="004B5297">
        <w:t xml:space="preserve">This report has set out the </w:t>
      </w:r>
      <w:r w:rsidR="00BE6E4F" w:rsidRPr="004B5297">
        <w:t xml:space="preserve">robust </w:t>
      </w:r>
      <w:r w:rsidRPr="004B5297">
        <w:t>budget setting process that has taken place and the work undertaken to ensure the budget is as realistic, deliverable and achievable as possible.</w:t>
      </w:r>
    </w:p>
    <w:p w14:paraId="57C20E83" w14:textId="75AD13FA" w:rsidR="00F7017D" w:rsidRPr="004B5297" w:rsidRDefault="00F7017D" w:rsidP="00BE6E4F">
      <w:pPr>
        <w:pStyle w:val="PanelPara"/>
      </w:pPr>
      <w:r w:rsidRPr="004B5297">
        <w:t xml:space="preserve">The Chief Constable’s Section 151 Officer has worked closely with the Chief Constable’s Executive team, budget holders and the finance team to deliver the draft budget and savings plan, ensuring that effective scrutiny and challenge has taken place throughout. </w:t>
      </w:r>
      <w:r w:rsidR="00BE6E4F" w:rsidRPr="004B5297">
        <w:t xml:space="preserve"> </w:t>
      </w:r>
      <w:r w:rsidR="00117B24" w:rsidRPr="004B5297">
        <w:t>The</w:t>
      </w:r>
      <w:r w:rsidR="00BE6E4F" w:rsidRPr="004B5297">
        <w:t xml:space="preserve"> </w:t>
      </w:r>
      <w:r w:rsidR="004B5297" w:rsidRPr="004B5297">
        <w:t>s</w:t>
      </w:r>
      <w:r w:rsidR="00BE6E4F" w:rsidRPr="004B5297">
        <w:t xml:space="preserve">151 Officers have </w:t>
      </w:r>
      <w:r w:rsidR="004B5297" w:rsidRPr="004B5297">
        <w:t xml:space="preserve">also </w:t>
      </w:r>
      <w:r w:rsidR="00BE6E4F" w:rsidRPr="004B5297">
        <w:t>worked closely</w:t>
      </w:r>
      <w:r w:rsidRPr="004B5297">
        <w:t xml:space="preserve"> </w:t>
      </w:r>
      <w:r w:rsidR="004B5297" w:rsidRPr="004B5297">
        <w:t xml:space="preserve">together </w:t>
      </w:r>
      <w:r w:rsidRPr="004B5297">
        <w:t>throughout</w:t>
      </w:r>
      <w:r w:rsidR="00BE6E4F" w:rsidRPr="004B5297">
        <w:t xml:space="preserve"> the process</w:t>
      </w:r>
      <w:r w:rsidRPr="004B5297">
        <w:t xml:space="preserve">. </w:t>
      </w:r>
      <w:r w:rsidR="00BE6E4F" w:rsidRPr="004B5297">
        <w:t xml:space="preserve"> </w:t>
      </w:r>
      <w:r w:rsidRPr="004B5297">
        <w:t>The PFCC has undertaken scrutiny and strategic review of the proposals on two occasions and has been updated regularly throughout the budget cycle as appropriate.</w:t>
      </w:r>
    </w:p>
    <w:p w14:paraId="65D09B47" w14:textId="35ACB9E1" w:rsidR="00F7017D" w:rsidRPr="004B5297" w:rsidRDefault="00F7017D" w:rsidP="00BE6E4F">
      <w:pPr>
        <w:pStyle w:val="PanelPara"/>
      </w:pPr>
      <w:r w:rsidRPr="004B5297">
        <w:t>The estimates and assumptions are based on the best information available at the time of formulating the budget in line with the fundamental accounting concepts and are reasonable and prudent.</w:t>
      </w:r>
    </w:p>
    <w:p w14:paraId="6BCF68EC" w14:textId="509F1908" w:rsidR="00F7017D" w:rsidRPr="004B5297" w:rsidRDefault="00F7017D" w:rsidP="00BE6E4F">
      <w:pPr>
        <w:pStyle w:val="PanelPara"/>
      </w:pPr>
      <w:r w:rsidRPr="004B5297">
        <w:t xml:space="preserve">The Section 25 Statement of the </w:t>
      </w:r>
      <w:r w:rsidR="004B5297" w:rsidRPr="004B5297">
        <w:t>s</w:t>
      </w:r>
      <w:r w:rsidRPr="004B5297">
        <w:t>151 Chief Finance Officer for Northamptonshire Police, Fire and Crime Commissioner is included at Appendix C.</w:t>
      </w:r>
    </w:p>
    <w:p w14:paraId="47EA893A" w14:textId="77777777" w:rsidR="00A9701F" w:rsidRPr="00A81E04" w:rsidRDefault="00A9701F" w:rsidP="0057151C">
      <w:pPr>
        <w:pStyle w:val="Header"/>
        <w:ind w:right="-990"/>
        <w:rPr>
          <w:rFonts w:asciiTheme="minorHAnsi" w:hAnsiTheme="minorHAnsi" w:cstheme="minorHAnsi"/>
          <w:b/>
          <w:sz w:val="24"/>
          <w:szCs w:val="24"/>
          <w:highlight w:val="yellow"/>
          <w:u w:val="single"/>
        </w:rPr>
      </w:pPr>
      <w:bookmarkStart w:id="46" w:name="_Hlk156834115"/>
    </w:p>
    <w:p w14:paraId="55616F73" w14:textId="7F7A485C" w:rsidR="005D2DA4" w:rsidRPr="009B315F" w:rsidRDefault="009B315F" w:rsidP="0057151C">
      <w:pPr>
        <w:pStyle w:val="Header"/>
        <w:ind w:right="-990"/>
        <w:rPr>
          <w:rFonts w:asciiTheme="minorHAnsi" w:hAnsiTheme="minorHAnsi" w:cstheme="minorHAnsi"/>
          <w:b/>
          <w:sz w:val="24"/>
          <w:szCs w:val="24"/>
        </w:rPr>
      </w:pPr>
      <w:r w:rsidRPr="009B315F">
        <w:rPr>
          <w:rFonts w:asciiTheme="minorHAnsi" w:hAnsiTheme="minorHAnsi" w:cstheme="minorHAnsi"/>
          <w:b/>
          <w:sz w:val="24"/>
          <w:szCs w:val="24"/>
        </w:rPr>
        <w:t>LIST OF APPENDICES</w:t>
      </w:r>
    </w:p>
    <w:p w14:paraId="15FD6925" w14:textId="77777777" w:rsidR="00E46427" w:rsidRPr="00C42C32" w:rsidRDefault="00E46427" w:rsidP="0057151C">
      <w:pPr>
        <w:pStyle w:val="Header"/>
        <w:ind w:right="-990"/>
        <w:rPr>
          <w:rFonts w:asciiTheme="minorHAnsi" w:hAnsiTheme="minorHAnsi" w:cstheme="minorHAnsi"/>
          <w:sz w:val="24"/>
          <w:szCs w:val="24"/>
        </w:rPr>
      </w:pPr>
    </w:p>
    <w:p w14:paraId="6C9A2386" w14:textId="531DD0E1" w:rsidR="00967E05" w:rsidRPr="00C42C32" w:rsidRDefault="005D2DA4" w:rsidP="0057151C">
      <w:pPr>
        <w:pStyle w:val="Header"/>
        <w:ind w:right="-990"/>
        <w:rPr>
          <w:rFonts w:asciiTheme="minorHAnsi" w:hAnsiTheme="minorHAnsi" w:cstheme="minorHAnsi"/>
          <w:sz w:val="24"/>
          <w:szCs w:val="24"/>
        </w:rPr>
      </w:pPr>
      <w:r w:rsidRPr="00C42C32">
        <w:rPr>
          <w:rFonts w:asciiTheme="minorHAnsi" w:hAnsiTheme="minorHAnsi" w:cstheme="minorHAnsi"/>
          <w:sz w:val="24"/>
          <w:szCs w:val="24"/>
        </w:rPr>
        <w:t xml:space="preserve">Appendix </w:t>
      </w:r>
      <w:r w:rsidR="00967E05" w:rsidRPr="00C42C32">
        <w:rPr>
          <w:rFonts w:asciiTheme="minorHAnsi" w:hAnsiTheme="minorHAnsi" w:cstheme="minorHAnsi"/>
          <w:sz w:val="24"/>
          <w:szCs w:val="24"/>
        </w:rPr>
        <w:t>A</w:t>
      </w:r>
      <w:r w:rsidRPr="00C42C32">
        <w:rPr>
          <w:rFonts w:asciiTheme="minorHAnsi" w:hAnsiTheme="minorHAnsi" w:cstheme="minorHAnsi"/>
          <w:sz w:val="24"/>
          <w:szCs w:val="24"/>
        </w:rPr>
        <w:t xml:space="preserve"> </w:t>
      </w:r>
      <w:r w:rsidR="0044465B" w:rsidRPr="00C42C32">
        <w:rPr>
          <w:rFonts w:asciiTheme="minorHAnsi" w:hAnsiTheme="minorHAnsi" w:cstheme="minorHAnsi"/>
          <w:sz w:val="24"/>
          <w:szCs w:val="24"/>
        </w:rPr>
        <w:t xml:space="preserve">- </w:t>
      </w:r>
      <w:r w:rsidR="00967E05" w:rsidRPr="00C42C32">
        <w:rPr>
          <w:rFonts w:asciiTheme="minorHAnsi" w:hAnsiTheme="minorHAnsi" w:cstheme="minorHAnsi"/>
          <w:sz w:val="24"/>
          <w:szCs w:val="24"/>
        </w:rPr>
        <w:t>Consultation on the Precept</w:t>
      </w:r>
    </w:p>
    <w:p w14:paraId="35B7662A" w14:textId="5CEA55A3" w:rsidR="005D2DA4" w:rsidRPr="00C42C32" w:rsidRDefault="00967E05" w:rsidP="0057151C">
      <w:pPr>
        <w:pStyle w:val="Header"/>
        <w:ind w:right="-990"/>
        <w:rPr>
          <w:rFonts w:asciiTheme="minorHAnsi" w:hAnsiTheme="minorHAnsi" w:cstheme="minorHAnsi"/>
          <w:sz w:val="24"/>
          <w:szCs w:val="24"/>
        </w:rPr>
      </w:pPr>
      <w:r w:rsidRPr="00C42C32">
        <w:rPr>
          <w:rFonts w:asciiTheme="minorHAnsi" w:hAnsiTheme="minorHAnsi" w:cstheme="minorHAnsi"/>
          <w:sz w:val="24"/>
          <w:szCs w:val="24"/>
        </w:rPr>
        <w:t xml:space="preserve">Appendix B </w:t>
      </w:r>
      <w:r w:rsidR="0044465B" w:rsidRPr="00C42C32">
        <w:rPr>
          <w:rFonts w:asciiTheme="minorHAnsi" w:hAnsiTheme="minorHAnsi" w:cstheme="minorHAnsi"/>
          <w:sz w:val="24"/>
          <w:szCs w:val="24"/>
        </w:rPr>
        <w:t xml:space="preserve">- </w:t>
      </w:r>
      <w:r w:rsidR="00CF10DB" w:rsidRPr="00C42C32">
        <w:rPr>
          <w:rFonts w:asciiTheme="minorHAnsi" w:hAnsiTheme="minorHAnsi" w:cstheme="minorHAnsi"/>
          <w:sz w:val="24"/>
          <w:szCs w:val="24"/>
        </w:rPr>
        <w:t>Medium Term Financial Plan</w:t>
      </w:r>
    </w:p>
    <w:p w14:paraId="27B667BC" w14:textId="64428052" w:rsidR="00967E05" w:rsidRPr="00C42C32" w:rsidRDefault="00757703" w:rsidP="0057151C">
      <w:pPr>
        <w:pStyle w:val="Header"/>
        <w:ind w:right="-990"/>
        <w:rPr>
          <w:rFonts w:asciiTheme="minorHAnsi" w:hAnsiTheme="minorHAnsi" w:cstheme="minorHAnsi"/>
          <w:sz w:val="24"/>
          <w:szCs w:val="24"/>
        </w:rPr>
      </w:pPr>
      <w:r w:rsidRPr="00C42C32">
        <w:rPr>
          <w:rFonts w:asciiTheme="minorHAnsi" w:hAnsiTheme="minorHAnsi" w:cstheme="minorHAnsi"/>
          <w:sz w:val="24"/>
          <w:szCs w:val="24"/>
        </w:rPr>
        <w:t xml:space="preserve">Appendix </w:t>
      </w:r>
      <w:r w:rsidR="00967E05" w:rsidRPr="00C42C32">
        <w:rPr>
          <w:rFonts w:asciiTheme="minorHAnsi" w:hAnsiTheme="minorHAnsi" w:cstheme="minorHAnsi"/>
          <w:sz w:val="24"/>
          <w:szCs w:val="24"/>
        </w:rPr>
        <w:t>C</w:t>
      </w:r>
      <w:r w:rsidRPr="00C42C32">
        <w:rPr>
          <w:rFonts w:asciiTheme="minorHAnsi" w:hAnsiTheme="minorHAnsi" w:cstheme="minorHAnsi"/>
          <w:sz w:val="24"/>
          <w:szCs w:val="24"/>
        </w:rPr>
        <w:t xml:space="preserve"> </w:t>
      </w:r>
      <w:r w:rsidR="0044465B" w:rsidRPr="00C42C32">
        <w:rPr>
          <w:rFonts w:asciiTheme="minorHAnsi" w:hAnsiTheme="minorHAnsi" w:cstheme="minorHAnsi"/>
          <w:sz w:val="24"/>
          <w:szCs w:val="24"/>
        </w:rPr>
        <w:t xml:space="preserve">- </w:t>
      </w:r>
      <w:r w:rsidR="00967E05" w:rsidRPr="00C42C32">
        <w:rPr>
          <w:rFonts w:asciiTheme="minorHAnsi" w:hAnsiTheme="minorHAnsi" w:cstheme="minorHAnsi"/>
          <w:sz w:val="24"/>
          <w:szCs w:val="24"/>
        </w:rPr>
        <w:t>Section 25 Report of the Section 151 Chief Finance Officer</w:t>
      </w:r>
    </w:p>
    <w:p w14:paraId="57D73C29" w14:textId="7FB922F3" w:rsidR="005866E2" w:rsidRPr="00C42C32" w:rsidRDefault="00967E05" w:rsidP="0057151C">
      <w:pPr>
        <w:pStyle w:val="Header"/>
        <w:ind w:right="-990"/>
        <w:rPr>
          <w:rFonts w:asciiTheme="minorHAnsi" w:hAnsiTheme="minorHAnsi" w:cstheme="minorHAnsi"/>
          <w:sz w:val="24"/>
          <w:szCs w:val="24"/>
        </w:rPr>
      </w:pPr>
      <w:r w:rsidRPr="00C42C32">
        <w:rPr>
          <w:rFonts w:asciiTheme="minorHAnsi" w:hAnsiTheme="minorHAnsi" w:cstheme="minorHAnsi"/>
          <w:sz w:val="24"/>
          <w:szCs w:val="24"/>
        </w:rPr>
        <w:t xml:space="preserve">Appendix D </w:t>
      </w:r>
      <w:r w:rsidR="0044465B" w:rsidRPr="00C42C32">
        <w:rPr>
          <w:rFonts w:asciiTheme="minorHAnsi" w:hAnsiTheme="minorHAnsi" w:cstheme="minorHAnsi"/>
          <w:sz w:val="24"/>
          <w:szCs w:val="24"/>
        </w:rPr>
        <w:t xml:space="preserve">- </w:t>
      </w:r>
      <w:r w:rsidR="005866E2" w:rsidRPr="00C42C32">
        <w:rPr>
          <w:rFonts w:asciiTheme="minorHAnsi" w:hAnsiTheme="minorHAnsi" w:cstheme="minorHAnsi"/>
          <w:sz w:val="24"/>
          <w:szCs w:val="24"/>
        </w:rPr>
        <w:t>Reserves Strategy</w:t>
      </w:r>
    </w:p>
    <w:bookmarkEnd w:id="46"/>
    <w:p w14:paraId="563FA07F" w14:textId="77777777" w:rsidR="00F306A9" w:rsidRPr="00C42C32" w:rsidRDefault="00F306A9" w:rsidP="0057151C">
      <w:pPr>
        <w:pStyle w:val="Header"/>
        <w:ind w:right="-990"/>
        <w:rPr>
          <w:rFonts w:asciiTheme="minorHAnsi" w:hAnsiTheme="minorHAnsi" w:cstheme="minorHAnsi"/>
          <w:sz w:val="24"/>
          <w:szCs w:val="24"/>
        </w:rPr>
      </w:pPr>
    </w:p>
    <w:p w14:paraId="06A7F44B" w14:textId="6B814D60" w:rsidR="00F7094D" w:rsidRPr="009B315F" w:rsidRDefault="009B315F" w:rsidP="00F7094D">
      <w:pPr>
        <w:pStyle w:val="Header"/>
        <w:ind w:right="-990"/>
        <w:rPr>
          <w:rFonts w:asciiTheme="minorHAnsi" w:hAnsiTheme="minorHAnsi" w:cstheme="minorHAnsi"/>
          <w:sz w:val="24"/>
          <w:szCs w:val="24"/>
        </w:rPr>
      </w:pPr>
      <w:bookmarkStart w:id="47" w:name="_Hlk156834158"/>
      <w:r w:rsidRPr="009B315F">
        <w:rPr>
          <w:rFonts w:asciiTheme="minorHAnsi" w:hAnsiTheme="minorHAnsi" w:cstheme="minorHAnsi"/>
          <w:b/>
          <w:sz w:val="24"/>
          <w:szCs w:val="24"/>
        </w:rPr>
        <w:t>PERSON TO CONTACT</w:t>
      </w:r>
    </w:p>
    <w:p w14:paraId="551A3E20" w14:textId="77777777" w:rsidR="009B315F" w:rsidRDefault="009B315F" w:rsidP="00D04A86">
      <w:pPr>
        <w:pStyle w:val="Header"/>
        <w:ind w:right="-990"/>
        <w:rPr>
          <w:rFonts w:asciiTheme="minorHAnsi" w:hAnsiTheme="minorHAnsi" w:cstheme="minorHAnsi"/>
          <w:sz w:val="24"/>
          <w:szCs w:val="24"/>
        </w:rPr>
      </w:pPr>
    </w:p>
    <w:p w14:paraId="60649D9D" w14:textId="312AE183" w:rsidR="00D04A86" w:rsidRPr="00C42C32" w:rsidRDefault="00BE6E4F" w:rsidP="00D04A86">
      <w:pPr>
        <w:pStyle w:val="Header"/>
        <w:ind w:right="-990"/>
        <w:rPr>
          <w:rFonts w:asciiTheme="minorHAnsi" w:hAnsiTheme="minorHAnsi" w:cstheme="minorHAnsi"/>
          <w:sz w:val="24"/>
          <w:szCs w:val="24"/>
        </w:rPr>
      </w:pPr>
      <w:r w:rsidRPr="00C42C32">
        <w:rPr>
          <w:rFonts w:asciiTheme="minorHAnsi" w:hAnsiTheme="minorHAnsi" w:cstheme="minorHAnsi"/>
          <w:sz w:val="24"/>
          <w:szCs w:val="24"/>
        </w:rPr>
        <w:t>Mr V Ashcroft</w:t>
      </w:r>
      <w:r w:rsidR="005D2DA4" w:rsidRPr="00C42C32">
        <w:rPr>
          <w:rFonts w:asciiTheme="minorHAnsi" w:hAnsiTheme="minorHAnsi" w:cstheme="minorHAnsi"/>
          <w:sz w:val="24"/>
          <w:szCs w:val="24"/>
        </w:rPr>
        <w:t xml:space="preserve">, Chief Finance Officer, </w:t>
      </w:r>
    </w:p>
    <w:p w14:paraId="17EDAA89" w14:textId="3B6F59B9" w:rsidR="0014672E" w:rsidRPr="00D84BC4" w:rsidRDefault="005D2DA4" w:rsidP="0014672E">
      <w:pPr>
        <w:pStyle w:val="Header"/>
        <w:ind w:right="-990"/>
        <w:jc w:val="both"/>
        <w:rPr>
          <w:rFonts w:asciiTheme="minorHAnsi" w:hAnsiTheme="minorHAnsi" w:cstheme="minorHAnsi"/>
          <w:b/>
          <w:bCs/>
          <w:sz w:val="24"/>
          <w:szCs w:val="24"/>
        </w:rPr>
      </w:pPr>
      <w:r w:rsidRPr="00CA56D7">
        <w:rPr>
          <w:b/>
          <w:bCs/>
          <w:sz w:val="24"/>
          <w:szCs w:val="24"/>
        </w:rPr>
        <w:t>Office o</w:t>
      </w:r>
      <w:r w:rsidR="00CF10DB" w:rsidRPr="00CA56D7">
        <w:rPr>
          <w:b/>
          <w:bCs/>
          <w:sz w:val="24"/>
          <w:szCs w:val="24"/>
        </w:rPr>
        <w:t>f the Police, Fire and Crime Commissioner</w:t>
      </w:r>
      <w:r w:rsidR="007F363C" w:rsidRPr="00CA56D7">
        <w:rPr>
          <w:rFonts w:ascii="Arial" w:hAnsi="Arial" w:cs="Arial"/>
          <w:b/>
          <w:bCs/>
          <w:sz w:val="24"/>
          <w:szCs w:val="24"/>
        </w:rPr>
        <w:br w:type="page"/>
      </w:r>
      <w:bookmarkEnd w:id="47"/>
      <w:r w:rsidR="009B315F" w:rsidRPr="00D84BC4">
        <w:rPr>
          <w:rFonts w:asciiTheme="minorHAnsi" w:hAnsiTheme="minorHAnsi" w:cstheme="minorHAnsi"/>
          <w:b/>
          <w:bCs/>
          <w:sz w:val="24"/>
          <w:szCs w:val="24"/>
        </w:rPr>
        <w:lastRenderedPageBreak/>
        <w:t>APPENDIX A</w:t>
      </w:r>
    </w:p>
    <w:p w14:paraId="13B405DD" w14:textId="77777777" w:rsidR="0014672E" w:rsidRPr="00D84BC4" w:rsidRDefault="0014672E" w:rsidP="0014672E">
      <w:pPr>
        <w:pStyle w:val="Header"/>
        <w:ind w:right="-990"/>
        <w:jc w:val="both"/>
        <w:rPr>
          <w:rFonts w:asciiTheme="minorHAnsi" w:hAnsiTheme="minorHAnsi" w:cstheme="minorHAnsi"/>
          <w:b/>
          <w:bCs/>
          <w:sz w:val="24"/>
          <w:szCs w:val="24"/>
        </w:rPr>
      </w:pPr>
      <w:r w:rsidRPr="00D84BC4">
        <w:rPr>
          <w:rFonts w:asciiTheme="minorHAnsi" w:hAnsiTheme="minorHAnsi" w:cstheme="minorHAnsi"/>
          <w:b/>
          <w:bCs/>
          <w:sz w:val="24"/>
          <w:szCs w:val="24"/>
        </w:rPr>
        <w:t>Survey on the Precept</w:t>
      </w:r>
    </w:p>
    <w:p w14:paraId="7C51BCAF" w14:textId="77777777" w:rsidR="0014672E" w:rsidRPr="00D84BC4" w:rsidRDefault="0014672E" w:rsidP="0014672E">
      <w:pPr>
        <w:pStyle w:val="Header"/>
        <w:ind w:right="-990"/>
        <w:rPr>
          <w:rFonts w:cs="Calibri"/>
          <w:b/>
          <w:bCs/>
          <w:sz w:val="24"/>
          <w:szCs w:val="24"/>
        </w:rPr>
      </w:pPr>
    </w:p>
    <w:p w14:paraId="66C077C3" w14:textId="77777777" w:rsidR="0014672E" w:rsidRPr="00D84BC4" w:rsidRDefault="0014672E" w:rsidP="0014672E">
      <w:pPr>
        <w:pStyle w:val="Header"/>
        <w:ind w:right="-990"/>
        <w:rPr>
          <w:rFonts w:cs="Calibri"/>
          <w:b/>
          <w:bCs/>
          <w:sz w:val="24"/>
          <w:szCs w:val="24"/>
        </w:rPr>
      </w:pPr>
      <w:r w:rsidRPr="00D84BC4">
        <w:rPr>
          <w:rFonts w:cs="Calibri"/>
          <w:b/>
          <w:bCs/>
          <w:sz w:val="24"/>
          <w:szCs w:val="24"/>
        </w:rPr>
        <w:t>Context</w:t>
      </w:r>
    </w:p>
    <w:p w14:paraId="00BF6D27" w14:textId="77777777" w:rsidR="0014672E" w:rsidRPr="00D84BC4" w:rsidRDefault="0014672E" w:rsidP="0014672E">
      <w:pPr>
        <w:spacing w:line="240" w:lineRule="auto"/>
        <w:jc w:val="both"/>
        <w:rPr>
          <w:rFonts w:cs="Calibri"/>
          <w:sz w:val="24"/>
          <w:szCs w:val="24"/>
        </w:rPr>
      </w:pPr>
    </w:p>
    <w:p w14:paraId="0F5C77F8" w14:textId="77777777" w:rsidR="00D84BC4" w:rsidRDefault="00D84BC4" w:rsidP="00D84BC4">
      <w:pPr>
        <w:spacing w:line="240" w:lineRule="auto"/>
        <w:jc w:val="both"/>
        <w:rPr>
          <w:rFonts w:cs="Calibri"/>
          <w:sz w:val="24"/>
          <w:szCs w:val="24"/>
        </w:rPr>
      </w:pPr>
      <w:r w:rsidRPr="00D84BC4">
        <w:rPr>
          <w:rFonts w:cs="Calibri"/>
          <w:sz w:val="24"/>
          <w:szCs w:val="24"/>
        </w:rPr>
        <w:t>This year’s precept survey ran in conjunction with questions on the new Public Safety Plan for the</w:t>
      </w:r>
      <w:r w:rsidRPr="009F406A">
        <w:rPr>
          <w:rFonts w:cs="Calibri"/>
          <w:sz w:val="24"/>
          <w:szCs w:val="24"/>
        </w:rPr>
        <w:t xml:space="preserve"> county.  This was due to the unavoidable timings of both, following the election of the new Police, Fire and Crime Commissioner in May 2024, and also in the context of the findings of the “Big Conversation” consultation, where people told us they preferred to see questions about the council tax funding put in the context of the actions they will fund.</w:t>
      </w:r>
    </w:p>
    <w:p w14:paraId="6973150C" w14:textId="77777777" w:rsidR="00D84BC4" w:rsidRPr="009F406A" w:rsidRDefault="00D84BC4" w:rsidP="00D84BC4">
      <w:pPr>
        <w:spacing w:line="240" w:lineRule="auto"/>
        <w:jc w:val="both"/>
        <w:rPr>
          <w:rFonts w:cs="Calibri"/>
          <w:sz w:val="24"/>
          <w:szCs w:val="24"/>
        </w:rPr>
      </w:pPr>
    </w:p>
    <w:p w14:paraId="7EFB50C9" w14:textId="77777777" w:rsidR="00D84BC4" w:rsidRDefault="00D84BC4" w:rsidP="00D84BC4">
      <w:pPr>
        <w:spacing w:line="240" w:lineRule="auto"/>
        <w:jc w:val="both"/>
        <w:rPr>
          <w:rFonts w:cs="Calibri"/>
          <w:sz w:val="24"/>
          <w:szCs w:val="24"/>
        </w:rPr>
      </w:pPr>
      <w:r w:rsidRPr="009F406A">
        <w:rPr>
          <w:rFonts w:cs="Calibri"/>
          <w:sz w:val="24"/>
          <w:szCs w:val="24"/>
        </w:rPr>
        <w:t>The joint consultation supported residents’ thinking in demonstrating how differing levels of precepts would impact on police and firefighter staff numbers, the level of service they could provide, and the delivery of strategic priorities within the Plan.</w:t>
      </w:r>
    </w:p>
    <w:p w14:paraId="0A5730A6" w14:textId="77777777" w:rsidR="00D84BC4" w:rsidRPr="009F406A" w:rsidRDefault="00D84BC4" w:rsidP="00D84BC4">
      <w:pPr>
        <w:spacing w:line="240" w:lineRule="auto"/>
        <w:jc w:val="both"/>
        <w:rPr>
          <w:rFonts w:cs="Calibri"/>
          <w:sz w:val="24"/>
          <w:szCs w:val="24"/>
        </w:rPr>
      </w:pPr>
    </w:p>
    <w:p w14:paraId="4DF20D12" w14:textId="3324970F" w:rsidR="00D84BC4" w:rsidRDefault="00D84BC4" w:rsidP="00D84BC4">
      <w:pPr>
        <w:spacing w:line="240" w:lineRule="auto"/>
        <w:jc w:val="both"/>
        <w:rPr>
          <w:rFonts w:cs="Calibri"/>
          <w:sz w:val="24"/>
          <w:szCs w:val="24"/>
        </w:rPr>
      </w:pPr>
      <w:r w:rsidRPr="009F406A">
        <w:rPr>
          <w:rFonts w:cs="Calibri"/>
          <w:sz w:val="24"/>
          <w:szCs w:val="24"/>
        </w:rPr>
        <w:t xml:space="preserve">The survey went live on </w:t>
      </w:r>
      <w:r w:rsidR="00280882">
        <w:rPr>
          <w:rFonts w:cs="Calibri"/>
          <w:sz w:val="24"/>
          <w:szCs w:val="24"/>
        </w:rPr>
        <w:t>28</w:t>
      </w:r>
      <w:r w:rsidR="00280882" w:rsidRPr="00280882">
        <w:rPr>
          <w:rFonts w:cs="Calibri"/>
          <w:sz w:val="24"/>
          <w:szCs w:val="24"/>
          <w:vertAlign w:val="superscript"/>
        </w:rPr>
        <w:t>th</w:t>
      </w:r>
      <w:r w:rsidR="00280882">
        <w:rPr>
          <w:rFonts w:cs="Calibri"/>
          <w:sz w:val="24"/>
          <w:szCs w:val="24"/>
        </w:rPr>
        <w:t xml:space="preserve"> </w:t>
      </w:r>
      <w:r w:rsidRPr="009F406A">
        <w:rPr>
          <w:rFonts w:cs="Calibri"/>
          <w:sz w:val="24"/>
          <w:szCs w:val="24"/>
        </w:rPr>
        <w:t>November</w:t>
      </w:r>
      <w:r w:rsidR="00280882">
        <w:rPr>
          <w:rFonts w:cs="Calibri"/>
          <w:sz w:val="24"/>
          <w:szCs w:val="24"/>
        </w:rPr>
        <w:t xml:space="preserve"> </w:t>
      </w:r>
      <w:r w:rsidRPr="009F406A">
        <w:rPr>
          <w:rFonts w:cs="Calibri"/>
          <w:sz w:val="24"/>
          <w:szCs w:val="24"/>
        </w:rPr>
        <w:t xml:space="preserve">– running until </w:t>
      </w:r>
      <w:r w:rsidR="00280882">
        <w:rPr>
          <w:rFonts w:cs="Calibri"/>
          <w:sz w:val="24"/>
          <w:szCs w:val="24"/>
        </w:rPr>
        <w:t>5</w:t>
      </w:r>
      <w:r w:rsidR="00280882" w:rsidRPr="00280882">
        <w:rPr>
          <w:rFonts w:cs="Calibri"/>
          <w:sz w:val="24"/>
          <w:szCs w:val="24"/>
          <w:vertAlign w:val="superscript"/>
        </w:rPr>
        <w:t>th</w:t>
      </w:r>
      <w:r w:rsidR="00280882">
        <w:rPr>
          <w:rFonts w:cs="Calibri"/>
          <w:sz w:val="24"/>
          <w:szCs w:val="24"/>
        </w:rPr>
        <w:t xml:space="preserve"> </w:t>
      </w:r>
      <w:r w:rsidRPr="009F406A">
        <w:rPr>
          <w:rFonts w:cs="Calibri"/>
          <w:sz w:val="24"/>
          <w:szCs w:val="24"/>
        </w:rPr>
        <w:t>January – and received 1,751 responses. This was a slight decrease on last year (1,997) but still the second highest number of responses the consultation has ever received.</w:t>
      </w:r>
    </w:p>
    <w:p w14:paraId="59EC514A" w14:textId="77777777" w:rsidR="00D84BC4" w:rsidRPr="00450555" w:rsidRDefault="00D84BC4" w:rsidP="00D84BC4">
      <w:pPr>
        <w:spacing w:line="240" w:lineRule="auto"/>
        <w:jc w:val="both"/>
        <w:rPr>
          <w:rFonts w:cs="Calibri"/>
          <w:sz w:val="24"/>
          <w:szCs w:val="24"/>
          <w:highlight w:val="yellow"/>
        </w:rPr>
      </w:pPr>
    </w:p>
    <w:p w14:paraId="05AA67A7" w14:textId="3CCBF79F" w:rsidR="00D84BC4" w:rsidRDefault="00D84BC4" w:rsidP="00D84BC4">
      <w:pPr>
        <w:pStyle w:val="Header"/>
        <w:ind w:right="-990"/>
        <w:rPr>
          <w:rFonts w:cs="Calibri"/>
          <w:b/>
          <w:bCs/>
          <w:sz w:val="24"/>
          <w:szCs w:val="24"/>
        </w:rPr>
      </w:pPr>
      <w:r w:rsidRPr="009F406A">
        <w:rPr>
          <w:rFonts w:cs="Calibri"/>
          <w:b/>
          <w:bCs/>
          <w:sz w:val="24"/>
          <w:szCs w:val="24"/>
        </w:rPr>
        <w:t>Communications Activity</w:t>
      </w:r>
    </w:p>
    <w:p w14:paraId="02711B76" w14:textId="77777777" w:rsidR="00D84BC4" w:rsidRPr="00D84BC4" w:rsidRDefault="00D84BC4" w:rsidP="00D84BC4">
      <w:pPr>
        <w:pStyle w:val="Header"/>
        <w:ind w:right="-990"/>
        <w:rPr>
          <w:rFonts w:cs="Calibri"/>
          <w:b/>
          <w:bCs/>
          <w:sz w:val="24"/>
          <w:szCs w:val="24"/>
        </w:rPr>
      </w:pPr>
    </w:p>
    <w:p w14:paraId="75572EBB" w14:textId="77777777" w:rsidR="00D84BC4" w:rsidRDefault="00D84BC4" w:rsidP="00D84BC4">
      <w:pPr>
        <w:jc w:val="both"/>
        <w:rPr>
          <w:rFonts w:cs="Calibri"/>
          <w:sz w:val="24"/>
          <w:szCs w:val="24"/>
        </w:rPr>
      </w:pPr>
      <w:r>
        <w:rPr>
          <w:rFonts w:cs="Calibri"/>
          <w:sz w:val="24"/>
          <w:szCs w:val="24"/>
        </w:rPr>
        <w:t>Prior to</w:t>
      </w:r>
      <w:r w:rsidRPr="009F406A">
        <w:rPr>
          <w:rFonts w:cs="Calibri"/>
          <w:sz w:val="24"/>
          <w:szCs w:val="24"/>
        </w:rPr>
        <w:t xml:space="preserve"> embarking on the consultation, the survey questions and planned communications activity were benchmarked against consultations </w:t>
      </w:r>
      <w:r>
        <w:rPr>
          <w:rFonts w:cs="Calibri"/>
          <w:sz w:val="24"/>
          <w:szCs w:val="24"/>
        </w:rPr>
        <w:t>by</w:t>
      </w:r>
      <w:r w:rsidRPr="009F406A">
        <w:rPr>
          <w:rFonts w:cs="Calibri"/>
          <w:sz w:val="24"/>
          <w:szCs w:val="24"/>
        </w:rPr>
        <w:t xml:space="preserve"> other offices nationally.  </w:t>
      </w:r>
      <w:r>
        <w:rPr>
          <w:rFonts w:cs="Calibri"/>
          <w:sz w:val="24"/>
          <w:szCs w:val="24"/>
        </w:rPr>
        <w:t>Others</w:t>
      </w:r>
      <w:r w:rsidRPr="009F406A">
        <w:rPr>
          <w:rFonts w:cs="Calibri"/>
          <w:sz w:val="24"/>
          <w:szCs w:val="24"/>
        </w:rPr>
        <w:t xml:space="preserve"> reported facing challenging circumstances when it came to public engagement and dwindling levels of interaction online.</w:t>
      </w:r>
    </w:p>
    <w:p w14:paraId="2CA8BD90" w14:textId="77777777" w:rsidR="00D84BC4" w:rsidRPr="009F406A" w:rsidRDefault="00D84BC4" w:rsidP="00D84BC4">
      <w:pPr>
        <w:jc w:val="both"/>
        <w:rPr>
          <w:rFonts w:cs="Calibri"/>
          <w:sz w:val="24"/>
          <w:szCs w:val="24"/>
        </w:rPr>
      </w:pPr>
    </w:p>
    <w:p w14:paraId="607CFA14" w14:textId="77777777" w:rsidR="00D84BC4" w:rsidRPr="009F406A" w:rsidRDefault="00D84BC4" w:rsidP="00D84BC4">
      <w:pPr>
        <w:jc w:val="both"/>
        <w:rPr>
          <w:rFonts w:cs="Calibri"/>
          <w:sz w:val="24"/>
          <w:szCs w:val="24"/>
        </w:rPr>
      </w:pPr>
      <w:r w:rsidRPr="009F406A">
        <w:rPr>
          <w:rFonts w:cs="Calibri"/>
          <w:sz w:val="24"/>
          <w:szCs w:val="24"/>
        </w:rPr>
        <w:t>Activity from the Communications Team included:</w:t>
      </w:r>
    </w:p>
    <w:p w14:paraId="3592B705" w14:textId="77777777" w:rsidR="00D84BC4" w:rsidRPr="009F406A" w:rsidRDefault="00D84BC4" w:rsidP="00D84BC4">
      <w:pPr>
        <w:pStyle w:val="ListParagraph"/>
        <w:numPr>
          <w:ilvl w:val="0"/>
          <w:numId w:val="21"/>
        </w:numPr>
        <w:jc w:val="both"/>
        <w:rPr>
          <w:rFonts w:cs="Calibri"/>
          <w:sz w:val="24"/>
          <w:szCs w:val="24"/>
        </w:rPr>
      </w:pPr>
      <w:r w:rsidRPr="009F406A">
        <w:rPr>
          <w:rFonts w:cs="Calibri"/>
          <w:sz w:val="24"/>
          <w:szCs w:val="24"/>
        </w:rPr>
        <w:t>News release sent to more than 100 journalists across various different newsrooms both locally and nationally</w:t>
      </w:r>
      <w:r>
        <w:rPr>
          <w:rFonts w:cs="Calibri"/>
          <w:sz w:val="24"/>
          <w:szCs w:val="24"/>
        </w:rPr>
        <w:t>.</w:t>
      </w:r>
    </w:p>
    <w:p w14:paraId="588407EB" w14:textId="77777777" w:rsidR="00D84BC4" w:rsidRPr="009F406A" w:rsidRDefault="00D84BC4" w:rsidP="00D84BC4">
      <w:pPr>
        <w:pStyle w:val="ListParagraph"/>
        <w:numPr>
          <w:ilvl w:val="0"/>
          <w:numId w:val="21"/>
        </w:numPr>
        <w:jc w:val="both"/>
        <w:rPr>
          <w:rFonts w:cs="Calibri"/>
          <w:sz w:val="24"/>
          <w:szCs w:val="24"/>
        </w:rPr>
      </w:pPr>
      <w:r w:rsidRPr="009F406A">
        <w:rPr>
          <w:rFonts w:cs="Calibri"/>
          <w:sz w:val="24"/>
          <w:szCs w:val="24"/>
        </w:rPr>
        <w:t>News release shared on external OPFCC, Police and Fire websites</w:t>
      </w:r>
      <w:r>
        <w:rPr>
          <w:rFonts w:cs="Calibri"/>
          <w:sz w:val="24"/>
          <w:szCs w:val="24"/>
        </w:rPr>
        <w:t>.</w:t>
      </w:r>
    </w:p>
    <w:p w14:paraId="5C3098B0" w14:textId="77777777" w:rsidR="00D84BC4" w:rsidRPr="009F406A" w:rsidRDefault="00D84BC4" w:rsidP="00D84BC4">
      <w:pPr>
        <w:pStyle w:val="ListParagraph"/>
        <w:numPr>
          <w:ilvl w:val="0"/>
          <w:numId w:val="21"/>
        </w:numPr>
        <w:jc w:val="both"/>
        <w:rPr>
          <w:rFonts w:cs="Calibri"/>
          <w:sz w:val="24"/>
          <w:szCs w:val="24"/>
        </w:rPr>
      </w:pPr>
      <w:r w:rsidRPr="009F406A">
        <w:rPr>
          <w:rFonts w:cs="Calibri"/>
          <w:sz w:val="24"/>
          <w:szCs w:val="24"/>
        </w:rPr>
        <w:t>Internal message sent on both Police and Fire intranets, and emailed to all OPFCC staff, asking them to encourage people to fill in the survey at community events</w:t>
      </w:r>
      <w:r>
        <w:rPr>
          <w:rFonts w:cs="Calibri"/>
          <w:sz w:val="24"/>
          <w:szCs w:val="24"/>
        </w:rPr>
        <w:t>.</w:t>
      </w:r>
    </w:p>
    <w:p w14:paraId="4F5E7B5E" w14:textId="77777777" w:rsidR="00D84BC4" w:rsidRPr="009F406A" w:rsidRDefault="00D84BC4" w:rsidP="00D84BC4">
      <w:pPr>
        <w:pStyle w:val="ListParagraph"/>
        <w:numPr>
          <w:ilvl w:val="0"/>
          <w:numId w:val="21"/>
        </w:numPr>
        <w:jc w:val="both"/>
        <w:rPr>
          <w:rFonts w:cs="Calibri"/>
          <w:sz w:val="24"/>
          <w:szCs w:val="24"/>
        </w:rPr>
      </w:pPr>
      <w:r w:rsidRPr="009F406A">
        <w:rPr>
          <w:rFonts w:cs="Calibri"/>
          <w:sz w:val="24"/>
          <w:szCs w:val="24"/>
        </w:rPr>
        <w:t xml:space="preserve">Message sent to more than 40,000 people on </w:t>
      </w:r>
      <w:r>
        <w:rPr>
          <w:rFonts w:cs="Calibri"/>
          <w:sz w:val="24"/>
          <w:szCs w:val="24"/>
        </w:rPr>
        <w:t>2</w:t>
      </w:r>
      <w:r w:rsidRPr="009F406A">
        <w:rPr>
          <w:rFonts w:cs="Calibri"/>
          <w:sz w:val="24"/>
          <w:szCs w:val="24"/>
          <w:vertAlign w:val="superscript"/>
        </w:rPr>
        <w:t>nd</w:t>
      </w:r>
      <w:r>
        <w:rPr>
          <w:rFonts w:cs="Calibri"/>
          <w:sz w:val="24"/>
          <w:szCs w:val="24"/>
        </w:rPr>
        <w:t xml:space="preserve"> </w:t>
      </w:r>
      <w:r w:rsidRPr="009F406A">
        <w:rPr>
          <w:rFonts w:cs="Calibri"/>
          <w:sz w:val="24"/>
          <w:szCs w:val="24"/>
        </w:rPr>
        <w:t>December on Northamptonshire Talking</w:t>
      </w:r>
      <w:r>
        <w:rPr>
          <w:rFonts w:cs="Calibri"/>
          <w:sz w:val="24"/>
          <w:szCs w:val="24"/>
        </w:rPr>
        <w:t xml:space="preserve"> (</w:t>
      </w:r>
      <w:r w:rsidRPr="009F406A">
        <w:rPr>
          <w:rFonts w:cs="Calibri"/>
          <w:sz w:val="24"/>
          <w:szCs w:val="24"/>
        </w:rPr>
        <w:t>Police</w:t>
      </w:r>
      <w:r>
        <w:rPr>
          <w:rFonts w:cs="Calibri"/>
          <w:sz w:val="24"/>
          <w:szCs w:val="24"/>
        </w:rPr>
        <w:t>)</w:t>
      </w:r>
      <w:r w:rsidRPr="009F406A">
        <w:rPr>
          <w:rFonts w:cs="Calibri"/>
          <w:sz w:val="24"/>
          <w:szCs w:val="24"/>
        </w:rPr>
        <w:t xml:space="preserve"> account</w:t>
      </w:r>
      <w:r>
        <w:rPr>
          <w:rFonts w:cs="Calibri"/>
          <w:sz w:val="24"/>
          <w:szCs w:val="24"/>
        </w:rPr>
        <w:t xml:space="preserve">, which was </w:t>
      </w:r>
      <w:r w:rsidRPr="009F406A">
        <w:rPr>
          <w:rFonts w:cs="Calibri"/>
          <w:sz w:val="24"/>
          <w:szCs w:val="24"/>
        </w:rPr>
        <w:t>read by 18,855 people, with 578 interactions (rating, sharing, reading)</w:t>
      </w:r>
      <w:r>
        <w:rPr>
          <w:rFonts w:cs="Calibri"/>
          <w:sz w:val="24"/>
          <w:szCs w:val="24"/>
        </w:rPr>
        <w:t>.</w:t>
      </w:r>
    </w:p>
    <w:p w14:paraId="76AFA068" w14:textId="77777777" w:rsidR="00D84BC4" w:rsidRPr="009F406A" w:rsidRDefault="00D84BC4" w:rsidP="00D84BC4">
      <w:pPr>
        <w:pStyle w:val="ListParagraph"/>
        <w:numPr>
          <w:ilvl w:val="0"/>
          <w:numId w:val="21"/>
        </w:numPr>
        <w:jc w:val="both"/>
        <w:rPr>
          <w:rFonts w:cs="Calibri"/>
          <w:sz w:val="24"/>
          <w:szCs w:val="24"/>
        </w:rPr>
      </w:pPr>
      <w:r w:rsidRPr="009F406A">
        <w:rPr>
          <w:rFonts w:cs="Calibri"/>
          <w:sz w:val="24"/>
          <w:szCs w:val="24"/>
        </w:rPr>
        <w:t>Link to survey and request to cascade sent to all 154 unitary councillors in West Northamptonshire and North Northamptonshire, as well as respective Chief Executives</w:t>
      </w:r>
      <w:r>
        <w:rPr>
          <w:rFonts w:cs="Calibri"/>
          <w:sz w:val="24"/>
          <w:szCs w:val="24"/>
        </w:rPr>
        <w:t>.</w:t>
      </w:r>
    </w:p>
    <w:p w14:paraId="4AA9BF20" w14:textId="77777777" w:rsidR="00D84BC4" w:rsidRPr="009F406A" w:rsidRDefault="00D84BC4" w:rsidP="00D84BC4">
      <w:pPr>
        <w:pStyle w:val="ListParagraph"/>
        <w:numPr>
          <w:ilvl w:val="0"/>
          <w:numId w:val="21"/>
        </w:numPr>
        <w:jc w:val="both"/>
        <w:rPr>
          <w:rFonts w:cs="Calibri"/>
          <w:sz w:val="24"/>
          <w:szCs w:val="24"/>
        </w:rPr>
      </w:pPr>
      <w:r w:rsidRPr="009F406A">
        <w:rPr>
          <w:rFonts w:cs="Calibri"/>
          <w:sz w:val="24"/>
          <w:szCs w:val="24"/>
        </w:rPr>
        <w:t>News release shared with all Northamptonshire MPs with request to share it with their local constituents</w:t>
      </w:r>
      <w:r>
        <w:rPr>
          <w:rFonts w:cs="Calibri"/>
          <w:sz w:val="24"/>
          <w:szCs w:val="24"/>
        </w:rPr>
        <w:t>.</w:t>
      </w:r>
    </w:p>
    <w:p w14:paraId="6D160683" w14:textId="77777777" w:rsidR="00D84BC4" w:rsidRPr="009F406A" w:rsidRDefault="00D84BC4" w:rsidP="00D84BC4">
      <w:pPr>
        <w:pStyle w:val="ListParagraph"/>
        <w:numPr>
          <w:ilvl w:val="0"/>
          <w:numId w:val="21"/>
        </w:numPr>
        <w:jc w:val="both"/>
        <w:rPr>
          <w:rFonts w:cs="Calibri"/>
          <w:sz w:val="24"/>
          <w:szCs w:val="24"/>
        </w:rPr>
      </w:pPr>
      <w:r w:rsidRPr="009F406A">
        <w:rPr>
          <w:rFonts w:cs="Calibri"/>
          <w:sz w:val="24"/>
          <w:szCs w:val="24"/>
        </w:rPr>
        <w:t xml:space="preserve">Release and survey shared with 272 contacts at parish councils across the county, asking them to replicate the survey along with a specially designed banner on their websites. </w:t>
      </w:r>
      <w:r>
        <w:rPr>
          <w:rFonts w:cs="Calibri"/>
          <w:sz w:val="24"/>
          <w:szCs w:val="24"/>
        </w:rPr>
        <w:t xml:space="preserve"> </w:t>
      </w:r>
      <w:r w:rsidRPr="009F406A">
        <w:rPr>
          <w:rFonts w:cs="Calibri"/>
          <w:sz w:val="24"/>
          <w:szCs w:val="24"/>
        </w:rPr>
        <w:t>A number of councils, such as Paulerspury, shared the content in their local newsletter</w:t>
      </w:r>
      <w:r>
        <w:rPr>
          <w:rFonts w:cs="Calibri"/>
          <w:sz w:val="24"/>
          <w:szCs w:val="24"/>
        </w:rPr>
        <w:t>.</w:t>
      </w:r>
    </w:p>
    <w:p w14:paraId="0104D245" w14:textId="77777777" w:rsidR="00D84BC4" w:rsidRPr="009F406A" w:rsidRDefault="00D84BC4" w:rsidP="00D84BC4">
      <w:pPr>
        <w:pStyle w:val="ListParagraph"/>
        <w:numPr>
          <w:ilvl w:val="0"/>
          <w:numId w:val="21"/>
        </w:numPr>
        <w:jc w:val="both"/>
        <w:rPr>
          <w:rFonts w:cs="Calibri"/>
          <w:sz w:val="24"/>
          <w:szCs w:val="24"/>
        </w:rPr>
      </w:pPr>
      <w:r w:rsidRPr="009F406A">
        <w:rPr>
          <w:rFonts w:cs="Calibri"/>
          <w:sz w:val="24"/>
          <w:szCs w:val="24"/>
        </w:rPr>
        <w:t>Shared release and survey with contacts at more than 40 schools across the county, requesting they encourage fellow staff and parents to complete the survey</w:t>
      </w:r>
      <w:r>
        <w:rPr>
          <w:rFonts w:cs="Calibri"/>
          <w:sz w:val="24"/>
          <w:szCs w:val="24"/>
        </w:rPr>
        <w:t>.</w:t>
      </w:r>
    </w:p>
    <w:p w14:paraId="31034C27" w14:textId="77777777" w:rsidR="00D84BC4" w:rsidRPr="009F406A" w:rsidRDefault="00D84BC4" w:rsidP="00D84BC4">
      <w:pPr>
        <w:pStyle w:val="ListParagraph"/>
        <w:numPr>
          <w:ilvl w:val="0"/>
          <w:numId w:val="21"/>
        </w:numPr>
        <w:jc w:val="both"/>
        <w:rPr>
          <w:rFonts w:cs="Calibri"/>
          <w:sz w:val="24"/>
          <w:szCs w:val="24"/>
        </w:rPr>
      </w:pPr>
      <w:r w:rsidRPr="009F406A">
        <w:rPr>
          <w:rFonts w:cs="Calibri"/>
          <w:sz w:val="24"/>
          <w:szCs w:val="24"/>
        </w:rPr>
        <w:lastRenderedPageBreak/>
        <w:t>News release and link to survey sent to 65 local organisations (including Women’s Institute, Brightwayz and more) and Community Safety forums.</w:t>
      </w:r>
    </w:p>
    <w:p w14:paraId="668D38A7" w14:textId="77777777" w:rsidR="00D84BC4" w:rsidRPr="009F406A" w:rsidRDefault="00D84BC4" w:rsidP="00D84BC4">
      <w:pPr>
        <w:pStyle w:val="ListParagraph"/>
        <w:numPr>
          <w:ilvl w:val="0"/>
          <w:numId w:val="21"/>
        </w:numPr>
        <w:jc w:val="both"/>
        <w:rPr>
          <w:rFonts w:cs="Calibri"/>
          <w:sz w:val="24"/>
          <w:szCs w:val="24"/>
        </w:rPr>
      </w:pPr>
      <w:r w:rsidRPr="009F406A">
        <w:rPr>
          <w:rFonts w:cs="Calibri"/>
          <w:sz w:val="24"/>
          <w:szCs w:val="24"/>
        </w:rPr>
        <w:t>Shared with businesses through Northampton Town BID, Retail Crime Partnership and West Northamptonshire Council</w:t>
      </w:r>
      <w:r>
        <w:rPr>
          <w:rFonts w:cs="Calibri"/>
          <w:sz w:val="24"/>
          <w:szCs w:val="24"/>
        </w:rPr>
        <w:t>.</w:t>
      </w:r>
    </w:p>
    <w:p w14:paraId="52C344C2" w14:textId="77777777" w:rsidR="00D84BC4" w:rsidRPr="009F406A" w:rsidRDefault="00D84BC4" w:rsidP="00D84BC4">
      <w:pPr>
        <w:pStyle w:val="ListParagraph"/>
        <w:numPr>
          <w:ilvl w:val="0"/>
          <w:numId w:val="21"/>
        </w:numPr>
        <w:jc w:val="both"/>
        <w:rPr>
          <w:rFonts w:cs="Calibri"/>
          <w:sz w:val="24"/>
          <w:szCs w:val="24"/>
        </w:rPr>
      </w:pPr>
      <w:r w:rsidRPr="009F406A">
        <w:rPr>
          <w:rFonts w:cs="Calibri"/>
          <w:sz w:val="24"/>
          <w:szCs w:val="24"/>
        </w:rPr>
        <w:t>Emailed the consultation to Independent Custody Visitors and members of the Independent Advisory Group</w:t>
      </w:r>
      <w:r>
        <w:rPr>
          <w:rFonts w:cs="Calibri"/>
          <w:sz w:val="24"/>
          <w:szCs w:val="24"/>
        </w:rPr>
        <w:t>.</w:t>
      </w:r>
    </w:p>
    <w:p w14:paraId="28319FCB" w14:textId="77777777" w:rsidR="00D84BC4" w:rsidRPr="009F406A" w:rsidRDefault="00D84BC4" w:rsidP="00D84BC4">
      <w:pPr>
        <w:pStyle w:val="ListParagraph"/>
        <w:numPr>
          <w:ilvl w:val="0"/>
          <w:numId w:val="21"/>
        </w:numPr>
        <w:jc w:val="both"/>
        <w:rPr>
          <w:rFonts w:cs="Calibri"/>
          <w:sz w:val="24"/>
          <w:szCs w:val="24"/>
        </w:rPr>
      </w:pPr>
      <w:r w:rsidRPr="009F406A">
        <w:rPr>
          <w:rFonts w:cs="Calibri"/>
          <w:sz w:val="24"/>
          <w:szCs w:val="24"/>
        </w:rPr>
        <w:t>Shared news release and survey with contacts at various hotels across the county</w:t>
      </w:r>
      <w:r>
        <w:rPr>
          <w:rFonts w:cs="Calibri"/>
          <w:sz w:val="24"/>
          <w:szCs w:val="24"/>
        </w:rPr>
        <w:t>.</w:t>
      </w:r>
    </w:p>
    <w:p w14:paraId="12CBF602" w14:textId="77777777" w:rsidR="00D84BC4" w:rsidRPr="009F406A" w:rsidRDefault="00D84BC4" w:rsidP="00D84BC4">
      <w:pPr>
        <w:pStyle w:val="ListParagraph"/>
        <w:numPr>
          <w:ilvl w:val="0"/>
          <w:numId w:val="21"/>
        </w:numPr>
        <w:jc w:val="both"/>
        <w:rPr>
          <w:rFonts w:cs="Calibri"/>
          <w:sz w:val="24"/>
          <w:szCs w:val="24"/>
        </w:rPr>
      </w:pPr>
      <w:r w:rsidRPr="009F406A">
        <w:rPr>
          <w:rFonts w:cs="Calibri"/>
          <w:sz w:val="24"/>
          <w:szCs w:val="24"/>
        </w:rPr>
        <w:t>Shared consultation with rural groups including NFU Mutual, Canal &amp; Rivers Trust and Northants Acre, and asked them to share with their rural networks</w:t>
      </w:r>
      <w:r>
        <w:rPr>
          <w:rFonts w:cs="Calibri"/>
          <w:sz w:val="24"/>
          <w:szCs w:val="24"/>
        </w:rPr>
        <w:t>.</w:t>
      </w:r>
    </w:p>
    <w:p w14:paraId="35A9543D" w14:textId="77777777" w:rsidR="00D84BC4" w:rsidRDefault="00D84BC4" w:rsidP="00D84BC4">
      <w:pPr>
        <w:pStyle w:val="ListParagraph"/>
        <w:numPr>
          <w:ilvl w:val="0"/>
          <w:numId w:val="21"/>
        </w:numPr>
        <w:jc w:val="both"/>
        <w:rPr>
          <w:rFonts w:cs="Calibri"/>
          <w:sz w:val="24"/>
          <w:szCs w:val="24"/>
        </w:rPr>
      </w:pPr>
      <w:r w:rsidRPr="009F406A">
        <w:rPr>
          <w:rFonts w:cs="Calibri"/>
          <w:sz w:val="24"/>
          <w:szCs w:val="24"/>
        </w:rPr>
        <w:t xml:space="preserve">Second message sent on Northamptonshire Talking from OPFCC account on </w:t>
      </w:r>
      <w:r>
        <w:rPr>
          <w:rFonts w:cs="Calibri"/>
          <w:sz w:val="24"/>
          <w:szCs w:val="24"/>
        </w:rPr>
        <w:t>3</w:t>
      </w:r>
      <w:r w:rsidRPr="009F406A">
        <w:rPr>
          <w:rFonts w:cs="Calibri"/>
          <w:sz w:val="24"/>
          <w:szCs w:val="24"/>
          <w:vertAlign w:val="superscript"/>
        </w:rPr>
        <w:t>rd</w:t>
      </w:r>
      <w:r>
        <w:rPr>
          <w:rFonts w:cs="Calibri"/>
          <w:sz w:val="24"/>
          <w:szCs w:val="24"/>
        </w:rPr>
        <w:t xml:space="preserve"> </w:t>
      </w:r>
      <w:r w:rsidRPr="009F406A">
        <w:rPr>
          <w:rFonts w:cs="Calibri"/>
          <w:sz w:val="24"/>
          <w:szCs w:val="24"/>
        </w:rPr>
        <w:t>January to more than 29,000 – read by 14,292 people, with 480 interactions.</w:t>
      </w:r>
    </w:p>
    <w:p w14:paraId="3C1173C3" w14:textId="77777777" w:rsidR="00D84BC4" w:rsidRPr="009F406A" w:rsidRDefault="00D84BC4" w:rsidP="00D84BC4">
      <w:pPr>
        <w:pStyle w:val="ListParagraph"/>
        <w:jc w:val="both"/>
        <w:rPr>
          <w:rFonts w:cs="Calibri"/>
          <w:sz w:val="24"/>
          <w:szCs w:val="24"/>
        </w:rPr>
      </w:pPr>
    </w:p>
    <w:p w14:paraId="0492E43F" w14:textId="77777777" w:rsidR="00D84BC4" w:rsidRPr="009F406A" w:rsidRDefault="00D84BC4" w:rsidP="00D84BC4">
      <w:pPr>
        <w:jc w:val="both"/>
        <w:rPr>
          <w:rFonts w:cs="Calibri"/>
          <w:sz w:val="24"/>
          <w:szCs w:val="24"/>
        </w:rPr>
      </w:pPr>
      <w:r w:rsidRPr="009F406A">
        <w:rPr>
          <w:rFonts w:cs="Calibri"/>
          <w:sz w:val="24"/>
          <w:szCs w:val="24"/>
        </w:rPr>
        <w:t>There was also a greater emphasis this year on face-to-face communication from senior leaders, to gain quality with activities including:</w:t>
      </w:r>
    </w:p>
    <w:p w14:paraId="124B07A7" w14:textId="77777777" w:rsidR="00D84BC4" w:rsidRPr="009F406A" w:rsidRDefault="00D84BC4" w:rsidP="00D84BC4">
      <w:pPr>
        <w:pStyle w:val="ListParagraph"/>
        <w:numPr>
          <w:ilvl w:val="0"/>
          <w:numId w:val="21"/>
        </w:numPr>
        <w:jc w:val="both"/>
        <w:rPr>
          <w:rFonts w:cs="Calibri"/>
          <w:sz w:val="24"/>
          <w:szCs w:val="24"/>
        </w:rPr>
      </w:pPr>
      <w:r w:rsidRPr="009F406A">
        <w:rPr>
          <w:rFonts w:cs="Calibri"/>
          <w:sz w:val="24"/>
          <w:szCs w:val="24"/>
        </w:rPr>
        <w:t>Focus group session with students at the University of Northampton, attended by the Commissioner and Deputy Commissioner</w:t>
      </w:r>
      <w:r>
        <w:rPr>
          <w:rFonts w:cs="Calibri"/>
          <w:sz w:val="24"/>
          <w:szCs w:val="24"/>
        </w:rPr>
        <w:t>.</w:t>
      </w:r>
    </w:p>
    <w:p w14:paraId="63713F13" w14:textId="77777777" w:rsidR="00D84BC4" w:rsidRPr="009F406A" w:rsidRDefault="00D84BC4" w:rsidP="00D84BC4">
      <w:pPr>
        <w:pStyle w:val="ListParagraph"/>
        <w:numPr>
          <w:ilvl w:val="0"/>
          <w:numId w:val="21"/>
        </w:numPr>
        <w:jc w:val="both"/>
        <w:rPr>
          <w:rFonts w:cs="Calibri"/>
          <w:sz w:val="24"/>
          <w:szCs w:val="24"/>
        </w:rPr>
      </w:pPr>
      <w:r w:rsidRPr="009F406A">
        <w:rPr>
          <w:rFonts w:cs="Calibri"/>
          <w:sz w:val="24"/>
          <w:szCs w:val="24"/>
        </w:rPr>
        <w:t>A bespoke virtual meeting with Parish Local Representatives (PLRs) and Parish Councils, attended by the Commissioner and Deputy Commissioner</w:t>
      </w:r>
      <w:r>
        <w:rPr>
          <w:rFonts w:cs="Calibri"/>
          <w:sz w:val="24"/>
          <w:szCs w:val="24"/>
        </w:rPr>
        <w:t>.</w:t>
      </w:r>
    </w:p>
    <w:p w14:paraId="0A8D9898" w14:textId="77777777" w:rsidR="00D84BC4" w:rsidRPr="009F406A" w:rsidRDefault="00D84BC4" w:rsidP="00D84BC4">
      <w:pPr>
        <w:pStyle w:val="ListParagraph"/>
        <w:numPr>
          <w:ilvl w:val="0"/>
          <w:numId w:val="21"/>
        </w:numPr>
        <w:jc w:val="both"/>
        <w:rPr>
          <w:rFonts w:cs="Calibri"/>
          <w:sz w:val="24"/>
          <w:szCs w:val="24"/>
        </w:rPr>
      </w:pPr>
      <w:r w:rsidRPr="009F406A">
        <w:rPr>
          <w:rFonts w:cs="Calibri"/>
          <w:sz w:val="24"/>
          <w:szCs w:val="24"/>
        </w:rPr>
        <w:t>A meeting with church and faith leaders hosted by the Deputy Commissioner</w:t>
      </w:r>
      <w:r>
        <w:rPr>
          <w:rFonts w:cs="Calibri"/>
          <w:sz w:val="24"/>
          <w:szCs w:val="24"/>
        </w:rPr>
        <w:t>.</w:t>
      </w:r>
    </w:p>
    <w:p w14:paraId="7523A6C7" w14:textId="77777777" w:rsidR="00D84BC4" w:rsidRPr="009F406A" w:rsidRDefault="00D84BC4" w:rsidP="00D84BC4">
      <w:pPr>
        <w:pStyle w:val="ListParagraph"/>
        <w:numPr>
          <w:ilvl w:val="0"/>
          <w:numId w:val="21"/>
        </w:numPr>
        <w:jc w:val="both"/>
        <w:rPr>
          <w:rFonts w:cs="Calibri"/>
          <w:sz w:val="24"/>
          <w:szCs w:val="24"/>
        </w:rPr>
      </w:pPr>
      <w:r w:rsidRPr="009F406A">
        <w:rPr>
          <w:rFonts w:cs="Calibri"/>
          <w:sz w:val="24"/>
          <w:szCs w:val="24"/>
        </w:rPr>
        <w:t>Beat Bus sessions with PCSOs engaging with members of the public in Kislingbury and other villages in rural South Northamptonshire</w:t>
      </w:r>
      <w:r>
        <w:rPr>
          <w:rFonts w:cs="Calibri"/>
          <w:sz w:val="24"/>
          <w:szCs w:val="24"/>
        </w:rPr>
        <w:t>.</w:t>
      </w:r>
    </w:p>
    <w:p w14:paraId="73C21CE5" w14:textId="77777777" w:rsidR="00D84BC4" w:rsidRPr="009F406A" w:rsidRDefault="00D84BC4" w:rsidP="00D84BC4">
      <w:pPr>
        <w:pStyle w:val="ListParagraph"/>
        <w:numPr>
          <w:ilvl w:val="0"/>
          <w:numId w:val="21"/>
        </w:numPr>
        <w:jc w:val="both"/>
        <w:rPr>
          <w:rFonts w:cs="Calibri"/>
          <w:sz w:val="24"/>
          <w:szCs w:val="24"/>
        </w:rPr>
      </w:pPr>
      <w:r w:rsidRPr="009F406A">
        <w:rPr>
          <w:rFonts w:cs="Calibri"/>
          <w:sz w:val="24"/>
          <w:szCs w:val="24"/>
        </w:rPr>
        <w:t xml:space="preserve">The Commissioner appearing on BBC Radio Northampton to discuss the consultation and take questions from members of the public on </w:t>
      </w:r>
      <w:r>
        <w:rPr>
          <w:rFonts w:cs="Calibri"/>
          <w:sz w:val="24"/>
          <w:szCs w:val="24"/>
        </w:rPr>
        <w:t>17</w:t>
      </w:r>
      <w:r w:rsidRPr="009F406A">
        <w:rPr>
          <w:rFonts w:cs="Calibri"/>
          <w:sz w:val="24"/>
          <w:szCs w:val="24"/>
          <w:vertAlign w:val="superscript"/>
        </w:rPr>
        <w:t>th</w:t>
      </w:r>
      <w:r>
        <w:rPr>
          <w:rFonts w:cs="Calibri"/>
          <w:sz w:val="24"/>
          <w:szCs w:val="24"/>
        </w:rPr>
        <w:t xml:space="preserve"> </w:t>
      </w:r>
      <w:r w:rsidRPr="009F406A">
        <w:rPr>
          <w:rFonts w:cs="Calibri"/>
          <w:sz w:val="24"/>
          <w:szCs w:val="24"/>
        </w:rPr>
        <w:t>December</w:t>
      </w:r>
      <w:r>
        <w:rPr>
          <w:rFonts w:cs="Calibri"/>
          <w:sz w:val="24"/>
          <w:szCs w:val="24"/>
        </w:rPr>
        <w:t>.</w:t>
      </w:r>
    </w:p>
    <w:p w14:paraId="78DB8017" w14:textId="77777777" w:rsidR="00D84BC4" w:rsidRDefault="00D84BC4" w:rsidP="00D84BC4">
      <w:pPr>
        <w:pStyle w:val="ListParagraph"/>
        <w:numPr>
          <w:ilvl w:val="0"/>
          <w:numId w:val="21"/>
        </w:numPr>
        <w:jc w:val="both"/>
        <w:rPr>
          <w:rFonts w:cs="Calibri"/>
          <w:sz w:val="24"/>
          <w:szCs w:val="24"/>
        </w:rPr>
      </w:pPr>
      <w:r w:rsidRPr="009F406A">
        <w:rPr>
          <w:rFonts w:cs="Calibri"/>
          <w:sz w:val="24"/>
          <w:szCs w:val="24"/>
        </w:rPr>
        <w:t>Physical assets such as posters, leaflets and business cards were produced and distributed by partners, including fire crews handing them out and discussing the consultation with members of the public at events in Corby, Oundle and Thrapston over the Christmas period, as well as PCSOs encouraging visitors to the Beat Bus to complete the survey.</w:t>
      </w:r>
    </w:p>
    <w:p w14:paraId="17CDD8C9" w14:textId="77777777" w:rsidR="00D84BC4" w:rsidRPr="009F406A" w:rsidRDefault="00D84BC4" w:rsidP="00D84BC4">
      <w:pPr>
        <w:pStyle w:val="ListParagraph"/>
        <w:jc w:val="both"/>
        <w:rPr>
          <w:rFonts w:cs="Calibri"/>
          <w:sz w:val="24"/>
          <w:szCs w:val="24"/>
        </w:rPr>
      </w:pPr>
    </w:p>
    <w:p w14:paraId="349555EB" w14:textId="77777777" w:rsidR="00F21CDC" w:rsidRPr="009F406A" w:rsidRDefault="00F21CDC" w:rsidP="00F21CDC">
      <w:pPr>
        <w:jc w:val="both"/>
        <w:rPr>
          <w:rFonts w:cs="Calibri"/>
          <w:sz w:val="24"/>
          <w:szCs w:val="24"/>
        </w:rPr>
      </w:pPr>
      <w:r w:rsidRPr="009F406A">
        <w:rPr>
          <w:rFonts w:cs="Calibri"/>
          <w:sz w:val="24"/>
          <w:szCs w:val="24"/>
        </w:rPr>
        <w:t>Full communications activities</w:t>
      </w:r>
      <w:r>
        <w:rPr>
          <w:rFonts w:cs="Calibri"/>
          <w:sz w:val="24"/>
          <w:szCs w:val="24"/>
        </w:rPr>
        <w:t xml:space="preserve"> as follows:</w:t>
      </w:r>
    </w:p>
    <w:tbl>
      <w:tblPr>
        <w:tblStyle w:val="TableGrid"/>
        <w:tblW w:w="9634" w:type="dxa"/>
        <w:tblLayout w:type="fixed"/>
        <w:tblLook w:val="04A0" w:firstRow="1" w:lastRow="0" w:firstColumn="1" w:lastColumn="0" w:noHBand="0" w:noVBand="1"/>
      </w:tblPr>
      <w:tblGrid>
        <w:gridCol w:w="5665"/>
        <w:gridCol w:w="3969"/>
      </w:tblGrid>
      <w:tr w:rsidR="00D84BC4" w:rsidRPr="00D20604" w14:paraId="0899C7B7" w14:textId="77777777" w:rsidTr="00196C7D">
        <w:tc>
          <w:tcPr>
            <w:tcW w:w="5665" w:type="dxa"/>
          </w:tcPr>
          <w:p w14:paraId="27B127A3" w14:textId="77777777" w:rsidR="00D84BC4" w:rsidRPr="00C111D9" w:rsidRDefault="00D84BC4" w:rsidP="00C111D9">
            <w:pPr>
              <w:spacing w:after="160" w:line="259" w:lineRule="auto"/>
              <w:rPr>
                <w:rFonts w:asciiTheme="minorHAnsi" w:hAnsiTheme="minorHAnsi" w:cstheme="minorHAnsi"/>
                <w:b/>
                <w:bCs/>
                <w:sz w:val="24"/>
                <w:szCs w:val="24"/>
              </w:rPr>
            </w:pPr>
            <w:r w:rsidRPr="00C111D9">
              <w:rPr>
                <w:rFonts w:asciiTheme="minorHAnsi" w:hAnsiTheme="minorHAnsi" w:cstheme="minorHAnsi"/>
                <w:b/>
                <w:bCs/>
                <w:sz w:val="24"/>
                <w:szCs w:val="24"/>
              </w:rPr>
              <w:t>Audience</w:t>
            </w:r>
          </w:p>
        </w:tc>
        <w:tc>
          <w:tcPr>
            <w:tcW w:w="3969" w:type="dxa"/>
          </w:tcPr>
          <w:p w14:paraId="524A5488" w14:textId="77777777" w:rsidR="00D84BC4" w:rsidRPr="00C111D9" w:rsidRDefault="00D84BC4" w:rsidP="00C111D9">
            <w:pPr>
              <w:spacing w:after="160" w:line="259" w:lineRule="auto"/>
              <w:rPr>
                <w:rFonts w:asciiTheme="minorHAnsi" w:hAnsiTheme="minorHAnsi" w:cstheme="minorHAnsi"/>
                <w:b/>
                <w:bCs/>
                <w:sz w:val="24"/>
                <w:szCs w:val="24"/>
              </w:rPr>
            </w:pPr>
            <w:r w:rsidRPr="00C111D9">
              <w:rPr>
                <w:rFonts w:asciiTheme="minorHAnsi" w:hAnsiTheme="minorHAnsi" w:cstheme="minorHAnsi"/>
                <w:b/>
                <w:bCs/>
                <w:sz w:val="24"/>
                <w:szCs w:val="24"/>
              </w:rPr>
              <w:t>Reach</w:t>
            </w:r>
          </w:p>
        </w:tc>
      </w:tr>
      <w:tr w:rsidR="00D84BC4" w:rsidRPr="00450555" w14:paraId="44530CF5" w14:textId="77777777" w:rsidTr="00196C7D">
        <w:tc>
          <w:tcPr>
            <w:tcW w:w="5665" w:type="dxa"/>
          </w:tcPr>
          <w:p w14:paraId="0E8F76F3" w14:textId="77777777" w:rsidR="00D84BC4" w:rsidRPr="00C111D9" w:rsidRDefault="00D84BC4" w:rsidP="00C111D9">
            <w:pPr>
              <w:spacing w:after="160" w:line="259" w:lineRule="auto"/>
              <w:rPr>
                <w:rFonts w:asciiTheme="minorHAnsi" w:hAnsiTheme="minorHAnsi" w:cstheme="minorHAnsi"/>
                <w:bCs/>
                <w:sz w:val="24"/>
                <w:szCs w:val="24"/>
              </w:rPr>
            </w:pPr>
            <w:r w:rsidRPr="00C111D9">
              <w:rPr>
                <w:rFonts w:asciiTheme="minorHAnsi" w:hAnsiTheme="minorHAnsi" w:cstheme="minorHAnsi"/>
                <w:b/>
                <w:bCs/>
                <w:sz w:val="24"/>
                <w:szCs w:val="24"/>
              </w:rPr>
              <w:t>Stakeholders</w:t>
            </w:r>
          </w:p>
          <w:p w14:paraId="30D2F5FC" w14:textId="77777777" w:rsidR="00D84BC4" w:rsidRPr="00C111D9" w:rsidRDefault="00D84BC4" w:rsidP="00C111D9">
            <w:pPr>
              <w:pStyle w:val="ListParagraph"/>
              <w:numPr>
                <w:ilvl w:val="0"/>
                <w:numId w:val="4"/>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Northamptonshire Talking</w:t>
            </w:r>
          </w:p>
          <w:p w14:paraId="283396BF" w14:textId="77777777" w:rsidR="00D84BC4" w:rsidRPr="00C111D9" w:rsidRDefault="00D84BC4" w:rsidP="00C111D9">
            <w:pPr>
              <w:pStyle w:val="ListParagraph"/>
              <w:numPr>
                <w:ilvl w:val="0"/>
                <w:numId w:val="4"/>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Parish Councils and Town Councils</w:t>
            </w:r>
          </w:p>
          <w:p w14:paraId="5E2ADAD4" w14:textId="77777777" w:rsidR="00D84BC4" w:rsidRPr="00C111D9" w:rsidRDefault="00D84BC4" w:rsidP="00C111D9">
            <w:pPr>
              <w:pStyle w:val="ListParagraph"/>
              <w:numPr>
                <w:ilvl w:val="0"/>
                <w:numId w:val="4"/>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 xml:space="preserve">Councillors for unitary authorities (West Northamptonshire and North Northamptonshire Councils) </w:t>
            </w:r>
          </w:p>
          <w:p w14:paraId="2D19CEC2" w14:textId="77777777" w:rsidR="00D84BC4" w:rsidRPr="00C111D9" w:rsidRDefault="00D84BC4" w:rsidP="00C111D9">
            <w:pPr>
              <w:pStyle w:val="ListParagraph"/>
              <w:numPr>
                <w:ilvl w:val="0"/>
                <w:numId w:val="4"/>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Chief Executives of unitary councils</w:t>
            </w:r>
          </w:p>
          <w:p w14:paraId="521DB6DA" w14:textId="77777777" w:rsidR="00D84BC4" w:rsidRPr="00C111D9" w:rsidRDefault="00D84BC4" w:rsidP="00C111D9">
            <w:pPr>
              <w:pStyle w:val="ListParagraph"/>
              <w:numPr>
                <w:ilvl w:val="0"/>
                <w:numId w:val="4"/>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Police, Fire and Crime Panel members</w:t>
            </w:r>
          </w:p>
          <w:p w14:paraId="58FCA2E2" w14:textId="77777777" w:rsidR="00D84BC4" w:rsidRPr="00C111D9" w:rsidRDefault="00D84BC4" w:rsidP="00C111D9">
            <w:pPr>
              <w:pStyle w:val="ListParagraph"/>
              <w:numPr>
                <w:ilvl w:val="0"/>
                <w:numId w:val="4"/>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MPs</w:t>
            </w:r>
          </w:p>
          <w:p w14:paraId="6F01A233" w14:textId="77777777" w:rsidR="00D84BC4" w:rsidRPr="00C111D9" w:rsidRDefault="00D84BC4" w:rsidP="00C111D9">
            <w:pPr>
              <w:pStyle w:val="ListParagraph"/>
              <w:numPr>
                <w:ilvl w:val="0"/>
                <w:numId w:val="4"/>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Local organisations (such as WI)</w:t>
            </w:r>
          </w:p>
          <w:p w14:paraId="2CB86029" w14:textId="77777777" w:rsidR="00D84BC4" w:rsidRPr="00C111D9" w:rsidRDefault="00D84BC4" w:rsidP="00C111D9">
            <w:pPr>
              <w:pStyle w:val="ListParagraph"/>
              <w:numPr>
                <w:ilvl w:val="0"/>
                <w:numId w:val="4"/>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Schools</w:t>
            </w:r>
          </w:p>
          <w:p w14:paraId="384DD272" w14:textId="77777777" w:rsidR="00D84BC4" w:rsidRPr="00C111D9" w:rsidRDefault="00D84BC4" w:rsidP="00C111D9">
            <w:pPr>
              <w:pStyle w:val="ListParagraph"/>
              <w:numPr>
                <w:ilvl w:val="0"/>
                <w:numId w:val="4"/>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Businesses (including Retail Crime Partnership)</w:t>
            </w:r>
          </w:p>
          <w:p w14:paraId="1C8F392E" w14:textId="77777777" w:rsidR="00D84BC4" w:rsidRPr="00C111D9" w:rsidRDefault="00D84BC4" w:rsidP="00C111D9">
            <w:pPr>
              <w:pStyle w:val="ListParagraph"/>
              <w:numPr>
                <w:ilvl w:val="0"/>
                <w:numId w:val="4"/>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lastRenderedPageBreak/>
              <w:t>Independent Custody Visitors</w:t>
            </w:r>
          </w:p>
          <w:p w14:paraId="3D91646A" w14:textId="77777777" w:rsidR="00D84BC4" w:rsidRPr="00C111D9" w:rsidRDefault="00D84BC4" w:rsidP="00C111D9">
            <w:pPr>
              <w:pStyle w:val="ListParagraph"/>
              <w:numPr>
                <w:ilvl w:val="0"/>
                <w:numId w:val="4"/>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Independent Advisory Group members</w:t>
            </w:r>
          </w:p>
          <w:p w14:paraId="0DC61406" w14:textId="77777777" w:rsidR="00D84BC4" w:rsidRPr="00C111D9" w:rsidRDefault="00D84BC4" w:rsidP="00C111D9">
            <w:pPr>
              <w:pStyle w:val="ListParagraph"/>
              <w:numPr>
                <w:ilvl w:val="0"/>
                <w:numId w:val="4"/>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Road Safety Panel</w:t>
            </w:r>
          </w:p>
          <w:p w14:paraId="02FAD1AC" w14:textId="77777777" w:rsidR="00D84BC4" w:rsidRPr="00C111D9" w:rsidRDefault="00D84BC4" w:rsidP="00C111D9">
            <w:pPr>
              <w:pStyle w:val="ListParagraph"/>
              <w:numPr>
                <w:ilvl w:val="0"/>
                <w:numId w:val="4"/>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Rural interest groups (including NFU, Canal &amp; Rivers Trust)</w:t>
            </w:r>
          </w:p>
          <w:p w14:paraId="6B4A5C65" w14:textId="77777777" w:rsidR="00D84BC4" w:rsidRPr="00C111D9" w:rsidRDefault="00D84BC4" w:rsidP="00C111D9">
            <w:pPr>
              <w:pStyle w:val="ListParagraph"/>
              <w:numPr>
                <w:ilvl w:val="0"/>
                <w:numId w:val="4"/>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Hotels</w:t>
            </w:r>
          </w:p>
          <w:p w14:paraId="1EC76F47" w14:textId="77777777" w:rsidR="00D84BC4" w:rsidRPr="00C111D9" w:rsidRDefault="00D84BC4" w:rsidP="00C111D9">
            <w:pPr>
              <w:pStyle w:val="ListParagraph"/>
              <w:numPr>
                <w:ilvl w:val="0"/>
                <w:numId w:val="4"/>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Local and hyper local publications</w:t>
            </w:r>
          </w:p>
          <w:p w14:paraId="6404C671" w14:textId="77777777" w:rsidR="00D84BC4" w:rsidRPr="00C111D9" w:rsidRDefault="00D84BC4" w:rsidP="00C111D9">
            <w:pPr>
              <w:pStyle w:val="ListParagraph"/>
              <w:numPr>
                <w:ilvl w:val="0"/>
                <w:numId w:val="4"/>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Neighbourhood Watch Management Committee</w:t>
            </w:r>
          </w:p>
          <w:p w14:paraId="263DBA1D" w14:textId="77777777" w:rsidR="00D84BC4" w:rsidRPr="00C111D9" w:rsidRDefault="00D84BC4" w:rsidP="00C111D9">
            <w:pPr>
              <w:pStyle w:val="ListParagraph"/>
              <w:numPr>
                <w:ilvl w:val="0"/>
                <w:numId w:val="4"/>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Community Safety Managers at local authorities</w:t>
            </w:r>
          </w:p>
          <w:p w14:paraId="2919B4F1" w14:textId="77777777" w:rsidR="00D84BC4" w:rsidRPr="00C111D9" w:rsidRDefault="00D84BC4" w:rsidP="00C111D9">
            <w:pPr>
              <w:pStyle w:val="ListParagraph"/>
              <w:numPr>
                <w:ilvl w:val="0"/>
                <w:numId w:val="4"/>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Joint Action Groups</w:t>
            </w:r>
          </w:p>
          <w:p w14:paraId="5A3F4330" w14:textId="77777777" w:rsidR="00D84BC4" w:rsidRPr="00C111D9" w:rsidRDefault="00D84BC4" w:rsidP="00C111D9">
            <w:pPr>
              <w:pStyle w:val="ListParagraph"/>
              <w:numPr>
                <w:ilvl w:val="0"/>
                <w:numId w:val="4"/>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Northamptonshire Association of Local Councils</w:t>
            </w:r>
          </w:p>
          <w:p w14:paraId="480166C6" w14:textId="77777777" w:rsidR="00D84BC4" w:rsidRPr="00C111D9" w:rsidRDefault="00D84BC4" w:rsidP="00C111D9">
            <w:pPr>
              <w:pStyle w:val="ListParagraph"/>
              <w:numPr>
                <w:ilvl w:val="0"/>
                <w:numId w:val="4"/>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Police Liaison Representatives</w:t>
            </w:r>
          </w:p>
          <w:p w14:paraId="78D087B4" w14:textId="77777777" w:rsidR="00D84BC4" w:rsidRPr="00C111D9" w:rsidRDefault="00D84BC4" w:rsidP="00C111D9">
            <w:pPr>
              <w:pStyle w:val="ListParagraph"/>
              <w:numPr>
                <w:ilvl w:val="0"/>
                <w:numId w:val="4"/>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Local Criminal Justice Boards</w:t>
            </w:r>
          </w:p>
        </w:tc>
        <w:tc>
          <w:tcPr>
            <w:tcW w:w="3969" w:type="dxa"/>
          </w:tcPr>
          <w:p w14:paraId="4BBDABD7" w14:textId="77777777" w:rsidR="00F21CDC" w:rsidRPr="00C111D9" w:rsidRDefault="00F21CDC" w:rsidP="00C111D9">
            <w:pPr>
              <w:spacing w:after="160" w:line="259" w:lineRule="auto"/>
              <w:rPr>
                <w:rFonts w:asciiTheme="minorHAnsi" w:hAnsiTheme="minorHAnsi" w:cstheme="minorHAnsi"/>
                <w:sz w:val="24"/>
                <w:szCs w:val="24"/>
              </w:rPr>
            </w:pPr>
          </w:p>
          <w:p w14:paraId="72F2F30F" w14:textId="388E7224" w:rsidR="00D84BC4" w:rsidRPr="00C111D9" w:rsidRDefault="00D84BC4" w:rsidP="00C111D9">
            <w:pPr>
              <w:spacing w:after="160" w:line="259" w:lineRule="auto"/>
              <w:rPr>
                <w:rFonts w:asciiTheme="minorHAnsi" w:hAnsiTheme="minorHAnsi" w:cstheme="minorHAnsi"/>
                <w:sz w:val="24"/>
                <w:szCs w:val="24"/>
              </w:rPr>
            </w:pPr>
            <w:r w:rsidRPr="00C111D9">
              <w:rPr>
                <w:rFonts w:asciiTheme="minorHAnsi" w:hAnsiTheme="minorHAnsi" w:cstheme="minorHAnsi"/>
                <w:sz w:val="24"/>
                <w:szCs w:val="24"/>
              </w:rPr>
              <w:t>More than 33,000 emails were read from alerts sent on Northamptonshire Talking.</w:t>
            </w:r>
          </w:p>
          <w:p w14:paraId="6D636B3A" w14:textId="77777777" w:rsidR="00D84BC4" w:rsidRPr="00C111D9" w:rsidRDefault="00D84BC4" w:rsidP="00C111D9">
            <w:pPr>
              <w:spacing w:after="160" w:line="259" w:lineRule="auto"/>
              <w:rPr>
                <w:rFonts w:asciiTheme="minorHAnsi" w:hAnsiTheme="minorHAnsi" w:cstheme="minorHAnsi"/>
                <w:sz w:val="24"/>
                <w:szCs w:val="24"/>
              </w:rPr>
            </w:pPr>
          </w:p>
          <w:p w14:paraId="1A1575C0" w14:textId="77777777" w:rsidR="00D84BC4" w:rsidRPr="00C111D9" w:rsidRDefault="00D84BC4" w:rsidP="00C111D9">
            <w:pPr>
              <w:spacing w:after="160" w:line="259" w:lineRule="auto"/>
              <w:rPr>
                <w:rFonts w:asciiTheme="minorHAnsi" w:hAnsiTheme="minorHAnsi" w:cstheme="minorHAnsi"/>
                <w:sz w:val="24"/>
                <w:szCs w:val="24"/>
              </w:rPr>
            </w:pPr>
            <w:r w:rsidRPr="00C111D9">
              <w:rPr>
                <w:rFonts w:asciiTheme="minorHAnsi" w:hAnsiTheme="minorHAnsi" w:cstheme="minorHAnsi"/>
                <w:sz w:val="24"/>
                <w:szCs w:val="24"/>
              </w:rPr>
              <w:t>Emails were sent to all 154 unitary councillors, and 272 contacts at parish councils across the county, asking them to cascade and share the consultation.</w:t>
            </w:r>
          </w:p>
        </w:tc>
      </w:tr>
      <w:tr w:rsidR="00D84BC4" w:rsidRPr="00450555" w14:paraId="26545D90" w14:textId="77777777" w:rsidTr="00196C7D">
        <w:tc>
          <w:tcPr>
            <w:tcW w:w="5665" w:type="dxa"/>
          </w:tcPr>
          <w:p w14:paraId="4124F469" w14:textId="77777777" w:rsidR="00D84BC4" w:rsidRPr="00C111D9" w:rsidRDefault="00D84BC4" w:rsidP="00C111D9">
            <w:pPr>
              <w:spacing w:after="160" w:line="259" w:lineRule="auto"/>
              <w:rPr>
                <w:rFonts w:asciiTheme="minorHAnsi" w:hAnsiTheme="minorHAnsi" w:cstheme="minorHAnsi"/>
                <w:b/>
                <w:bCs/>
                <w:sz w:val="24"/>
                <w:szCs w:val="24"/>
              </w:rPr>
            </w:pPr>
            <w:r w:rsidRPr="00C111D9">
              <w:rPr>
                <w:rFonts w:asciiTheme="minorHAnsi" w:hAnsiTheme="minorHAnsi" w:cstheme="minorHAnsi"/>
                <w:b/>
                <w:bCs/>
                <w:sz w:val="24"/>
                <w:szCs w:val="24"/>
              </w:rPr>
              <w:t>Internal</w:t>
            </w:r>
          </w:p>
          <w:p w14:paraId="41C13F14" w14:textId="77777777" w:rsidR="00D84BC4" w:rsidRPr="00C111D9" w:rsidRDefault="00D84BC4" w:rsidP="00C111D9">
            <w:pPr>
              <w:pStyle w:val="ListParagraph"/>
              <w:numPr>
                <w:ilvl w:val="0"/>
                <w:numId w:val="4"/>
              </w:numPr>
              <w:spacing w:after="160" w:line="259" w:lineRule="auto"/>
              <w:rPr>
                <w:rFonts w:asciiTheme="minorHAnsi" w:hAnsiTheme="minorHAnsi" w:cstheme="minorHAnsi"/>
                <w:sz w:val="24"/>
                <w:szCs w:val="24"/>
              </w:rPr>
            </w:pPr>
            <w:r w:rsidRPr="00C111D9">
              <w:rPr>
                <w:rFonts w:asciiTheme="minorHAnsi" w:hAnsiTheme="minorHAnsi" w:cstheme="minorHAnsi"/>
                <w:sz w:val="24"/>
                <w:szCs w:val="24"/>
              </w:rPr>
              <w:t>News item on Forcenet – The Northamptonshire Police intranet viewed by all officers and staff</w:t>
            </w:r>
          </w:p>
          <w:p w14:paraId="2D9DC16D" w14:textId="77777777" w:rsidR="00D84BC4" w:rsidRPr="00C111D9" w:rsidRDefault="00D84BC4" w:rsidP="00C111D9">
            <w:pPr>
              <w:pStyle w:val="ListParagraph"/>
              <w:numPr>
                <w:ilvl w:val="0"/>
                <w:numId w:val="4"/>
              </w:numPr>
              <w:spacing w:after="160" w:line="259" w:lineRule="auto"/>
              <w:rPr>
                <w:rFonts w:asciiTheme="minorHAnsi" w:hAnsiTheme="minorHAnsi" w:cstheme="minorHAnsi"/>
                <w:sz w:val="24"/>
                <w:szCs w:val="24"/>
              </w:rPr>
            </w:pPr>
            <w:r w:rsidRPr="00C111D9">
              <w:rPr>
                <w:rFonts w:asciiTheme="minorHAnsi" w:hAnsiTheme="minorHAnsi" w:cstheme="minorHAnsi"/>
                <w:sz w:val="24"/>
                <w:szCs w:val="24"/>
              </w:rPr>
              <w:t>All staff email to OPFCC</w:t>
            </w:r>
          </w:p>
          <w:p w14:paraId="1812404D" w14:textId="77777777" w:rsidR="00D84BC4" w:rsidRPr="00C111D9" w:rsidRDefault="00D84BC4" w:rsidP="00C111D9">
            <w:pPr>
              <w:pStyle w:val="ListParagraph"/>
              <w:numPr>
                <w:ilvl w:val="0"/>
                <w:numId w:val="4"/>
              </w:numPr>
              <w:spacing w:after="160" w:line="259" w:lineRule="auto"/>
              <w:rPr>
                <w:rFonts w:asciiTheme="minorHAnsi" w:hAnsiTheme="minorHAnsi" w:cstheme="minorHAnsi"/>
                <w:sz w:val="24"/>
                <w:szCs w:val="24"/>
              </w:rPr>
            </w:pPr>
            <w:r w:rsidRPr="00C111D9">
              <w:rPr>
                <w:rFonts w:asciiTheme="minorHAnsi" w:hAnsiTheme="minorHAnsi" w:cstheme="minorHAnsi"/>
                <w:sz w:val="24"/>
                <w:szCs w:val="24"/>
              </w:rPr>
              <w:t>News item on Northamptonshire Fire and Rescue Service intranet for Firefighters and staff – repeated twice during the survey period</w:t>
            </w:r>
          </w:p>
          <w:p w14:paraId="0F398B50" w14:textId="77777777" w:rsidR="00D84BC4" w:rsidRPr="00C111D9" w:rsidRDefault="00D84BC4" w:rsidP="00C111D9">
            <w:pPr>
              <w:pStyle w:val="ListParagraph"/>
              <w:numPr>
                <w:ilvl w:val="0"/>
                <w:numId w:val="4"/>
              </w:numPr>
              <w:spacing w:after="160" w:line="259" w:lineRule="auto"/>
              <w:rPr>
                <w:rFonts w:asciiTheme="minorHAnsi" w:hAnsiTheme="minorHAnsi" w:cstheme="minorHAnsi"/>
                <w:sz w:val="24"/>
                <w:szCs w:val="24"/>
              </w:rPr>
            </w:pPr>
            <w:r w:rsidRPr="00C111D9">
              <w:rPr>
                <w:rFonts w:asciiTheme="minorHAnsi" w:hAnsiTheme="minorHAnsi" w:cstheme="minorHAnsi"/>
                <w:sz w:val="24"/>
                <w:szCs w:val="24"/>
              </w:rPr>
              <w:t>Daily Orders – link to item on Forcenet directing police staff to survey</w:t>
            </w:r>
          </w:p>
          <w:p w14:paraId="2DA23E86" w14:textId="77777777" w:rsidR="00D84BC4" w:rsidRPr="00C111D9" w:rsidRDefault="00D84BC4" w:rsidP="00C111D9">
            <w:pPr>
              <w:pStyle w:val="ListParagraph"/>
              <w:numPr>
                <w:ilvl w:val="0"/>
                <w:numId w:val="4"/>
              </w:numPr>
              <w:spacing w:after="160" w:line="259" w:lineRule="auto"/>
              <w:rPr>
                <w:rFonts w:asciiTheme="minorHAnsi" w:hAnsiTheme="minorHAnsi" w:cstheme="minorHAnsi"/>
                <w:sz w:val="24"/>
                <w:szCs w:val="24"/>
              </w:rPr>
            </w:pPr>
            <w:r w:rsidRPr="00C111D9">
              <w:rPr>
                <w:rFonts w:asciiTheme="minorHAnsi" w:hAnsiTheme="minorHAnsi" w:cstheme="minorHAnsi"/>
                <w:sz w:val="24"/>
                <w:szCs w:val="24"/>
              </w:rPr>
              <w:t>Chief Officer vlog and blogs for both Northamptonshire Police and Northamptonshire Fire and Rescue Service</w:t>
            </w:r>
          </w:p>
          <w:p w14:paraId="444578F1" w14:textId="77777777" w:rsidR="00D84BC4" w:rsidRPr="00C111D9" w:rsidRDefault="00D84BC4" w:rsidP="00C111D9">
            <w:pPr>
              <w:pStyle w:val="ListParagraph"/>
              <w:numPr>
                <w:ilvl w:val="0"/>
                <w:numId w:val="4"/>
              </w:numPr>
              <w:spacing w:after="160" w:line="259" w:lineRule="auto"/>
              <w:rPr>
                <w:rFonts w:asciiTheme="minorHAnsi" w:hAnsiTheme="minorHAnsi" w:cstheme="minorHAnsi"/>
                <w:sz w:val="24"/>
                <w:szCs w:val="24"/>
              </w:rPr>
            </w:pPr>
            <w:r w:rsidRPr="00C111D9">
              <w:rPr>
                <w:rFonts w:asciiTheme="minorHAnsi" w:hAnsiTheme="minorHAnsi" w:cstheme="minorHAnsi"/>
                <w:sz w:val="24"/>
                <w:szCs w:val="24"/>
              </w:rPr>
              <w:t>Splash screen survey message on every computer across OPFCC, Fire and Police</w:t>
            </w:r>
          </w:p>
          <w:p w14:paraId="383D7C5C" w14:textId="77777777" w:rsidR="00D84BC4" w:rsidRPr="00C111D9" w:rsidRDefault="00D84BC4" w:rsidP="00C111D9">
            <w:pPr>
              <w:pStyle w:val="ListParagraph"/>
              <w:numPr>
                <w:ilvl w:val="0"/>
                <w:numId w:val="4"/>
              </w:numPr>
              <w:spacing w:after="160" w:line="259" w:lineRule="auto"/>
              <w:rPr>
                <w:rFonts w:asciiTheme="minorHAnsi" w:hAnsiTheme="minorHAnsi" w:cstheme="minorHAnsi"/>
                <w:b/>
                <w:sz w:val="24"/>
                <w:szCs w:val="24"/>
              </w:rPr>
            </w:pPr>
            <w:r w:rsidRPr="00C111D9">
              <w:rPr>
                <w:rFonts w:asciiTheme="minorHAnsi" w:hAnsiTheme="minorHAnsi" w:cstheme="minorHAnsi"/>
                <w:sz w:val="24"/>
                <w:szCs w:val="24"/>
              </w:rPr>
              <w:t>Repeated messaging during bi-weekly Pacesetter meetings for senior firefighters with requests to cascade</w:t>
            </w:r>
          </w:p>
        </w:tc>
        <w:tc>
          <w:tcPr>
            <w:tcW w:w="3969" w:type="dxa"/>
          </w:tcPr>
          <w:p w14:paraId="29D8A1DA" w14:textId="77777777" w:rsidR="00D84BC4" w:rsidRPr="00C111D9" w:rsidRDefault="00D84BC4" w:rsidP="00C111D9">
            <w:pPr>
              <w:rPr>
                <w:rFonts w:asciiTheme="minorHAnsi" w:hAnsiTheme="minorHAnsi" w:cstheme="minorHAnsi"/>
                <w:sz w:val="24"/>
                <w:szCs w:val="24"/>
              </w:rPr>
            </w:pPr>
          </w:p>
          <w:p w14:paraId="76C5E628" w14:textId="77777777" w:rsidR="00D84BC4" w:rsidRPr="00C111D9" w:rsidRDefault="00D84BC4" w:rsidP="00C111D9">
            <w:pPr>
              <w:rPr>
                <w:rFonts w:asciiTheme="minorHAnsi" w:hAnsiTheme="minorHAnsi" w:cstheme="minorHAnsi"/>
                <w:sz w:val="24"/>
                <w:szCs w:val="24"/>
              </w:rPr>
            </w:pPr>
            <w:r w:rsidRPr="00C111D9">
              <w:rPr>
                <w:rFonts w:asciiTheme="minorHAnsi" w:hAnsiTheme="minorHAnsi" w:cstheme="minorHAnsi"/>
                <w:sz w:val="24"/>
                <w:szCs w:val="24"/>
              </w:rPr>
              <w:t>News release was published on respective intranets on 28</w:t>
            </w:r>
            <w:r w:rsidRPr="00C111D9">
              <w:rPr>
                <w:rFonts w:asciiTheme="minorHAnsi" w:hAnsiTheme="minorHAnsi" w:cstheme="minorHAnsi"/>
                <w:sz w:val="24"/>
                <w:szCs w:val="24"/>
                <w:vertAlign w:val="superscript"/>
              </w:rPr>
              <w:t>th</w:t>
            </w:r>
            <w:r w:rsidRPr="00C111D9">
              <w:rPr>
                <w:rFonts w:asciiTheme="minorHAnsi" w:hAnsiTheme="minorHAnsi" w:cstheme="minorHAnsi"/>
                <w:sz w:val="24"/>
                <w:szCs w:val="24"/>
              </w:rPr>
              <w:t xml:space="preserve"> November and reminder news release was published on 31</w:t>
            </w:r>
            <w:r w:rsidRPr="00C111D9">
              <w:rPr>
                <w:rFonts w:asciiTheme="minorHAnsi" w:hAnsiTheme="minorHAnsi" w:cstheme="minorHAnsi"/>
                <w:sz w:val="24"/>
                <w:szCs w:val="24"/>
                <w:vertAlign w:val="superscript"/>
              </w:rPr>
              <w:t>st</w:t>
            </w:r>
            <w:r w:rsidRPr="00C111D9">
              <w:rPr>
                <w:rFonts w:asciiTheme="minorHAnsi" w:hAnsiTheme="minorHAnsi" w:cstheme="minorHAnsi"/>
                <w:sz w:val="24"/>
                <w:szCs w:val="24"/>
              </w:rPr>
              <w:t xml:space="preserve"> December.</w:t>
            </w:r>
          </w:p>
          <w:p w14:paraId="211B950E" w14:textId="77777777" w:rsidR="00D84BC4" w:rsidRPr="00C111D9" w:rsidRDefault="00D84BC4" w:rsidP="00C111D9">
            <w:pPr>
              <w:rPr>
                <w:rFonts w:asciiTheme="minorHAnsi" w:hAnsiTheme="minorHAnsi" w:cstheme="minorHAnsi"/>
                <w:sz w:val="24"/>
                <w:szCs w:val="24"/>
              </w:rPr>
            </w:pPr>
          </w:p>
          <w:p w14:paraId="3A31EBC4" w14:textId="77777777" w:rsidR="00D84BC4" w:rsidRPr="00C111D9" w:rsidRDefault="00D84BC4" w:rsidP="00C111D9">
            <w:pPr>
              <w:rPr>
                <w:rFonts w:asciiTheme="minorHAnsi" w:hAnsiTheme="minorHAnsi" w:cstheme="minorHAnsi"/>
                <w:sz w:val="24"/>
                <w:szCs w:val="24"/>
              </w:rPr>
            </w:pPr>
            <w:r w:rsidRPr="00C111D9">
              <w:rPr>
                <w:rFonts w:asciiTheme="minorHAnsi" w:hAnsiTheme="minorHAnsi" w:cstheme="minorHAnsi"/>
                <w:sz w:val="24"/>
                <w:szCs w:val="24"/>
              </w:rPr>
              <w:t>Intranet articles and all staff email sent to more than 3,000 police officers, police staff, firefighters, fire staff, enabling services staff and OPFCC staff.</w:t>
            </w:r>
          </w:p>
          <w:p w14:paraId="282E8217" w14:textId="77777777" w:rsidR="00D84BC4" w:rsidRPr="00C111D9" w:rsidRDefault="00D84BC4" w:rsidP="00C111D9">
            <w:pPr>
              <w:rPr>
                <w:rFonts w:asciiTheme="minorHAnsi" w:hAnsiTheme="minorHAnsi" w:cstheme="minorHAnsi"/>
                <w:sz w:val="24"/>
                <w:szCs w:val="24"/>
              </w:rPr>
            </w:pPr>
          </w:p>
          <w:p w14:paraId="3947DA8C" w14:textId="1E52B98D" w:rsidR="00D84BC4" w:rsidRPr="00C111D9" w:rsidRDefault="00D84BC4" w:rsidP="00C111D9">
            <w:pPr>
              <w:rPr>
                <w:rFonts w:asciiTheme="minorHAnsi" w:hAnsiTheme="minorHAnsi" w:cstheme="minorHAnsi"/>
                <w:sz w:val="24"/>
                <w:szCs w:val="24"/>
              </w:rPr>
            </w:pPr>
            <w:r w:rsidRPr="00C111D9">
              <w:rPr>
                <w:rFonts w:asciiTheme="minorHAnsi" w:hAnsiTheme="minorHAnsi" w:cstheme="minorHAnsi"/>
                <w:sz w:val="24"/>
                <w:szCs w:val="24"/>
              </w:rPr>
              <w:t>Physical assets such as posters, business cards and leaflets were available for police staff and firefighters to distribute at public events they were attending.</w:t>
            </w:r>
          </w:p>
          <w:p w14:paraId="14980068" w14:textId="77777777" w:rsidR="00D84BC4" w:rsidRPr="00C111D9" w:rsidRDefault="00D84BC4" w:rsidP="00C111D9">
            <w:pPr>
              <w:rPr>
                <w:rFonts w:asciiTheme="minorHAnsi" w:hAnsiTheme="minorHAnsi" w:cstheme="minorHAnsi"/>
                <w:sz w:val="24"/>
                <w:szCs w:val="24"/>
              </w:rPr>
            </w:pPr>
            <w:r w:rsidRPr="00C111D9">
              <w:rPr>
                <w:rFonts w:asciiTheme="minorHAnsi" w:hAnsiTheme="minorHAnsi" w:cstheme="minorHAnsi"/>
                <w:sz w:val="24"/>
                <w:szCs w:val="24"/>
              </w:rPr>
              <w:t>529 views (police vlog)</w:t>
            </w:r>
          </w:p>
        </w:tc>
      </w:tr>
      <w:tr w:rsidR="00D84BC4" w:rsidRPr="00450555" w14:paraId="09FB8755" w14:textId="77777777" w:rsidTr="00196C7D">
        <w:tc>
          <w:tcPr>
            <w:tcW w:w="5665" w:type="dxa"/>
          </w:tcPr>
          <w:p w14:paraId="0D96379B" w14:textId="77777777" w:rsidR="00D84BC4" w:rsidRPr="00C111D9" w:rsidRDefault="00D84BC4" w:rsidP="00C111D9">
            <w:pPr>
              <w:spacing w:after="160" w:line="259" w:lineRule="auto"/>
              <w:rPr>
                <w:rFonts w:asciiTheme="minorHAnsi" w:hAnsiTheme="minorHAnsi" w:cstheme="minorHAnsi"/>
                <w:b/>
                <w:bCs/>
                <w:sz w:val="24"/>
                <w:szCs w:val="24"/>
              </w:rPr>
            </w:pPr>
            <w:r w:rsidRPr="00C111D9">
              <w:rPr>
                <w:rFonts w:asciiTheme="minorHAnsi" w:hAnsiTheme="minorHAnsi" w:cstheme="minorHAnsi"/>
                <w:b/>
                <w:bCs/>
                <w:sz w:val="24"/>
                <w:szCs w:val="24"/>
              </w:rPr>
              <w:t>Key Internal Stakeholders</w:t>
            </w:r>
          </w:p>
          <w:p w14:paraId="56DFE410" w14:textId="77777777" w:rsidR="00D84BC4" w:rsidRPr="00C111D9" w:rsidRDefault="00D84BC4" w:rsidP="00C111D9">
            <w:pPr>
              <w:numPr>
                <w:ilvl w:val="0"/>
                <w:numId w:val="2"/>
              </w:numPr>
              <w:spacing w:line="240" w:lineRule="auto"/>
              <w:rPr>
                <w:rFonts w:asciiTheme="minorHAnsi" w:hAnsiTheme="minorHAnsi" w:cstheme="minorHAnsi"/>
                <w:sz w:val="24"/>
                <w:szCs w:val="24"/>
              </w:rPr>
            </w:pPr>
            <w:r w:rsidRPr="00C111D9">
              <w:rPr>
                <w:rFonts w:asciiTheme="minorHAnsi" w:hAnsiTheme="minorHAnsi" w:cstheme="minorHAnsi"/>
                <w:sz w:val="24"/>
                <w:szCs w:val="24"/>
              </w:rPr>
              <w:t>Northamptonshire Police Chief Officers</w:t>
            </w:r>
          </w:p>
          <w:p w14:paraId="663D20D6" w14:textId="77777777" w:rsidR="00D84BC4" w:rsidRPr="00C111D9" w:rsidRDefault="00D84BC4" w:rsidP="00C111D9">
            <w:pPr>
              <w:numPr>
                <w:ilvl w:val="0"/>
                <w:numId w:val="2"/>
              </w:numPr>
              <w:spacing w:line="240" w:lineRule="auto"/>
              <w:rPr>
                <w:rFonts w:asciiTheme="minorHAnsi" w:hAnsiTheme="minorHAnsi" w:cstheme="minorHAnsi"/>
                <w:sz w:val="24"/>
                <w:szCs w:val="24"/>
              </w:rPr>
            </w:pPr>
            <w:r w:rsidRPr="00C111D9">
              <w:rPr>
                <w:rFonts w:asciiTheme="minorHAnsi" w:hAnsiTheme="minorHAnsi" w:cstheme="minorHAnsi"/>
                <w:sz w:val="24"/>
                <w:szCs w:val="24"/>
              </w:rPr>
              <w:t xml:space="preserve">Northamptonshire Fire and Rescue Service (NFRS) Senior Leadership Team </w:t>
            </w:r>
          </w:p>
          <w:p w14:paraId="5221A894" w14:textId="77777777" w:rsidR="00D84BC4" w:rsidRPr="00C111D9" w:rsidRDefault="00D84BC4" w:rsidP="00C111D9">
            <w:pPr>
              <w:numPr>
                <w:ilvl w:val="0"/>
                <w:numId w:val="2"/>
              </w:numPr>
              <w:spacing w:line="240" w:lineRule="auto"/>
              <w:rPr>
                <w:rFonts w:asciiTheme="minorHAnsi" w:hAnsiTheme="minorHAnsi" w:cstheme="minorHAnsi"/>
                <w:sz w:val="24"/>
                <w:szCs w:val="24"/>
              </w:rPr>
            </w:pPr>
            <w:r w:rsidRPr="00C111D9">
              <w:rPr>
                <w:rFonts w:asciiTheme="minorHAnsi" w:hAnsiTheme="minorHAnsi" w:cstheme="minorHAnsi"/>
                <w:sz w:val="24"/>
                <w:szCs w:val="24"/>
              </w:rPr>
              <w:t>Directors in the Office of the Police, Fire and Crime Commissioner (OPFCC)</w:t>
            </w:r>
          </w:p>
          <w:p w14:paraId="704D12C0" w14:textId="77777777" w:rsidR="00D84BC4" w:rsidRPr="00C111D9" w:rsidRDefault="00D84BC4" w:rsidP="00C111D9">
            <w:pPr>
              <w:numPr>
                <w:ilvl w:val="0"/>
                <w:numId w:val="2"/>
              </w:numPr>
              <w:spacing w:line="240" w:lineRule="auto"/>
              <w:rPr>
                <w:rFonts w:asciiTheme="minorHAnsi" w:hAnsiTheme="minorHAnsi" w:cstheme="minorHAnsi"/>
                <w:sz w:val="24"/>
                <w:szCs w:val="24"/>
              </w:rPr>
            </w:pPr>
            <w:r w:rsidRPr="00C111D9">
              <w:rPr>
                <w:rFonts w:asciiTheme="minorHAnsi" w:hAnsiTheme="minorHAnsi" w:cstheme="minorHAnsi"/>
                <w:sz w:val="24"/>
                <w:szCs w:val="24"/>
              </w:rPr>
              <w:t>OPFCC Customer Service team</w:t>
            </w:r>
          </w:p>
          <w:p w14:paraId="57D5398C" w14:textId="77777777" w:rsidR="00D84BC4" w:rsidRPr="00C111D9" w:rsidRDefault="00D84BC4" w:rsidP="00C111D9">
            <w:pPr>
              <w:numPr>
                <w:ilvl w:val="0"/>
                <w:numId w:val="2"/>
              </w:numPr>
              <w:spacing w:line="240" w:lineRule="auto"/>
              <w:rPr>
                <w:rFonts w:asciiTheme="minorHAnsi" w:hAnsiTheme="minorHAnsi" w:cstheme="minorHAnsi"/>
                <w:sz w:val="24"/>
                <w:szCs w:val="24"/>
              </w:rPr>
            </w:pPr>
            <w:r w:rsidRPr="00C111D9">
              <w:rPr>
                <w:rFonts w:asciiTheme="minorHAnsi" w:hAnsiTheme="minorHAnsi" w:cstheme="minorHAnsi"/>
                <w:sz w:val="24"/>
                <w:szCs w:val="24"/>
              </w:rPr>
              <w:t>Police Federation</w:t>
            </w:r>
          </w:p>
          <w:p w14:paraId="2A0D9BFC" w14:textId="77777777" w:rsidR="00D84BC4" w:rsidRPr="00C111D9" w:rsidRDefault="00D84BC4" w:rsidP="00C111D9">
            <w:pPr>
              <w:numPr>
                <w:ilvl w:val="0"/>
                <w:numId w:val="2"/>
              </w:numPr>
              <w:spacing w:line="240" w:lineRule="auto"/>
              <w:rPr>
                <w:rFonts w:asciiTheme="minorHAnsi" w:hAnsiTheme="minorHAnsi" w:cstheme="minorHAnsi"/>
                <w:sz w:val="24"/>
                <w:szCs w:val="24"/>
              </w:rPr>
            </w:pPr>
            <w:r w:rsidRPr="00C111D9">
              <w:rPr>
                <w:rFonts w:asciiTheme="minorHAnsi" w:hAnsiTheme="minorHAnsi" w:cstheme="minorHAnsi"/>
                <w:sz w:val="24"/>
                <w:szCs w:val="24"/>
              </w:rPr>
              <w:t>Unison</w:t>
            </w:r>
          </w:p>
          <w:p w14:paraId="6725CA24" w14:textId="77777777" w:rsidR="00D84BC4" w:rsidRPr="00C111D9" w:rsidRDefault="00D84BC4" w:rsidP="00C111D9">
            <w:pPr>
              <w:numPr>
                <w:ilvl w:val="0"/>
                <w:numId w:val="2"/>
              </w:numPr>
              <w:spacing w:line="240" w:lineRule="auto"/>
              <w:rPr>
                <w:rFonts w:asciiTheme="minorHAnsi" w:hAnsiTheme="minorHAnsi" w:cstheme="minorHAnsi"/>
                <w:sz w:val="24"/>
                <w:szCs w:val="24"/>
              </w:rPr>
            </w:pPr>
            <w:r w:rsidRPr="00C111D9">
              <w:rPr>
                <w:rFonts w:asciiTheme="minorHAnsi" w:hAnsiTheme="minorHAnsi" w:cstheme="minorHAnsi"/>
                <w:sz w:val="24"/>
                <w:szCs w:val="24"/>
              </w:rPr>
              <w:t>Police Superintendents’ Association</w:t>
            </w:r>
          </w:p>
          <w:p w14:paraId="2FC8BEBD" w14:textId="77777777" w:rsidR="00D84BC4" w:rsidRPr="00C111D9" w:rsidRDefault="00D84BC4" w:rsidP="00C111D9">
            <w:pPr>
              <w:numPr>
                <w:ilvl w:val="0"/>
                <w:numId w:val="2"/>
              </w:numPr>
              <w:spacing w:line="240" w:lineRule="auto"/>
              <w:rPr>
                <w:rFonts w:asciiTheme="minorHAnsi" w:hAnsiTheme="minorHAnsi" w:cstheme="minorHAnsi"/>
                <w:sz w:val="24"/>
                <w:szCs w:val="24"/>
              </w:rPr>
            </w:pPr>
            <w:r w:rsidRPr="00C111D9">
              <w:rPr>
                <w:rFonts w:asciiTheme="minorHAnsi" w:hAnsiTheme="minorHAnsi" w:cstheme="minorHAnsi"/>
                <w:sz w:val="24"/>
                <w:szCs w:val="24"/>
              </w:rPr>
              <w:t>Voice</w:t>
            </w:r>
          </w:p>
        </w:tc>
        <w:tc>
          <w:tcPr>
            <w:tcW w:w="3969" w:type="dxa"/>
          </w:tcPr>
          <w:p w14:paraId="434A3592" w14:textId="77777777" w:rsidR="00D84BC4" w:rsidRPr="00C111D9" w:rsidRDefault="00D84BC4" w:rsidP="00C111D9">
            <w:pPr>
              <w:spacing w:after="160" w:line="259" w:lineRule="auto"/>
              <w:rPr>
                <w:rFonts w:asciiTheme="minorHAnsi" w:hAnsiTheme="minorHAnsi" w:cstheme="minorHAnsi"/>
                <w:sz w:val="24"/>
                <w:szCs w:val="24"/>
              </w:rPr>
            </w:pPr>
          </w:p>
          <w:p w14:paraId="10F604DF" w14:textId="77777777" w:rsidR="00D84BC4" w:rsidRPr="00C111D9" w:rsidRDefault="00D84BC4" w:rsidP="00C111D9">
            <w:pPr>
              <w:spacing w:after="160" w:line="259" w:lineRule="auto"/>
              <w:rPr>
                <w:rFonts w:asciiTheme="minorHAnsi" w:hAnsiTheme="minorHAnsi" w:cstheme="minorHAnsi"/>
                <w:sz w:val="24"/>
                <w:szCs w:val="24"/>
              </w:rPr>
            </w:pPr>
            <w:r w:rsidRPr="00C111D9">
              <w:rPr>
                <w:rFonts w:asciiTheme="minorHAnsi" w:hAnsiTheme="minorHAnsi" w:cstheme="minorHAnsi"/>
                <w:sz w:val="24"/>
                <w:szCs w:val="24"/>
              </w:rPr>
              <w:t>Email request to cascade to their members/contacts/networks.</w:t>
            </w:r>
          </w:p>
          <w:p w14:paraId="4925A8E4" w14:textId="77777777" w:rsidR="00D84BC4" w:rsidRPr="00C111D9" w:rsidRDefault="00D84BC4" w:rsidP="00C111D9">
            <w:pPr>
              <w:spacing w:after="160" w:line="259" w:lineRule="auto"/>
              <w:rPr>
                <w:rFonts w:asciiTheme="minorHAnsi" w:hAnsiTheme="minorHAnsi" w:cstheme="minorHAnsi"/>
                <w:sz w:val="24"/>
                <w:szCs w:val="24"/>
              </w:rPr>
            </w:pPr>
          </w:p>
          <w:p w14:paraId="44CD106A" w14:textId="77777777" w:rsidR="00D84BC4" w:rsidRPr="00C111D9" w:rsidRDefault="00D84BC4" w:rsidP="00C111D9">
            <w:pPr>
              <w:spacing w:after="160" w:line="259" w:lineRule="auto"/>
              <w:rPr>
                <w:rFonts w:asciiTheme="minorHAnsi" w:hAnsiTheme="minorHAnsi" w:cstheme="minorHAnsi"/>
                <w:sz w:val="24"/>
                <w:szCs w:val="24"/>
              </w:rPr>
            </w:pPr>
          </w:p>
        </w:tc>
      </w:tr>
      <w:tr w:rsidR="00D84BC4" w:rsidRPr="00450555" w14:paraId="6AB9732F" w14:textId="77777777" w:rsidTr="00196C7D">
        <w:tc>
          <w:tcPr>
            <w:tcW w:w="5665" w:type="dxa"/>
          </w:tcPr>
          <w:p w14:paraId="11836CAC" w14:textId="77777777" w:rsidR="00D84BC4" w:rsidRPr="00C111D9" w:rsidRDefault="00D84BC4" w:rsidP="00C111D9">
            <w:pPr>
              <w:spacing w:after="160" w:line="259" w:lineRule="auto"/>
              <w:rPr>
                <w:rFonts w:asciiTheme="minorHAnsi" w:hAnsiTheme="minorHAnsi" w:cstheme="minorHAnsi"/>
                <w:b/>
                <w:bCs/>
                <w:sz w:val="24"/>
                <w:szCs w:val="24"/>
              </w:rPr>
            </w:pPr>
            <w:r w:rsidRPr="00C111D9">
              <w:rPr>
                <w:rFonts w:asciiTheme="minorHAnsi" w:hAnsiTheme="minorHAnsi" w:cstheme="minorHAnsi"/>
                <w:b/>
                <w:bCs/>
                <w:sz w:val="24"/>
                <w:szCs w:val="24"/>
              </w:rPr>
              <w:lastRenderedPageBreak/>
              <w:t>Media</w:t>
            </w:r>
          </w:p>
          <w:p w14:paraId="79ECBD13" w14:textId="77777777" w:rsidR="00D84BC4" w:rsidRPr="00C111D9" w:rsidRDefault="00D84BC4" w:rsidP="00C111D9">
            <w:pPr>
              <w:pStyle w:val="ListParagraph"/>
              <w:numPr>
                <w:ilvl w:val="0"/>
                <w:numId w:val="5"/>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A news release was issued to all local and regional media across Northamptonshire.</w:t>
            </w:r>
          </w:p>
          <w:p w14:paraId="0A1E83C2" w14:textId="77777777" w:rsidR="00D84BC4" w:rsidRPr="00C111D9" w:rsidRDefault="00D84BC4" w:rsidP="00C111D9">
            <w:pPr>
              <w:pStyle w:val="ListParagraph"/>
              <w:numPr>
                <w:ilvl w:val="0"/>
                <w:numId w:val="5"/>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News release was sent to hyper local publications.</w:t>
            </w:r>
          </w:p>
          <w:p w14:paraId="4FB154B6" w14:textId="77777777" w:rsidR="00D84BC4" w:rsidRPr="00C111D9" w:rsidRDefault="00D84BC4" w:rsidP="00C111D9">
            <w:pPr>
              <w:pStyle w:val="ListParagraph"/>
              <w:numPr>
                <w:ilvl w:val="0"/>
                <w:numId w:val="5"/>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The survey was trailed in the December edition of the PFCC newsletter.</w:t>
            </w:r>
          </w:p>
          <w:p w14:paraId="610B9C89" w14:textId="77777777" w:rsidR="00D84BC4" w:rsidRPr="00C111D9" w:rsidRDefault="00D84BC4" w:rsidP="00C111D9">
            <w:pPr>
              <w:pStyle w:val="ListParagraph"/>
              <w:numPr>
                <w:ilvl w:val="0"/>
                <w:numId w:val="5"/>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The Commissioner appeared on BBC Radio Northampton on 17</w:t>
            </w:r>
            <w:r w:rsidRPr="00C111D9">
              <w:rPr>
                <w:rFonts w:asciiTheme="minorHAnsi" w:hAnsiTheme="minorHAnsi" w:cstheme="minorHAnsi"/>
                <w:bCs/>
                <w:sz w:val="24"/>
                <w:szCs w:val="24"/>
                <w:vertAlign w:val="superscript"/>
              </w:rPr>
              <w:t>th</w:t>
            </w:r>
            <w:r w:rsidRPr="00C111D9">
              <w:rPr>
                <w:rFonts w:asciiTheme="minorHAnsi" w:hAnsiTheme="minorHAnsi" w:cstheme="minorHAnsi"/>
                <w:bCs/>
                <w:sz w:val="24"/>
                <w:szCs w:val="24"/>
              </w:rPr>
              <w:t xml:space="preserve"> December to discuss the survey and take questions from members of the public.</w:t>
            </w:r>
          </w:p>
        </w:tc>
        <w:tc>
          <w:tcPr>
            <w:tcW w:w="3969" w:type="dxa"/>
          </w:tcPr>
          <w:p w14:paraId="446D84DA" w14:textId="77777777" w:rsidR="00F21CDC" w:rsidRPr="00C111D9" w:rsidRDefault="00F21CDC" w:rsidP="00C111D9">
            <w:pPr>
              <w:rPr>
                <w:rFonts w:asciiTheme="minorHAnsi" w:hAnsiTheme="minorHAnsi" w:cstheme="minorHAnsi"/>
                <w:sz w:val="24"/>
                <w:szCs w:val="24"/>
              </w:rPr>
            </w:pPr>
          </w:p>
          <w:p w14:paraId="15812C7B" w14:textId="299140BE" w:rsidR="00D84BC4" w:rsidRPr="00C111D9" w:rsidRDefault="00D84BC4" w:rsidP="00C111D9">
            <w:pPr>
              <w:rPr>
                <w:rFonts w:asciiTheme="minorHAnsi" w:hAnsiTheme="minorHAnsi" w:cstheme="minorHAnsi"/>
                <w:sz w:val="24"/>
                <w:szCs w:val="24"/>
              </w:rPr>
            </w:pPr>
            <w:r w:rsidRPr="00C111D9">
              <w:rPr>
                <w:rFonts w:asciiTheme="minorHAnsi" w:hAnsiTheme="minorHAnsi" w:cstheme="minorHAnsi"/>
                <w:sz w:val="24"/>
                <w:szCs w:val="24"/>
              </w:rPr>
              <w:t>The news release was sent to more than 20 newsrooms and other local news sites, and approximately 100 individual reporters.</w:t>
            </w:r>
          </w:p>
          <w:p w14:paraId="17943610" w14:textId="77777777" w:rsidR="00D84BC4" w:rsidRPr="00C111D9" w:rsidRDefault="00D84BC4" w:rsidP="00C111D9">
            <w:pPr>
              <w:rPr>
                <w:rFonts w:asciiTheme="minorHAnsi" w:hAnsiTheme="minorHAnsi" w:cstheme="minorHAnsi"/>
                <w:sz w:val="24"/>
                <w:szCs w:val="24"/>
              </w:rPr>
            </w:pPr>
          </w:p>
          <w:p w14:paraId="2BEAD350" w14:textId="77777777" w:rsidR="00D84BC4" w:rsidRPr="00C111D9" w:rsidRDefault="00D84BC4" w:rsidP="00C111D9">
            <w:pPr>
              <w:rPr>
                <w:rFonts w:asciiTheme="minorHAnsi" w:hAnsiTheme="minorHAnsi" w:cstheme="minorHAnsi"/>
                <w:sz w:val="24"/>
                <w:szCs w:val="24"/>
              </w:rPr>
            </w:pPr>
            <w:r w:rsidRPr="00C111D9">
              <w:rPr>
                <w:rFonts w:asciiTheme="minorHAnsi" w:hAnsiTheme="minorHAnsi" w:cstheme="minorHAnsi"/>
                <w:sz w:val="24"/>
                <w:szCs w:val="24"/>
              </w:rPr>
              <w:t>There was media coverage in Northampton Chronicle &amp; Echo (29</w:t>
            </w:r>
            <w:r w:rsidRPr="00C111D9">
              <w:rPr>
                <w:rFonts w:asciiTheme="minorHAnsi" w:hAnsiTheme="minorHAnsi" w:cstheme="minorHAnsi"/>
                <w:sz w:val="24"/>
                <w:szCs w:val="24"/>
                <w:vertAlign w:val="superscript"/>
              </w:rPr>
              <w:t>th</w:t>
            </w:r>
            <w:r w:rsidRPr="00C111D9">
              <w:rPr>
                <w:rFonts w:asciiTheme="minorHAnsi" w:hAnsiTheme="minorHAnsi" w:cstheme="minorHAnsi"/>
                <w:sz w:val="24"/>
                <w:szCs w:val="24"/>
              </w:rPr>
              <w:t xml:space="preserve"> November) and BBC News online (17</w:t>
            </w:r>
            <w:r w:rsidRPr="00C111D9">
              <w:rPr>
                <w:rFonts w:asciiTheme="minorHAnsi" w:hAnsiTheme="minorHAnsi" w:cstheme="minorHAnsi"/>
                <w:sz w:val="24"/>
                <w:szCs w:val="24"/>
                <w:vertAlign w:val="superscript"/>
              </w:rPr>
              <w:t>th</w:t>
            </w:r>
            <w:r w:rsidRPr="00C111D9">
              <w:rPr>
                <w:rFonts w:asciiTheme="minorHAnsi" w:hAnsiTheme="minorHAnsi" w:cstheme="minorHAnsi"/>
                <w:sz w:val="24"/>
                <w:szCs w:val="24"/>
              </w:rPr>
              <w:t xml:space="preserve"> December).</w:t>
            </w:r>
          </w:p>
        </w:tc>
      </w:tr>
      <w:tr w:rsidR="00D84BC4" w:rsidRPr="00450555" w14:paraId="2E2B5585" w14:textId="77777777" w:rsidTr="00196C7D">
        <w:tc>
          <w:tcPr>
            <w:tcW w:w="5665" w:type="dxa"/>
          </w:tcPr>
          <w:p w14:paraId="6784CB15" w14:textId="77777777" w:rsidR="00D84BC4" w:rsidRPr="00C111D9" w:rsidRDefault="00D84BC4" w:rsidP="00C111D9">
            <w:pPr>
              <w:spacing w:after="160" w:line="259" w:lineRule="auto"/>
              <w:rPr>
                <w:rFonts w:asciiTheme="minorHAnsi" w:hAnsiTheme="minorHAnsi" w:cstheme="minorHAnsi"/>
                <w:b/>
                <w:bCs/>
                <w:sz w:val="24"/>
                <w:szCs w:val="24"/>
              </w:rPr>
            </w:pPr>
            <w:r w:rsidRPr="00C111D9">
              <w:rPr>
                <w:rFonts w:asciiTheme="minorHAnsi" w:hAnsiTheme="minorHAnsi" w:cstheme="minorHAnsi"/>
                <w:b/>
                <w:bCs/>
                <w:sz w:val="24"/>
                <w:szCs w:val="24"/>
              </w:rPr>
              <w:t xml:space="preserve">Digital and Social </w:t>
            </w:r>
          </w:p>
          <w:p w14:paraId="6C6FCBE1" w14:textId="77777777" w:rsidR="00D84BC4" w:rsidRPr="00C111D9" w:rsidRDefault="00D84BC4" w:rsidP="00C111D9">
            <w:pPr>
              <w:pStyle w:val="ListParagraph"/>
              <w:numPr>
                <w:ilvl w:val="0"/>
                <w:numId w:val="5"/>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Meta (paid £89.11)</w:t>
            </w:r>
          </w:p>
          <w:p w14:paraId="17ED5C1E" w14:textId="77777777" w:rsidR="00D84BC4" w:rsidRPr="00C111D9" w:rsidRDefault="00D84BC4" w:rsidP="00C111D9">
            <w:pPr>
              <w:pStyle w:val="ListParagraph"/>
              <w:spacing w:after="160" w:line="259" w:lineRule="auto"/>
              <w:rPr>
                <w:rFonts w:asciiTheme="minorHAnsi" w:hAnsiTheme="minorHAnsi" w:cstheme="minorHAnsi"/>
                <w:bCs/>
                <w:sz w:val="24"/>
                <w:szCs w:val="24"/>
              </w:rPr>
            </w:pPr>
          </w:p>
          <w:p w14:paraId="07F3BB9A" w14:textId="77777777" w:rsidR="00D84BC4" w:rsidRPr="00C111D9" w:rsidRDefault="00D84BC4" w:rsidP="00C111D9">
            <w:pPr>
              <w:pStyle w:val="ListParagraph"/>
              <w:spacing w:after="160" w:line="259" w:lineRule="auto"/>
              <w:rPr>
                <w:rFonts w:asciiTheme="minorHAnsi" w:hAnsiTheme="minorHAnsi" w:cstheme="minorHAnsi"/>
                <w:bCs/>
                <w:sz w:val="24"/>
                <w:szCs w:val="24"/>
              </w:rPr>
            </w:pPr>
          </w:p>
          <w:p w14:paraId="2C70A81C" w14:textId="77777777" w:rsidR="00D84BC4" w:rsidRPr="00C111D9" w:rsidRDefault="00D84BC4" w:rsidP="00C111D9">
            <w:pPr>
              <w:pStyle w:val="ListParagraph"/>
              <w:numPr>
                <w:ilvl w:val="0"/>
                <w:numId w:val="5"/>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TikTok (paid £106.50)</w:t>
            </w:r>
          </w:p>
          <w:p w14:paraId="78EE179B" w14:textId="77777777" w:rsidR="00D84BC4" w:rsidRPr="00C111D9" w:rsidRDefault="00D84BC4" w:rsidP="00C111D9">
            <w:pPr>
              <w:pStyle w:val="ListParagraph"/>
              <w:spacing w:after="160" w:line="259" w:lineRule="auto"/>
              <w:rPr>
                <w:rFonts w:asciiTheme="minorHAnsi" w:hAnsiTheme="minorHAnsi" w:cstheme="minorHAnsi"/>
                <w:bCs/>
                <w:sz w:val="24"/>
                <w:szCs w:val="24"/>
              </w:rPr>
            </w:pPr>
          </w:p>
          <w:p w14:paraId="610C828D" w14:textId="77777777" w:rsidR="00D84BC4" w:rsidRPr="00C111D9" w:rsidRDefault="00D84BC4" w:rsidP="00C111D9">
            <w:pPr>
              <w:pStyle w:val="ListParagraph"/>
              <w:spacing w:after="160" w:line="259" w:lineRule="auto"/>
              <w:rPr>
                <w:rFonts w:asciiTheme="minorHAnsi" w:hAnsiTheme="minorHAnsi" w:cstheme="minorHAnsi"/>
                <w:bCs/>
                <w:sz w:val="24"/>
                <w:szCs w:val="24"/>
              </w:rPr>
            </w:pPr>
          </w:p>
          <w:p w14:paraId="37F95522" w14:textId="77777777" w:rsidR="00D84BC4" w:rsidRPr="00C111D9" w:rsidRDefault="00D84BC4" w:rsidP="00C111D9">
            <w:pPr>
              <w:pStyle w:val="ListParagraph"/>
              <w:numPr>
                <w:ilvl w:val="0"/>
                <w:numId w:val="5"/>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Facebook</w:t>
            </w:r>
          </w:p>
          <w:p w14:paraId="7343C121" w14:textId="77777777" w:rsidR="00D84BC4" w:rsidRPr="00C111D9" w:rsidRDefault="00D84BC4" w:rsidP="00C111D9">
            <w:pPr>
              <w:pStyle w:val="ListParagraph"/>
              <w:spacing w:after="160" w:line="259" w:lineRule="auto"/>
              <w:rPr>
                <w:rFonts w:asciiTheme="minorHAnsi" w:hAnsiTheme="minorHAnsi" w:cstheme="minorHAnsi"/>
                <w:bCs/>
                <w:sz w:val="24"/>
                <w:szCs w:val="24"/>
              </w:rPr>
            </w:pPr>
          </w:p>
          <w:p w14:paraId="09550FA5" w14:textId="77777777" w:rsidR="00D84BC4" w:rsidRPr="00C111D9" w:rsidRDefault="00D84BC4" w:rsidP="00C111D9">
            <w:pPr>
              <w:pStyle w:val="ListParagraph"/>
              <w:spacing w:after="160" w:line="259" w:lineRule="auto"/>
              <w:rPr>
                <w:rFonts w:asciiTheme="minorHAnsi" w:hAnsiTheme="minorHAnsi" w:cstheme="minorHAnsi"/>
                <w:bCs/>
                <w:sz w:val="24"/>
                <w:szCs w:val="24"/>
              </w:rPr>
            </w:pPr>
          </w:p>
          <w:p w14:paraId="1F45DBC6" w14:textId="77777777" w:rsidR="00D84BC4" w:rsidRPr="00C111D9" w:rsidRDefault="00D84BC4" w:rsidP="00C111D9">
            <w:pPr>
              <w:pStyle w:val="ListParagraph"/>
              <w:numPr>
                <w:ilvl w:val="0"/>
                <w:numId w:val="5"/>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Next Door</w:t>
            </w:r>
          </w:p>
          <w:p w14:paraId="560D028F" w14:textId="77777777" w:rsidR="00D84BC4" w:rsidRPr="00C111D9" w:rsidRDefault="00D84BC4" w:rsidP="00C111D9">
            <w:pPr>
              <w:pStyle w:val="ListParagraph"/>
              <w:spacing w:after="160" w:line="259" w:lineRule="auto"/>
              <w:rPr>
                <w:rFonts w:asciiTheme="minorHAnsi" w:hAnsiTheme="minorHAnsi" w:cstheme="minorHAnsi"/>
                <w:bCs/>
                <w:sz w:val="24"/>
                <w:szCs w:val="24"/>
              </w:rPr>
            </w:pPr>
          </w:p>
          <w:p w14:paraId="4C281AAA" w14:textId="77777777" w:rsidR="00D84BC4" w:rsidRPr="00C111D9" w:rsidRDefault="00D84BC4" w:rsidP="00C111D9">
            <w:pPr>
              <w:pStyle w:val="ListParagraph"/>
              <w:spacing w:after="160" w:line="259" w:lineRule="auto"/>
              <w:rPr>
                <w:rFonts w:asciiTheme="minorHAnsi" w:hAnsiTheme="minorHAnsi" w:cstheme="minorHAnsi"/>
                <w:bCs/>
                <w:sz w:val="24"/>
                <w:szCs w:val="24"/>
              </w:rPr>
            </w:pPr>
          </w:p>
          <w:p w14:paraId="3993C91F" w14:textId="77777777" w:rsidR="00D84BC4" w:rsidRPr="00C111D9" w:rsidRDefault="00D84BC4" w:rsidP="00C111D9">
            <w:pPr>
              <w:pStyle w:val="ListParagraph"/>
              <w:numPr>
                <w:ilvl w:val="0"/>
                <w:numId w:val="5"/>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LinkedIn</w:t>
            </w:r>
          </w:p>
          <w:p w14:paraId="75976A2C" w14:textId="77777777" w:rsidR="00D84BC4" w:rsidRPr="00C111D9" w:rsidRDefault="00D84BC4" w:rsidP="00C111D9">
            <w:pPr>
              <w:pStyle w:val="ListParagraph"/>
              <w:spacing w:after="160" w:line="259" w:lineRule="auto"/>
              <w:rPr>
                <w:rFonts w:asciiTheme="minorHAnsi" w:hAnsiTheme="minorHAnsi" w:cstheme="minorHAnsi"/>
                <w:bCs/>
                <w:sz w:val="24"/>
                <w:szCs w:val="24"/>
              </w:rPr>
            </w:pPr>
          </w:p>
          <w:p w14:paraId="4CD117DD" w14:textId="77777777" w:rsidR="00D84BC4" w:rsidRPr="00C111D9" w:rsidRDefault="00D84BC4" w:rsidP="00C111D9">
            <w:pPr>
              <w:pStyle w:val="ListParagraph"/>
              <w:spacing w:after="160" w:line="259" w:lineRule="auto"/>
              <w:rPr>
                <w:rFonts w:asciiTheme="minorHAnsi" w:hAnsiTheme="minorHAnsi" w:cstheme="minorHAnsi"/>
                <w:bCs/>
                <w:sz w:val="24"/>
                <w:szCs w:val="24"/>
              </w:rPr>
            </w:pPr>
          </w:p>
          <w:p w14:paraId="0C8D591F" w14:textId="77777777" w:rsidR="00D84BC4" w:rsidRPr="00C111D9" w:rsidRDefault="00D84BC4" w:rsidP="00C111D9">
            <w:pPr>
              <w:pStyle w:val="ListParagraph"/>
              <w:numPr>
                <w:ilvl w:val="0"/>
                <w:numId w:val="5"/>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Instagram</w:t>
            </w:r>
          </w:p>
          <w:p w14:paraId="25A0B9F4" w14:textId="77777777" w:rsidR="00D84BC4" w:rsidRPr="00C111D9" w:rsidRDefault="00D84BC4" w:rsidP="00C111D9">
            <w:pPr>
              <w:pStyle w:val="ListParagraph"/>
              <w:spacing w:after="160" w:line="259" w:lineRule="auto"/>
              <w:rPr>
                <w:rFonts w:asciiTheme="minorHAnsi" w:hAnsiTheme="minorHAnsi" w:cstheme="minorHAnsi"/>
                <w:bCs/>
                <w:sz w:val="24"/>
                <w:szCs w:val="24"/>
              </w:rPr>
            </w:pPr>
          </w:p>
          <w:p w14:paraId="220A8841" w14:textId="77777777" w:rsidR="00D84BC4" w:rsidRPr="00C111D9" w:rsidRDefault="00D84BC4" w:rsidP="00C111D9">
            <w:pPr>
              <w:pStyle w:val="ListParagraph"/>
              <w:spacing w:after="160" w:line="259" w:lineRule="auto"/>
              <w:rPr>
                <w:rFonts w:asciiTheme="minorHAnsi" w:hAnsiTheme="minorHAnsi" w:cstheme="minorHAnsi"/>
                <w:bCs/>
                <w:sz w:val="24"/>
                <w:szCs w:val="24"/>
              </w:rPr>
            </w:pPr>
          </w:p>
          <w:p w14:paraId="0919EB73" w14:textId="77777777" w:rsidR="00D84BC4" w:rsidRPr="00C111D9" w:rsidRDefault="00D84BC4" w:rsidP="00C111D9">
            <w:pPr>
              <w:pStyle w:val="ListParagraph"/>
              <w:numPr>
                <w:ilvl w:val="0"/>
                <w:numId w:val="5"/>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Northamptonshire Talking</w:t>
            </w:r>
          </w:p>
          <w:p w14:paraId="426A5958" w14:textId="77777777" w:rsidR="00D84BC4" w:rsidRPr="00C111D9" w:rsidRDefault="00D84BC4" w:rsidP="00C111D9">
            <w:pPr>
              <w:pStyle w:val="ListParagraph"/>
              <w:spacing w:after="160" w:line="259" w:lineRule="auto"/>
              <w:rPr>
                <w:rFonts w:asciiTheme="minorHAnsi" w:hAnsiTheme="minorHAnsi" w:cstheme="minorHAnsi"/>
                <w:bCs/>
                <w:sz w:val="24"/>
                <w:szCs w:val="24"/>
              </w:rPr>
            </w:pPr>
          </w:p>
          <w:p w14:paraId="04F25226" w14:textId="77777777" w:rsidR="00D84BC4" w:rsidRPr="00C111D9" w:rsidRDefault="00D84BC4" w:rsidP="00C111D9">
            <w:pPr>
              <w:pStyle w:val="ListParagraph"/>
              <w:spacing w:after="160" w:line="259" w:lineRule="auto"/>
              <w:rPr>
                <w:rFonts w:asciiTheme="minorHAnsi" w:hAnsiTheme="minorHAnsi" w:cstheme="minorHAnsi"/>
                <w:bCs/>
                <w:sz w:val="24"/>
                <w:szCs w:val="24"/>
              </w:rPr>
            </w:pPr>
          </w:p>
          <w:p w14:paraId="5F4632BA" w14:textId="77777777" w:rsidR="00D84BC4" w:rsidRPr="00C111D9" w:rsidRDefault="00D84BC4" w:rsidP="00C111D9">
            <w:pPr>
              <w:pStyle w:val="ListParagraph"/>
              <w:numPr>
                <w:ilvl w:val="0"/>
                <w:numId w:val="5"/>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X (formerly known as Twitter)</w:t>
            </w:r>
          </w:p>
          <w:p w14:paraId="2314E8E2" w14:textId="77777777" w:rsidR="00D84BC4" w:rsidRPr="00C111D9" w:rsidRDefault="00D84BC4" w:rsidP="00C111D9">
            <w:pPr>
              <w:pStyle w:val="ListParagraph"/>
              <w:spacing w:after="160" w:line="259" w:lineRule="auto"/>
              <w:rPr>
                <w:rFonts w:asciiTheme="minorHAnsi" w:hAnsiTheme="minorHAnsi" w:cstheme="minorHAnsi"/>
                <w:bCs/>
                <w:sz w:val="24"/>
                <w:szCs w:val="24"/>
              </w:rPr>
            </w:pPr>
          </w:p>
          <w:p w14:paraId="7436DB5F" w14:textId="77777777" w:rsidR="00D84BC4" w:rsidRPr="00C111D9" w:rsidRDefault="00D84BC4" w:rsidP="00C111D9">
            <w:pPr>
              <w:pStyle w:val="ListParagraph"/>
              <w:spacing w:after="160" w:line="259" w:lineRule="auto"/>
              <w:rPr>
                <w:rFonts w:asciiTheme="minorHAnsi" w:hAnsiTheme="minorHAnsi" w:cstheme="minorHAnsi"/>
                <w:bCs/>
                <w:sz w:val="24"/>
                <w:szCs w:val="24"/>
              </w:rPr>
            </w:pPr>
          </w:p>
          <w:p w14:paraId="778AD155" w14:textId="67F2FE47" w:rsidR="00D84BC4" w:rsidRPr="00C111D9" w:rsidRDefault="00D84BC4" w:rsidP="00C111D9">
            <w:pPr>
              <w:pStyle w:val="ListParagraph"/>
              <w:numPr>
                <w:ilvl w:val="0"/>
                <w:numId w:val="5"/>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Google Ads ie</w:t>
            </w:r>
            <w:r w:rsidR="00280882" w:rsidRPr="00C111D9">
              <w:rPr>
                <w:rFonts w:asciiTheme="minorHAnsi" w:hAnsiTheme="minorHAnsi" w:cstheme="minorHAnsi"/>
                <w:bCs/>
                <w:sz w:val="24"/>
                <w:szCs w:val="24"/>
              </w:rPr>
              <w:t>.</w:t>
            </w:r>
            <w:r w:rsidRPr="00C111D9">
              <w:rPr>
                <w:rFonts w:asciiTheme="minorHAnsi" w:hAnsiTheme="minorHAnsi" w:cstheme="minorHAnsi"/>
                <w:bCs/>
                <w:sz w:val="24"/>
                <w:szCs w:val="24"/>
              </w:rPr>
              <w:t xml:space="preserve"> YouTube (paid 19p)</w:t>
            </w:r>
          </w:p>
        </w:tc>
        <w:tc>
          <w:tcPr>
            <w:tcW w:w="3969" w:type="dxa"/>
          </w:tcPr>
          <w:p w14:paraId="238D939B" w14:textId="77777777" w:rsidR="00D84BC4" w:rsidRPr="00C111D9" w:rsidRDefault="00D84BC4" w:rsidP="00C111D9">
            <w:pPr>
              <w:spacing w:after="160" w:line="259" w:lineRule="auto"/>
              <w:rPr>
                <w:rFonts w:asciiTheme="minorHAnsi" w:hAnsiTheme="minorHAnsi" w:cstheme="minorHAnsi"/>
                <w:bCs/>
                <w:sz w:val="24"/>
                <w:szCs w:val="24"/>
              </w:rPr>
            </w:pPr>
          </w:p>
          <w:p w14:paraId="0964602D" w14:textId="77777777" w:rsidR="00D84BC4" w:rsidRPr="00C111D9" w:rsidRDefault="00D84BC4" w:rsidP="00C111D9">
            <w:pPr>
              <w:pStyle w:val="ListParagraph"/>
              <w:numPr>
                <w:ilvl w:val="0"/>
                <w:numId w:val="5"/>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10,299 impressions</w:t>
            </w:r>
          </w:p>
          <w:p w14:paraId="6ACA6108" w14:textId="77777777" w:rsidR="00D84BC4" w:rsidRPr="00C111D9" w:rsidRDefault="00D84BC4" w:rsidP="00C111D9">
            <w:pPr>
              <w:pStyle w:val="ListParagraph"/>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424 link clicks</w:t>
            </w:r>
          </w:p>
          <w:p w14:paraId="70F96312" w14:textId="77777777" w:rsidR="00D84BC4" w:rsidRPr="00C111D9" w:rsidRDefault="00D84BC4" w:rsidP="00C111D9">
            <w:pPr>
              <w:pStyle w:val="ListParagraph"/>
              <w:spacing w:after="160" w:line="259" w:lineRule="auto"/>
              <w:rPr>
                <w:rFonts w:asciiTheme="minorHAnsi" w:hAnsiTheme="minorHAnsi" w:cstheme="minorHAnsi"/>
                <w:bCs/>
                <w:sz w:val="24"/>
                <w:szCs w:val="24"/>
              </w:rPr>
            </w:pPr>
          </w:p>
          <w:p w14:paraId="2A5A8A6C" w14:textId="77777777" w:rsidR="00D84BC4" w:rsidRPr="00C111D9" w:rsidRDefault="00D84BC4" w:rsidP="00C111D9">
            <w:pPr>
              <w:pStyle w:val="ListParagraph"/>
              <w:numPr>
                <w:ilvl w:val="0"/>
                <w:numId w:val="5"/>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35,938 impressions</w:t>
            </w:r>
          </w:p>
          <w:p w14:paraId="6E7D25D3" w14:textId="77777777" w:rsidR="00D84BC4" w:rsidRPr="00C111D9" w:rsidRDefault="00D84BC4" w:rsidP="00C111D9">
            <w:pPr>
              <w:pStyle w:val="ListParagraph"/>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296 link clicks</w:t>
            </w:r>
          </w:p>
          <w:p w14:paraId="522112A0" w14:textId="77777777" w:rsidR="00D84BC4" w:rsidRPr="00C111D9" w:rsidRDefault="00D84BC4" w:rsidP="00C111D9">
            <w:pPr>
              <w:pStyle w:val="ListParagraph"/>
              <w:spacing w:after="160" w:line="259" w:lineRule="auto"/>
              <w:rPr>
                <w:rFonts w:asciiTheme="minorHAnsi" w:hAnsiTheme="minorHAnsi" w:cstheme="minorHAnsi"/>
                <w:bCs/>
                <w:sz w:val="24"/>
                <w:szCs w:val="24"/>
              </w:rPr>
            </w:pPr>
          </w:p>
          <w:p w14:paraId="59D47172" w14:textId="77777777" w:rsidR="00D84BC4" w:rsidRPr="00C111D9" w:rsidRDefault="00D84BC4" w:rsidP="00C111D9">
            <w:pPr>
              <w:pStyle w:val="ListParagraph"/>
              <w:numPr>
                <w:ilvl w:val="0"/>
                <w:numId w:val="5"/>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20 posts</w:t>
            </w:r>
          </w:p>
          <w:p w14:paraId="4610FCC7" w14:textId="77777777" w:rsidR="00D84BC4" w:rsidRPr="00C111D9" w:rsidRDefault="00D84BC4" w:rsidP="00C111D9">
            <w:pPr>
              <w:pStyle w:val="ListParagraph"/>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24,200 views</w:t>
            </w:r>
          </w:p>
          <w:p w14:paraId="14BE3A62" w14:textId="77777777" w:rsidR="00D84BC4" w:rsidRPr="00C111D9" w:rsidRDefault="00D84BC4" w:rsidP="00C111D9">
            <w:pPr>
              <w:pStyle w:val="ListParagraph"/>
              <w:spacing w:after="160" w:line="259" w:lineRule="auto"/>
              <w:rPr>
                <w:rFonts w:asciiTheme="minorHAnsi" w:hAnsiTheme="minorHAnsi" w:cstheme="minorHAnsi"/>
                <w:bCs/>
                <w:sz w:val="24"/>
                <w:szCs w:val="24"/>
              </w:rPr>
            </w:pPr>
          </w:p>
          <w:p w14:paraId="60D27E24" w14:textId="77777777" w:rsidR="00D84BC4" w:rsidRPr="00C111D9" w:rsidRDefault="00D84BC4" w:rsidP="00C111D9">
            <w:pPr>
              <w:pStyle w:val="ListParagraph"/>
              <w:numPr>
                <w:ilvl w:val="0"/>
                <w:numId w:val="5"/>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8 posts</w:t>
            </w:r>
          </w:p>
          <w:p w14:paraId="063E224B" w14:textId="77777777" w:rsidR="00D84BC4" w:rsidRPr="00C111D9" w:rsidRDefault="00D84BC4" w:rsidP="00C111D9">
            <w:pPr>
              <w:pStyle w:val="ListParagraph"/>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64,850 impressions</w:t>
            </w:r>
          </w:p>
          <w:p w14:paraId="18B64A5A" w14:textId="77777777" w:rsidR="00D84BC4" w:rsidRPr="00C111D9" w:rsidRDefault="00D84BC4" w:rsidP="00C111D9">
            <w:pPr>
              <w:pStyle w:val="ListParagraph"/>
              <w:spacing w:after="160" w:line="259" w:lineRule="auto"/>
              <w:rPr>
                <w:rFonts w:asciiTheme="minorHAnsi" w:hAnsiTheme="minorHAnsi" w:cstheme="minorHAnsi"/>
                <w:bCs/>
                <w:sz w:val="24"/>
                <w:szCs w:val="24"/>
              </w:rPr>
            </w:pPr>
          </w:p>
          <w:p w14:paraId="244F0D87" w14:textId="77777777" w:rsidR="00D84BC4" w:rsidRPr="00C111D9" w:rsidRDefault="00D84BC4" w:rsidP="00C111D9">
            <w:pPr>
              <w:pStyle w:val="ListParagraph"/>
              <w:numPr>
                <w:ilvl w:val="0"/>
                <w:numId w:val="5"/>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2 posts</w:t>
            </w:r>
          </w:p>
          <w:p w14:paraId="07C6BBAE" w14:textId="77777777" w:rsidR="00D84BC4" w:rsidRPr="00C111D9" w:rsidRDefault="00D84BC4" w:rsidP="00C111D9">
            <w:pPr>
              <w:pStyle w:val="ListParagraph"/>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178 impressions</w:t>
            </w:r>
          </w:p>
          <w:p w14:paraId="6E1AA832" w14:textId="77777777" w:rsidR="00D84BC4" w:rsidRPr="00C111D9" w:rsidRDefault="00D84BC4" w:rsidP="00C111D9">
            <w:pPr>
              <w:pStyle w:val="ListParagraph"/>
              <w:spacing w:after="160" w:line="259" w:lineRule="auto"/>
              <w:rPr>
                <w:rFonts w:asciiTheme="minorHAnsi" w:hAnsiTheme="minorHAnsi" w:cstheme="minorHAnsi"/>
                <w:bCs/>
                <w:sz w:val="24"/>
                <w:szCs w:val="24"/>
              </w:rPr>
            </w:pPr>
          </w:p>
          <w:p w14:paraId="0FB389E4" w14:textId="77777777" w:rsidR="00D84BC4" w:rsidRPr="00C111D9" w:rsidRDefault="00D84BC4" w:rsidP="00C111D9">
            <w:pPr>
              <w:pStyle w:val="ListParagraph"/>
              <w:numPr>
                <w:ilvl w:val="0"/>
                <w:numId w:val="5"/>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7 posts</w:t>
            </w:r>
          </w:p>
          <w:p w14:paraId="75BDAFE4" w14:textId="77777777" w:rsidR="00D84BC4" w:rsidRPr="00C111D9" w:rsidRDefault="00D84BC4" w:rsidP="00C111D9">
            <w:pPr>
              <w:pStyle w:val="ListParagraph"/>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2,290 impressions</w:t>
            </w:r>
          </w:p>
          <w:p w14:paraId="0911A349" w14:textId="77777777" w:rsidR="00D84BC4" w:rsidRPr="00C111D9" w:rsidRDefault="00D84BC4" w:rsidP="00C111D9">
            <w:pPr>
              <w:pStyle w:val="ListParagraph"/>
              <w:spacing w:after="160" w:line="259" w:lineRule="auto"/>
              <w:rPr>
                <w:rFonts w:asciiTheme="minorHAnsi" w:hAnsiTheme="minorHAnsi" w:cstheme="minorHAnsi"/>
                <w:bCs/>
                <w:sz w:val="24"/>
                <w:szCs w:val="24"/>
              </w:rPr>
            </w:pPr>
          </w:p>
          <w:p w14:paraId="04B1D8E7" w14:textId="77777777" w:rsidR="00D84BC4" w:rsidRPr="00C111D9" w:rsidRDefault="00D84BC4" w:rsidP="00C111D9">
            <w:pPr>
              <w:pStyle w:val="ListParagraph"/>
              <w:numPr>
                <w:ilvl w:val="0"/>
                <w:numId w:val="5"/>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2 posts</w:t>
            </w:r>
          </w:p>
          <w:p w14:paraId="35DABDEE" w14:textId="77777777" w:rsidR="00D84BC4" w:rsidRPr="00C111D9" w:rsidRDefault="00D84BC4" w:rsidP="00C111D9">
            <w:pPr>
              <w:pStyle w:val="ListParagraph"/>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33,147 emails read</w:t>
            </w:r>
          </w:p>
          <w:p w14:paraId="23B52D27" w14:textId="77777777" w:rsidR="00D84BC4" w:rsidRPr="00C111D9" w:rsidRDefault="00D84BC4" w:rsidP="00C111D9">
            <w:pPr>
              <w:pStyle w:val="ListParagraph"/>
              <w:spacing w:after="160" w:line="259" w:lineRule="auto"/>
              <w:rPr>
                <w:rFonts w:asciiTheme="minorHAnsi" w:hAnsiTheme="minorHAnsi" w:cstheme="minorHAnsi"/>
                <w:bCs/>
                <w:sz w:val="24"/>
                <w:szCs w:val="24"/>
              </w:rPr>
            </w:pPr>
          </w:p>
          <w:p w14:paraId="7891F4E6" w14:textId="77777777" w:rsidR="00D84BC4" w:rsidRPr="00C111D9" w:rsidRDefault="00D84BC4" w:rsidP="00C111D9">
            <w:pPr>
              <w:pStyle w:val="ListParagraph"/>
              <w:numPr>
                <w:ilvl w:val="0"/>
                <w:numId w:val="5"/>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29 posts</w:t>
            </w:r>
          </w:p>
          <w:p w14:paraId="126D238D" w14:textId="77777777" w:rsidR="00D84BC4" w:rsidRPr="00C111D9" w:rsidRDefault="00D84BC4" w:rsidP="00C111D9">
            <w:pPr>
              <w:pStyle w:val="ListParagraph"/>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16,871 impressions</w:t>
            </w:r>
          </w:p>
          <w:p w14:paraId="7FF9A5C5" w14:textId="77777777" w:rsidR="00D84BC4" w:rsidRPr="00C111D9" w:rsidRDefault="00D84BC4" w:rsidP="00C111D9">
            <w:pPr>
              <w:pStyle w:val="ListParagraph"/>
              <w:spacing w:after="160" w:line="259" w:lineRule="auto"/>
              <w:rPr>
                <w:rFonts w:asciiTheme="minorHAnsi" w:hAnsiTheme="minorHAnsi" w:cstheme="minorHAnsi"/>
                <w:bCs/>
                <w:sz w:val="24"/>
                <w:szCs w:val="24"/>
              </w:rPr>
            </w:pPr>
          </w:p>
          <w:p w14:paraId="275976B2" w14:textId="77777777" w:rsidR="00D84BC4" w:rsidRPr="00C111D9" w:rsidRDefault="00D84BC4" w:rsidP="00C111D9">
            <w:pPr>
              <w:pStyle w:val="ListParagraph"/>
              <w:numPr>
                <w:ilvl w:val="0"/>
                <w:numId w:val="5"/>
              </w:numPr>
              <w:spacing w:after="160" w:line="259" w:lineRule="auto"/>
              <w:rPr>
                <w:rFonts w:asciiTheme="minorHAnsi" w:hAnsiTheme="minorHAnsi" w:cstheme="minorHAnsi"/>
                <w:bCs/>
                <w:sz w:val="24"/>
                <w:szCs w:val="24"/>
              </w:rPr>
            </w:pPr>
            <w:r w:rsidRPr="00C111D9">
              <w:rPr>
                <w:rFonts w:asciiTheme="minorHAnsi" w:hAnsiTheme="minorHAnsi" w:cstheme="minorHAnsi"/>
                <w:bCs/>
                <w:sz w:val="24"/>
                <w:szCs w:val="24"/>
              </w:rPr>
              <w:t>230 impressions</w:t>
            </w:r>
          </w:p>
        </w:tc>
      </w:tr>
    </w:tbl>
    <w:p w14:paraId="44BFC8C8" w14:textId="7339A982" w:rsidR="007F363C" w:rsidRPr="00C42C32" w:rsidRDefault="00686822" w:rsidP="0014672E">
      <w:pPr>
        <w:pStyle w:val="PanelHeading"/>
      </w:pPr>
      <w:r w:rsidRPr="00A81E04">
        <w:rPr>
          <w:highlight w:val="yellow"/>
        </w:rPr>
        <w:br w:type="page"/>
      </w:r>
      <w:r w:rsidR="009B315F" w:rsidRPr="00C42C32">
        <w:lastRenderedPageBreak/>
        <w:t>APPENDIX B</w:t>
      </w:r>
    </w:p>
    <w:p w14:paraId="3260EF55" w14:textId="73E7F1D7" w:rsidR="00133FCA" w:rsidRPr="00C42C32" w:rsidRDefault="007C6391" w:rsidP="00920481">
      <w:pPr>
        <w:pStyle w:val="PanelHeading"/>
      </w:pPr>
      <w:r w:rsidRPr="00C42C32">
        <w:t xml:space="preserve">Medium Term Financial Plan </w:t>
      </w:r>
      <w:r w:rsidR="00220144" w:rsidRPr="00C42C32">
        <w:t>202</w:t>
      </w:r>
      <w:r w:rsidR="00C42C32" w:rsidRPr="00C42C32">
        <w:t>5</w:t>
      </w:r>
      <w:r w:rsidR="00220144" w:rsidRPr="00C42C32">
        <w:t>/2</w:t>
      </w:r>
      <w:r w:rsidR="00C42C32" w:rsidRPr="00C42C32">
        <w:t>6</w:t>
      </w:r>
      <w:r w:rsidR="007D45EC" w:rsidRPr="00C42C32">
        <w:t xml:space="preserve"> </w:t>
      </w:r>
      <w:r w:rsidRPr="00C42C32">
        <w:t>-</w:t>
      </w:r>
      <w:r w:rsidR="007D45EC" w:rsidRPr="00C42C32">
        <w:t xml:space="preserve"> </w:t>
      </w:r>
      <w:r w:rsidRPr="00C42C32">
        <w:t>202</w:t>
      </w:r>
      <w:r w:rsidR="00C42C32" w:rsidRPr="00C42C32">
        <w:t>9</w:t>
      </w:r>
      <w:r w:rsidRPr="00C42C32">
        <w:t>/</w:t>
      </w:r>
      <w:r w:rsidR="00C42C32" w:rsidRPr="00C42C32">
        <w:t>30</w:t>
      </w:r>
    </w:p>
    <w:tbl>
      <w:tblPr>
        <w:tblW w:w="10024" w:type="dxa"/>
        <w:tblLook w:val="04A0" w:firstRow="1" w:lastRow="0" w:firstColumn="1" w:lastColumn="0" w:noHBand="0" w:noVBand="1"/>
      </w:tblPr>
      <w:tblGrid>
        <w:gridCol w:w="1076"/>
        <w:gridCol w:w="3868"/>
        <w:gridCol w:w="1016"/>
        <w:gridCol w:w="1016"/>
        <w:gridCol w:w="1016"/>
        <w:gridCol w:w="1016"/>
        <w:gridCol w:w="1016"/>
      </w:tblGrid>
      <w:tr w:rsidR="00FF3F04" w:rsidRPr="00FF3F04" w14:paraId="4128DE73" w14:textId="77777777" w:rsidTr="00FF3F04">
        <w:trPr>
          <w:trHeight w:val="300"/>
        </w:trPr>
        <w:tc>
          <w:tcPr>
            <w:tcW w:w="1076" w:type="dxa"/>
            <w:tcBorders>
              <w:top w:val="nil"/>
              <w:left w:val="nil"/>
              <w:bottom w:val="nil"/>
              <w:right w:val="nil"/>
            </w:tcBorders>
            <w:shd w:val="clear" w:color="000000" w:fill="FFFFFF"/>
            <w:noWrap/>
            <w:vAlign w:val="center"/>
            <w:hideMark/>
          </w:tcPr>
          <w:p w14:paraId="0F27285D"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3868" w:type="dxa"/>
            <w:tcBorders>
              <w:top w:val="nil"/>
              <w:left w:val="nil"/>
              <w:bottom w:val="nil"/>
              <w:right w:val="nil"/>
            </w:tcBorders>
            <w:shd w:val="clear" w:color="000000" w:fill="FFFFFF"/>
            <w:noWrap/>
            <w:vAlign w:val="center"/>
            <w:hideMark/>
          </w:tcPr>
          <w:p w14:paraId="6C443021"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5080" w:type="dxa"/>
            <w:gridSpan w:val="5"/>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0EF7529C" w14:textId="77777777" w:rsidR="00FF3F04" w:rsidRPr="00FF3F04" w:rsidRDefault="00FF3F04" w:rsidP="00FF3F04">
            <w:pPr>
              <w:spacing w:line="240" w:lineRule="auto"/>
              <w:jc w:val="center"/>
              <w:rPr>
                <w:rFonts w:eastAsia="Times New Roman" w:cs="Calibri"/>
                <w:b/>
                <w:bCs/>
                <w:i/>
                <w:iCs/>
                <w:color w:val="000000"/>
                <w:sz w:val="20"/>
                <w:szCs w:val="20"/>
                <w:lang w:eastAsia="en-GB"/>
              </w:rPr>
            </w:pPr>
            <w:r w:rsidRPr="00FF3F04">
              <w:rPr>
                <w:rFonts w:eastAsia="Times New Roman" w:cs="Calibri"/>
                <w:b/>
                <w:bCs/>
                <w:i/>
                <w:iCs/>
                <w:color w:val="000000"/>
                <w:sz w:val="20"/>
                <w:szCs w:val="20"/>
                <w:lang w:eastAsia="en-GB"/>
              </w:rPr>
              <w:t>MTFP - £14 Precept</w:t>
            </w:r>
          </w:p>
        </w:tc>
      </w:tr>
      <w:tr w:rsidR="00FF3F04" w:rsidRPr="00FF3F04" w14:paraId="1E2A3176" w14:textId="77777777" w:rsidTr="00FF3F04">
        <w:trPr>
          <w:trHeight w:val="300"/>
        </w:trPr>
        <w:tc>
          <w:tcPr>
            <w:tcW w:w="1076" w:type="dxa"/>
            <w:tcBorders>
              <w:top w:val="single" w:sz="4" w:space="0" w:color="auto"/>
              <w:left w:val="single" w:sz="4" w:space="0" w:color="auto"/>
              <w:bottom w:val="nil"/>
              <w:right w:val="single" w:sz="4" w:space="0" w:color="auto"/>
            </w:tcBorders>
            <w:shd w:val="clear" w:color="000000" w:fill="FFFFFF"/>
            <w:noWrap/>
            <w:vAlign w:val="center"/>
            <w:hideMark/>
          </w:tcPr>
          <w:p w14:paraId="57EAA8F5" w14:textId="77777777" w:rsidR="00FF3F04" w:rsidRPr="00FF3F04" w:rsidRDefault="00FF3F04" w:rsidP="00FF3F04">
            <w:pPr>
              <w:spacing w:line="240" w:lineRule="auto"/>
              <w:jc w:val="center"/>
              <w:rPr>
                <w:rFonts w:eastAsia="Times New Roman" w:cs="Calibri"/>
                <w:b/>
                <w:bCs/>
                <w:color w:val="000000"/>
                <w:sz w:val="20"/>
                <w:szCs w:val="20"/>
                <w:lang w:eastAsia="en-GB"/>
              </w:rPr>
            </w:pPr>
            <w:r w:rsidRPr="00FF3F04">
              <w:rPr>
                <w:rFonts w:eastAsia="Times New Roman" w:cs="Calibri"/>
                <w:b/>
                <w:bCs/>
                <w:color w:val="000000"/>
                <w:sz w:val="20"/>
                <w:szCs w:val="20"/>
                <w:lang w:eastAsia="en-GB"/>
              </w:rPr>
              <w:t>2024/25</w:t>
            </w:r>
          </w:p>
        </w:tc>
        <w:tc>
          <w:tcPr>
            <w:tcW w:w="3868" w:type="dxa"/>
            <w:tcBorders>
              <w:top w:val="single" w:sz="4" w:space="0" w:color="auto"/>
              <w:left w:val="nil"/>
              <w:bottom w:val="nil"/>
              <w:right w:val="single" w:sz="4" w:space="0" w:color="auto"/>
            </w:tcBorders>
            <w:shd w:val="clear" w:color="000000" w:fill="FFFFFF"/>
            <w:noWrap/>
            <w:vAlign w:val="center"/>
            <w:hideMark/>
          </w:tcPr>
          <w:p w14:paraId="6060AE45" w14:textId="77777777" w:rsidR="00FF3F04" w:rsidRPr="00FF3F04" w:rsidRDefault="00FF3F04" w:rsidP="00FF3F04">
            <w:pPr>
              <w:spacing w:line="240" w:lineRule="auto"/>
              <w:jc w:val="center"/>
              <w:rPr>
                <w:rFonts w:eastAsia="Times New Roman" w:cs="Calibri"/>
                <w:b/>
                <w:bCs/>
                <w:color w:val="000000"/>
                <w:sz w:val="20"/>
                <w:szCs w:val="20"/>
                <w:lang w:eastAsia="en-GB"/>
              </w:rPr>
            </w:pPr>
            <w:r w:rsidRPr="00FF3F04">
              <w:rPr>
                <w:rFonts w:eastAsia="Times New Roman" w:cs="Calibri"/>
                <w:b/>
                <w:bCs/>
                <w:color w:val="000000"/>
                <w:sz w:val="20"/>
                <w:szCs w:val="20"/>
                <w:lang w:eastAsia="en-GB"/>
              </w:rPr>
              <w:t> </w:t>
            </w:r>
          </w:p>
        </w:tc>
        <w:tc>
          <w:tcPr>
            <w:tcW w:w="1016" w:type="dxa"/>
            <w:tcBorders>
              <w:top w:val="single" w:sz="4" w:space="0" w:color="auto"/>
              <w:left w:val="nil"/>
              <w:bottom w:val="nil"/>
              <w:right w:val="single" w:sz="4" w:space="0" w:color="auto"/>
            </w:tcBorders>
            <w:shd w:val="clear" w:color="000000" w:fill="FFFFFF"/>
            <w:noWrap/>
            <w:vAlign w:val="center"/>
            <w:hideMark/>
          </w:tcPr>
          <w:p w14:paraId="780A8326" w14:textId="77777777" w:rsidR="00FF3F04" w:rsidRPr="00FF3F04" w:rsidRDefault="00FF3F04" w:rsidP="00FF3F04">
            <w:pPr>
              <w:spacing w:line="240" w:lineRule="auto"/>
              <w:jc w:val="center"/>
              <w:rPr>
                <w:rFonts w:eastAsia="Times New Roman" w:cs="Calibri"/>
                <w:b/>
                <w:bCs/>
                <w:color w:val="000000"/>
                <w:sz w:val="20"/>
                <w:szCs w:val="20"/>
                <w:lang w:eastAsia="en-GB"/>
              </w:rPr>
            </w:pPr>
            <w:r w:rsidRPr="00FF3F04">
              <w:rPr>
                <w:rFonts w:eastAsia="Times New Roman" w:cs="Calibri"/>
                <w:b/>
                <w:bCs/>
                <w:color w:val="000000"/>
                <w:sz w:val="20"/>
                <w:szCs w:val="20"/>
                <w:lang w:eastAsia="en-GB"/>
              </w:rPr>
              <w:t>2025/26</w:t>
            </w:r>
          </w:p>
        </w:tc>
        <w:tc>
          <w:tcPr>
            <w:tcW w:w="1016" w:type="dxa"/>
            <w:tcBorders>
              <w:top w:val="single" w:sz="4" w:space="0" w:color="auto"/>
              <w:left w:val="nil"/>
              <w:bottom w:val="nil"/>
              <w:right w:val="single" w:sz="4" w:space="0" w:color="auto"/>
            </w:tcBorders>
            <w:shd w:val="clear" w:color="000000" w:fill="FFFFFF"/>
            <w:noWrap/>
            <w:vAlign w:val="center"/>
            <w:hideMark/>
          </w:tcPr>
          <w:p w14:paraId="46565332" w14:textId="77777777" w:rsidR="00FF3F04" w:rsidRPr="00FF3F04" w:rsidRDefault="00FF3F04" w:rsidP="00FF3F04">
            <w:pPr>
              <w:spacing w:line="240" w:lineRule="auto"/>
              <w:jc w:val="center"/>
              <w:rPr>
                <w:rFonts w:eastAsia="Times New Roman" w:cs="Calibri"/>
                <w:b/>
                <w:bCs/>
                <w:color w:val="000000"/>
                <w:sz w:val="20"/>
                <w:szCs w:val="20"/>
                <w:lang w:eastAsia="en-GB"/>
              </w:rPr>
            </w:pPr>
            <w:r w:rsidRPr="00FF3F04">
              <w:rPr>
                <w:rFonts w:eastAsia="Times New Roman" w:cs="Calibri"/>
                <w:b/>
                <w:bCs/>
                <w:color w:val="000000"/>
                <w:sz w:val="20"/>
                <w:szCs w:val="20"/>
                <w:lang w:eastAsia="en-GB"/>
              </w:rPr>
              <w:t>2026/27</w:t>
            </w:r>
          </w:p>
        </w:tc>
        <w:tc>
          <w:tcPr>
            <w:tcW w:w="1016" w:type="dxa"/>
            <w:tcBorders>
              <w:top w:val="single" w:sz="4" w:space="0" w:color="auto"/>
              <w:left w:val="nil"/>
              <w:bottom w:val="nil"/>
              <w:right w:val="single" w:sz="4" w:space="0" w:color="auto"/>
            </w:tcBorders>
            <w:shd w:val="clear" w:color="000000" w:fill="FFFFFF"/>
            <w:noWrap/>
            <w:vAlign w:val="center"/>
            <w:hideMark/>
          </w:tcPr>
          <w:p w14:paraId="78C291E2" w14:textId="77777777" w:rsidR="00FF3F04" w:rsidRPr="00FF3F04" w:rsidRDefault="00FF3F04" w:rsidP="00FF3F04">
            <w:pPr>
              <w:spacing w:line="240" w:lineRule="auto"/>
              <w:jc w:val="center"/>
              <w:rPr>
                <w:rFonts w:eastAsia="Times New Roman" w:cs="Calibri"/>
                <w:b/>
                <w:bCs/>
                <w:color w:val="000000"/>
                <w:sz w:val="20"/>
                <w:szCs w:val="20"/>
                <w:lang w:eastAsia="en-GB"/>
              </w:rPr>
            </w:pPr>
            <w:r w:rsidRPr="00FF3F04">
              <w:rPr>
                <w:rFonts w:eastAsia="Times New Roman" w:cs="Calibri"/>
                <w:b/>
                <w:bCs/>
                <w:color w:val="000000"/>
                <w:sz w:val="20"/>
                <w:szCs w:val="20"/>
                <w:lang w:eastAsia="en-GB"/>
              </w:rPr>
              <w:t>2027/28</w:t>
            </w:r>
          </w:p>
        </w:tc>
        <w:tc>
          <w:tcPr>
            <w:tcW w:w="1016" w:type="dxa"/>
            <w:tcBorders>
              <w:top w:val="single" w:sz="4" w:space="0" w:color="auto"/>
              <w:left w:val="nil"/>
              <w:bottom w:val="nil"/>
              <w:right w:val="single" w:sz="4" w:space="0" w:color="auto"/>
            </w:tcBorders>
            <w:shd w:val="clear" w:color="000000" w:fill="FFFFFF"/>
            <w:noWrap/>
            <w:vAlign w:val="center"/>
            <w:hideMark/>
          </w:tcPr>
          <w:p w14:paraId="5B637A72" w14:textId="77777777" w:rsidR="00FF3F04" w:rsidRPr="00FF3F04" w:rsidRDefault="00FF3F04" w:rsidP="00FF3F04">
            <w:pPr>
              <w:spacing w:line="240" w:lineRule="auto"/>
              <w:jc w:val="center"/>
              <w:rPr>
                <w:rFonts w:eastAsia="Times New Roman" w:cs="Calibri"/>
                <w:b/>
                <w:bCs/>
                <w:color w:val="000000"/>
                <w:sz w:val="20"/>
                <w:szCs w:val="20"/>
                <w:lang w:eastAsia="en-GB"/>
              </w:rPr>
            </w:pPr>
            <w:r w:rsidRPr="00FF3F04">
              <w:rPr>
                <w:rFonts w:eastAsia="Times New Roman" w:cs="Calibri"/>
                <w:b/>
                <w:bCs/>
                <w:color w:val="000000"/>
                <w:sz w:val="20"/>
                <w:szCs w:val="20"/>
                <w:lang w:eastAsia="en-GB"/>
              </w:rPr>
              <w:t>2028/29</w:t>
            </w:r>
          </w:p>
        </w:tc>
        <w:tc>
          <w:tcPr>
            <w:tcW w:w="1016" w:type="dxa"/>
            <w:tcBorders>
              <w:top w:val="single" w:sz="4" w:space="0" w:color="auto"/>
              <w:left w:val="nil"/>
              <w:bottom w:val="nil"/>
              <w:right w:val="single" w:sz="4" w:space="0" w:color="auto"/>
            </w:tcBorders>
            <w:shd w:val="clear" w:color="000000" w:fill="FFFFFF"/>
            <w:noWrap/>
            <w:vAlign w:val="center"/>
            <w:hideMark/>
          </w:tcPr>
          <w:p w14:paraId="125D3E42" w14:textId="77777777" w:rsidR="00FF3F04" w:rsidRPr="00FF3F04" w:rsidRDefault="00FF3F04" w:rsidP="00FF3F04">
            <w:pPr>
              <w:spacing w:line="240" w:lineRule="auto"/>
              <w:jc w:val="center"/>
              <w:rPr>
                <w:rFonts w:eastAsia="Times New Roman" w:cs="Calibri"/>
                <w:b/>
                <w:bCs/>
                <w:color w:val="000000"/>
                <w:sz w:val="20"/>
                <w:szCs w:val="20"/>
                <w:lang w:eastAsia="en-GB"/>
              </w:rPr>
            </w:pPr>
            <w:r w:rsidRPr="00FF3F04">
              <w:rPr>
                <w:rFonts w:eastAsia="Times New Roman" w:cs="Calibri"/>
                <w:b/>
                <w:bCs/>
                <w:color w:val="000000"/>
                <w:sz w:val="20"/>
                <w:szCs w:val="20"/>
                <w:lang w:eastAsia="en-GB"/>
              </w:rPr>
              <w:t>2029/30</w:t>
            </w:r>
          </w:p>
        </w:tc>
      </w:tr>
      <w:tr w:rsidR="00FF3F04" w:rsidRPr="00FF3F04" w14:paraId="283176E1" w14:textId="77777777" w:rsidTr="00FF3F04">
        <w:trPr>
          <w:trHeight w:val="300"/>
        </w:trPr>
        <w:tc>
          <w:tcPr>
            <w:tcW w:w="1076" w:type="dxa"/>
            <w:tcBorders>
              <w:top w:val="nil"/>
              <w:left w:val="single" w:sz="4" w:space="0" w:color="auto"/>
              <w:bottom w:val="single" w:sz="4" w:space="0" w:color="auto"/>
              <w:right w:val="single" w:sz="4" w:space="0" w:color="auto"/>
            </w:tcBorders>
            <w:shd w:val="clear" w:color="000000" w:fill="FFFFFF"/>
            <w:noWrap/>
            <w:vAlign w:val="center"/>
            <w:hideMark/>
          </w:tcPr>
          <w:p w14:paraId="53B83A48" w14:textId="77777777" w:rsidR="00FF3F04" w:rsidRPr="00FF3F04" w:rsidRDefault="00FF3F04" w:rsidP="00FF3F04">
            <w:pPr>
              <w:spacing w:line="240" w:lineRule="auto"/>
              <w:jc w:val="center"/>
              <w:rPr>
                <w:rFonts w:eastAsia="Times New Roman" w:cs="Calibri"/>
                <w:b/>
                <w:bCs/>
                <w:color w:val="000000"/>
                <w:sz w:val="20"/>
                <w:szCs w:val="20"/>
                <w:lang w:eastAsia="en-GB"/>
              </w:rPr>
            </w:pPr>
            <w:r w:rsidRPr="00FF3F04">
              <w:rPr>
                <w:rFonts w:eastAsia="Times New Roman" w:cs="Calibri"/>
                <w:b/>
                <w:bCs/>
                <w:color w:val="000000"/>
                <w:sz w:val="20"/>
                <w:szCs w:val="20"/>
                <w:lang w:eastAsia="en-GB"/>
              </w:rPr>
              <w:t>£'000</w:t>
            </w:r>
          </w:p>
        </w:tc>
        <w:tc>
          <w:tcPr>
            <w:tcW w:w="3868" w:type="dxa"/>
            <w:tcBorders>
              <w:top w:val="nil"/>
              <w:left w:val="nil"/>
              <w:bottom w:val="single" w:sz="4" w:space="0" w:color="auto"/>
              <w:right w:val="single" w:sz="4" w:space="0" w:color="auto"/>
            </w:tcBorders>
            <w:shd w:val="clear" w:color="000000" w:fill="FFFFFF"/>
            <w:noWrap/>
            <w:vAlign w:val="center"/>
            <w:hideMark/>
          </w:tcPr>
          <w:p w14:paraId="5DA0C1C2" w14:textId="77777777" w:rsidR="00FF3F04" w:rsidRPr="00FF3F04" w:rsidRDefault="00FF3F04" w:rsidP="00FF3F04">
            <w:pPr>
              <w:spacing w:line="240" w:lineRule="auto"/>
              <w:jc w:val="center"/>
              <w:rPr>
                <w:rFonts w:eastAsia="Times New Roman" w:cs="Calibri"/>
                <w:b/>
                <w:bCs/>
                <w:color w:val="000000"/>
                <w:sz w:val="20"/>
                <w:szCs w:val="20"/>
                <w:lang w:eastAsia="en-GB"/>
              </w:rPr>
            </w:pPr>
            <w:r w:rsidRPr="00FF3F04">
              <w:rPr>
                <w:rFonts w:eastAsia="Times New Roman" w:cs="Calibri"/>
                <w:b/>
                <w:bCs/>
                <w:color w:val="000000"/>
                <w:sz w:val="20"/>
                <w:szCs w:val="20"/>
                <w:lang w:eastAsia="en-GB"/>
              </w:rPr>
              <w:t> </w:t>
            </w:r>
          </w:p>
        </w:tc>
        <w:tc>
          <w:tcPr>
            <w:tcW w:w="1016" w:type="dxa"/>
            <w:tcBorders>
              <w:top w:val="nil"/>
              <w:left w:val="nil"/>
              <w:bottom w:val="single" w:sz="4" w:space="0" w:color="auto"/>
              <w:right w:val="single" w:sz="4" w:space="0" w:color="auto"/>
            </w:tcBorders>
            <w:shd w:val="clear" w:color="000000" w:fill="FFFFFF"/>
            <w:noWrap/>
            <w:vAlign w:val="center"/>
            <w:hideMark/>
          </w:tcPr>
          <w:p w14:paraId="7B361500" w14:textId="77777777" w:rsidR="00FF3F04" w:rsidRPr="00FF3F04" w:rsidRDefault="00FF3F04" w:rsidP="00FF3F04">
            <w:pPr>
              <w:spacing w:line="240" w:lineRule="auto"/>
              <w:jc w:val="center"/>
              <w:rPr>
                <w:rFonts w:eastAsia="Times New Roman" w:cs="Calibri"/>
                <w:b/>
                <w:bCs/>
                <w:color w:val="000000"/>
                <w:sz w:val="20"/>
                <w:szCs w:val="20"/>
                <w:lang w:eastAsia="en-GB"/>
              </w:rPr>
            </w:pPr>
            <w:r w:rsidRPr="00FF3F04">
              <w:rPr>
                <w:rFonts w:eastAsia="Times New Roman" w:cs="Calibri"/>
                <w:b/>
                <w:bCs/>
                <w:color w:val="000000"/>
                <w:sz w:val="20"/>
                <w:szCs w:val="20"/>
                <w:lang w:eastAsia="en-GB"/>
              </w:rPr>
              <w:t>£'000</w:t>
            </w:r>
          </w:p>
        </w:tc>
        <w:tc>
          <w:tcPr>
            <w:tcW w:w="1016" w:type="dxa"/>
            <w:tcBorders>
              <w:top w:val="nil"/>
              <w:left w:val="nil"/>
              <w:bottom w:val="single" w:sz="4" w:space="0" w:color="auto"/>
              <w:right w:val="single" w:sz="4" w:space="0" w:color="auto"/>
            </w:tcBorders>
            <w:shd w:val="clear" w:color="000000" w:fill="FFFFFF"/>
            <w:noWrap/>
            <w:vAlign w:val="center"/>
            <w:hideMark/>
          </w:tcPr>
          <w:p w14:paraId="64D0A5EC" w14:textId="77777777" w:rsidR="00FF3F04" w:rsidRPr="00FF3F04" w:rsidRDefault="00FF3F04" w:rsidP="00FF3F04">
            <w:pPr>
              <w:spacing w:line="240" w:lineRule="auto"/>
              <w:jc w:val="center"/>
              <w:rPr>
                <w:rFonts w:eastAsia="Times New Roman" w:cs="Calibri"/>
                <w:b/>
                <w:bCs/>
                <w:color w:val="000000"/>
                <w:sz w:val="20"/>
                <w:szCs w:val="20"/>
                <w:lang w:eastAsia="en-GB"/>
              </w:rPr>
            </w:pPr>
            <w:r w:rsidRPr="00FF3F04">
              <w:rPr>
                <w:rFonts w:eastAsia="Times New Roman" w:cs="Calibri"/>
                <w:b/>
                <w:bCs/>
                <w:color w:val="000000"/>
                <w:sz w:val="20"/>
                <w:szCs w:val="20"/>
                <w:lang w:eastAsia="en-GB"/>
              </w:rPr>
              <w:t>£'000</w:t>
            </w:r>
          </w:p>
        </w:tc>
        <w:tc>
          <w:tcPr>
            <w:tcW w:w="1016" w:type="dxa"/>
            <w:tcBorders>
              <w:top w:val="nil"/>
              <w:left w:val="nil"/>
              <w:bottom w:val="single" w:sz="4" w:space="0" w:color="auto"/>
              <w:right w:val="single" w:sz="4" w:space="0" w:color="auto"/>
            </w:tcBorders>
            <w:shd w:val="clear" w:color="000000" w:fill="FFFFFF"/>
            <w:noWrap/>
            <w:vAlign w:val="center"/>
            <w:hideMark/>
          </w:tcPr>
          <w:p w14:paraId="337A3191" w14:textId="77777777" w:rsidR="00FF3F04" w:rsidRPr="00FF3F04" w:rsidRDefault="00FF3F04" w:rsidP="00FF3F04">
            <w:pPr>
              <w:spacing w:line="240" w:lineRule="auto"/>
              <w:jc w:val="center"/>
              <w:rPr>
                <w:rFonts w:eastAsia="Times New Roman" w:cs="Calibri"/>
                <w:b/>
                <w:bCs/>
                <w:color w:val="000000"/>
                <w:sz w:val="20"/>
                <w:szCs w:val="20"/>
                <w:lang w:eastAsia="en-GB"/>
              </w:rPr>
            </w:pPr>
            <w:r w:rsidRPr="00FF3F04">
              <w:rPr>
                <w:rFonts w:eastAsia="Times New Roman" w:cs="Calibri"/>
                <w:b/>
                <w:bCs/>
                <w:color w:val="000000"/>
                <w:sz w:val="20"/>
                <w:szCs w:val="20"/>
                <w:lang w:eastAsia="en-GB"/>
              </w:rPr>
              <w:t>£'000</w:t>
            </w:r>
          </w:p>
        </w:tc>
        <w:tc>
          <w:tcPr>
            <w:tcW w:w="1016" w:type="dxa"/>
            <w:tcBorders>
              <w:top w:val="nil"/>
              <w:left w:val="nil"/>
              <w:bottom w:val="single" w:sz="4" w:space="0" w:color="auto"/>
              <w:right w:val="single" w:sz="4" w:space="0" w:color="auto"/>
            </w:tcBorders>
            <w:shd w:val="clear" w:color="000000" w:fill="FFFFFF"/>
            <w:noWrap/>
            <w:vAlign w:val="center"/>
            <w:hideMark/>
          </w:tcPr>
          <w:p w14:paraId="71CC518D" w14:textId="77777777" w:rsidR="00FF3F04" w:rsidRPr="00FF3F04" w:rsidRDefault="00FF3F04" w:rsidP="00FF3F04">
            <w:pPr>
              <w:spacing w:line="240" w:lineRule="auto"/>
              <w:jc w:val="center"/>
              <w:rPr>
                <w:rFonts w:eastAsia="Times New Roman" w:cs="Calibri"/>
                <w:b/>
                <w:bCs/>
                <w:color w:val="000000"/>
                <w:sz w:val="20"/>
                <w:szCs w:val="20"/>
                <w:lang w:eastAsia="en-GB"/>
              </w:rPr>
            </w:pPr>
            <w:r w:rsidRPr="00FF3F04">
              <w:rPr>
                <w:rFonts w:eastAsia="Times New Roman" w:cs="Calibri"/>
                <w:b/>
                <w:bCs/>
                <w:color w:val="000000"/>
                <w:sz w:val="20"/>
                <w:szCs w:val="20"/>
                <w:lang w:eastAsia="en-GB"/>
              </w:rPr>
              <w:t>£'000</w:t>
            </w:r>
          </w:p>
        </w:tc>
        <w:tc>
          <w:tcPr>
            <w:tcW w:w="1016" w:type="dxa"/>
            <w:tcBorders>
              <w:top w:val="nil"/>
              <w:left w:val="nil"/>
              <w:bottom w:val="single" w:sz="4" w:space="0" w:color="auto"/>
              <w:right w:val="single" w:sz="4" w:space="0" w:color="auto"/>
            </w:tcBorders>
            <w:shd w:val="clear" w:color="000000" w:fill="FFFFFF"/>
            <w:noWrap/>
            <w:vAlign w:val="center"/>
            <w:hideMark/>
          </w:tcPr>
          <w:p w14:paraId="4661922C" w14:textId="77777777" w:rsidR="00FF3F04" w:rsidRPr="00FF3F04" w:rsidRDefault="00FF3F04" w:rsidP="00FF3F04">
            <w:pPr>
              <w:spacing w:line="240" w:lineRule="auto"/>
              <w:jc w:val="center"/>
              <w:rPr>
                <w:rFonts w:eastAsia="Times New Roman" w:cs="Calibri"/>
                <w:b/>
                <w:bCs/>
                <w:color w:val="000000"/>
                <w:sz w:val="20"/>
                <w:szCs w:val="20"/>
                <w:lang w:eastAsia="en-GB"/>
              </w:rPr>
            </w:pPr>
            <w:r w:rsidRPr="00FF3F04">
              <w:rPr>
                <w:rFonts w:eastAsia="Times New Roman" w:cs="Calibri"/>
                <w:b/>
                <w:bCs/>
                <w:color w:val="000000"/>
                <w:sz w:val="20"/>
                <w:szCs w:val="20"/>
                <w:lang w:eastAsia="en-GB"/>
              </w:rPr>
              <w:t>£'000</w:t>
            </w:r>
          </w:p>
        </w:tc>
      </w:tr>
      <w:tr w:rsidR="00FF3F04" w:rsidRPr="00FF3F04" w14:paraId="404A7445" w14:textId="77777777" w:rsidTr="00FF3F04">
        <w:trPr>
          <w:trHeight w:val="300"/>
        </w:trPr>
        <w:tc>
          <w:tcPr>
            <w:tcW w:w="1076" w:type="dxa"/>
            <w:tcBorders>
              <w:top w:val="nil"/>
              <w:left w:val="single" w:sz="4" w:space="0" w:color="auto"/>
              <w:bottom w:val="nil"/>
              <w:right w:val="single" w:sz="4" w:space="0" w:color="auto"/>
            </w:tcBorders>
            <w:shd w:val="clear" w:color="000000" w:fill="FFFFFF"/>
            <w:noWrap/>
            <w:vAlign w:val="center"/>
            <w:hideMark/>
          </w:tcPr>
          <w:p w14:paraId="0CAA67DD"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97,537</w:t>
            </w:r>
          </w:p>
        </w:tc>
        <w:tc>
          <w:tcPr>
            <w:tcW w:w="3868" w:type="dxa"/>
            <w:tcBorders>
              <w:top w:val="single" w:sz="4" w:space="0" w:color="auto"/>
              <w:left w:val="nil"/>
              <w:bottom w:val="nil"/>
              <w:right w:val="single" w:sz="4" w:space="0" w:color="auto"/>
            </w:tcBorders>
            <w:shd w:val="clear" w:color="000000" w:fill="FFFFFF"/>
            <w:noWrap/>
            <w:vAlign w:val="center"/>
            <w:hideMark/>
          </w:tcPr>
          <w:p w14:paraId="005F3FC3"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Police Officers</w:t>
            </w:r>
          </w:p>
        </w:tc>
        <w:tc>
          <w:tcPr>
            <w:tcW w:w="1016" w:type="dxa"/>
            <w:tcBorders>
              <w:top w:val="single" w:sz="4" w:space="0" w:color="auto"/>
              <w:left w:val="nil"/>
              <w:bottom w:val="nil"/>
              <w:right w:val="single" w:sz="4" w:space="0" w:color="auto"/>
            </w:tcBorders>
            <w:shd w:val="clear" w:color="000000" w:fill="FFFFFF"/>
            <w:noWrap/>
            <w:vAlign w:val="center"/>
            <w:hideMark/>
          </w:tcPr>
          <w:p w14:paraId="611DD156"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103,576</w:t>
            </w:r>
          </w:p>
        </w:tc>
        <w:tc>
          <w:tcPr>
            <w:tcW w:w="1016" w:type="dxa"/>
            <w:tcBorders>
              <w:top w:val="single" w:sz="4" w:space="0" w:color="auto"/>
              <w:left w:val="nil"/>
              <w:bottom w:val="nil"/>
              <w:right w:val="single" w:sz="4" w:space="0" w:color="auto"/>
            </w:tcBorders>
            <w:shd w:val="clear" w:color="000000" w:fill="FFFFFF"/>
            <w:noWrap/>
            <w:vAlign w:val="center"/>
            <w:hideMark/>
          </w:tcPr>
          <w:p w14:paraId="4FF4C49B"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107,183</w:t>
            </w:r>
          </w:p>
        </w:tc>
        <w:tc>
          <w:tcPr>
            <w:tcW w:w="1016" w:type="dxa"/>
            <w:tcBorders>
              <w:top w:val="single" w:sz="4" w:space="0" w:color="auto"/>
              <w:left w:val="nil"/>
              <w:bottom w:val="nil"/>
              <w:right w:val="single" w:sz="4" w:space="0" w:color="auto"/>
            </w:tcBorders>
            <w:shd w:val="clear" w:color="000000" w:fill="FFFFFF"/>
            <w:noWrap/>
            <w:vAlign w:val="center"/>
            <w:hideMark/>
          </w:tcPr>
          <w:p w14:paraId="7C2759E7"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109,455</w:t>
            </w:r>
          </w:p>
        </w:tc>
        <w:tc>
          <w:tcPr>
            <w:tcW w:w="1016" w:type="dxa"/>
            <w:tcBorders>
              <w:top w:val="single" w:sz="4" w:space="0" w:color="auto"/>
              <w:left w:val="nil"/>
              <w:bottom w:val="nil"/>
              <w:right w:val="single" w:sz="4" w:space="0" w:color="auto"/>
            </w:tcBorders>
            <w:shd w:val="clear" w:color="000000" w:fill="FFFFFF"/>
            <w:noWrap/>
            <w:vAlign w:val="center"/>
            <w:hideMark/>
          </w:tcPr>
          <w:p w14:paraId="0CB0ECD4"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111,927</w:t>
            </w:r>
          </w:p>
        </w:tc>
        <w:tc>
          <w:tcPr>
            <w:tcW w:w="1016" w:type="dxa"/>
            <w:tcBorders>
              <w:top w:val="single" w:sz="4" w:space="0" w:color="auto"/>
              <w:left w:val="nil"/>
              <w:bottom w:val="nil"/>
              <w:right w:val="single" w:sz="4" w:space="0" w:color="auto"/>
            </w:tcBorders>
            <w:shd w:val="clear" w:color="000000" w:fill="FFFFFF"/>
            <w:noWrap/>
            <w:vAlign w:val="center"/>
            <w:hideMark/>
          </w:tcPr>
          <w:p w14:paraId="7A7A48DE"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113,193</w:t>
            </w:r>
          </w:p>
        </w:tc>
      </w:tr>
      <w:tr w:rsidR="00FF3F04" w:rsidRPr="00FF3F04" w14:paraId="688D2119" w14:textId="77777777" w:rsidTr="00FF3F04">
        <w:trPr>
          <w:trHeight w:val="300"/>
        </w:trPr>
        <w:tc>
          <w:tcPr>
            <w:tcW w:w="1076" w:type="dxa"/>
            <w:tcBorders>
              <w:top w:val="nil"/>
              <w:left w:val="single" w:sz="4" w:space="0" w:color="auto"/>
              <w:bottom w:val="nil"/>
              <w:right w:val="single" w:sz="4" w:space="0" w:color="auto"/>
            </w:tcBorders>
            <w:shd w:val="clear" w:color="000000" w:fill="FFFFFF"/>
            <w:noWrap/>
            <w:vAlign w:val="center"/>
            <w:hideMark/>
          </w:tcPr>
          <w:p w14:paraId="035B4C38"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32,072</w:t>
            </w:r>
          </w:p>
        </w:tc>
        <w:tc>
          <w:tcPr>
            <w:tcW w:w="3868" w:type="dxa"/>
            <w:tcBorders>
              <w:top w:val="nil"/>
              <w:left w:val="nil"/>
              <w:bottom w:val="nil"/>
              <w:right w:val="single" w:sz="4" w:space="0" w:color="auto"/>
            </w:tcBorders>
            <w:shd w:val="clear" w:color="000000" w:fill="FFFFFF"/>
            <w:noWrap/>
            <w:vAlign w:val="center"/>
            <w:hideMark/>
          </w:tcPr>
          <w:p w14:paraId="6087A8F4"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Police Staff</w:t>
            </w:r>
          </w:p>
        </w:tc>
        <w:tc>
          <w:tcPr>
            <w:tcW w:w="1016" w:type="dxa"/>
            <w:tcBorders>
              <w:top w:val="nil"/>
              <w:left w:val="nil"/>
              <w:bottom w:val="nil"/>
              <w:right w:val="single" w:sz="4" w:space="0" w:color="auto"/>
            </w:tcBorders>
            <w:shd w:val="clear" w:color="000000" w:fill="FFFFFF"/>
            <w:noWrap/>
            <w:vAlign w:val="center"/>
            <w:hideMark/>
          </w:tcPr>
          <w:p w14:paraId="4F6983B6"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36,323</w:t>
            </w:r>
          </w:p>
        </w:tc>
        <w:tc>
          <w:tcPr>
            <w:tcW w:w="1016" w:type="dxa"/>
            <w:tcBorders>
              <w:top w:val="nil"/>
              <w:left w:val="nil"/>
              <w:bottom w:val="nil"/>
              <w:right w:val="single" w:sz="4" w:space="0" w:color="auto"/>
            </w:tcBorders>
            <w:shd w:val="clear" w:color="000000" w:fill="FFFFFF"/>
            <w:noWrap/>
            <w:vAlign w:val="center"/>
            <w:hideMark/>
          </w:tcPr>
          <w:p w14:paraId="1DEECC9D"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37,718</w:t>
            </w:r>
          </w:p>
        </w:tc>
        <w:tc>
          <w:tcPr>
            <w:tcW w:w="1016" w:type="dxa"/>
            <w:tcBorders>
              <w:top w:val="nil"/>
              <w:left w:val="nil"/>
              <w:bottom w:val="nil"/>
              <w:right w:val="single" w:sz="4" w:space="0" w:color="auto"/>
            </w:tcBorders>
            <w:shd w:val="clear" w:color="000000" w:fill="FFFFFF"/>
            <w:noWrap/>
            <w:vAlign w:val="center"/>
            <w:hideMark/>
          </w:tcPr>
          <w:p w14:paraId="6D2C614C"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38,497</w:t>
            </w:r>
          </w:p>
        </w:tc>
        <w:tc>
          <w:tcPr>
            <w:tcW w:w="1016" w:type="dxa"/>
            <w:tcBorders>
              <w:top w:val="nil"/>
              <w:left w:val="nil"/>
              <w:bottom w:val="nil"/>
              <w:right w:val="single" w:sz="4" w:space="0" w:color="auto"/>
            </w:tcBorders>
            <w:shd w:val="clear" w:color="000000" w:fill="FFFFFF"/>
            <w:noWrap/>
            <w:vAlign w:val="center"/>
            <w:hideMark/>
          </w:tcPr>
          <w:p w14:paraId="5A9D9EA3"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39,395</w:t>
            </w:r>
          </w:p>
        </w:tc>
        <w:tc>
          <w:tcPr>
            <w:tcW w:w="1016" w:type="dxa"/>
            <w:tcBorders>
              <w:top w:val="nil"/>
              <w:left w:val="nil"/>
              <w:bottom w:val="nil"/>
              <w:right w:val="single" w:sz="4" w:space="0" w:color="auto"/>
            </w:tcBorders>
            <w:shd w:val="clear" w:color="000000" w:fill="FFFFFF"/>
            <w:noWrap/>
            <w:vAlign w:val="center"/>
            <w:hideMark/>
          </w:tcPr>
          <w:p w14:paraId="6BDBC122"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40,041</w:t>
            </w:r>
          </w:p>
        </w:tc>
      </w:tr>
      <w:tr w:rsidR="00FF3F04" w:rsidRPr="00FF3F04" w14:paraId="3F758DC5" w14:textId="77777777" w:rsidTr="00FF3F04">
        <w:trPr>
          <w:trHeight w:val="300"/>
        </w:trPr>
        <w:tc>
          <w:tcPr>
            <w:tcW w:w="1076" w:type="dxa"/>
            <w:tcBorders>
              <w:top w:val="nil"/>
              <w:left w:val="single" w:sz="4" w:space="0" w:color="auto"/>
              <w:bottom w:val="nil"/>
              <w:right w:val="single" w:sz="4" w:space="0" w:color="auto"/>
            </w:tcBorders>
            <w:shd w:val="clear" w:color="000000" w:fill="FFFFFF"/>
            <w:noWrap/>
            <w:vAlign w:val="center"/>
            <w:hideMark/>
          </w:tcPr>
          <w:p w14:paraId="093B9DB8"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3,973</w:t>
            </w:r>
          </w:p>
        </w:tc>
        <w:tc>
          <w:tcPr>
            <w:tcW w:w="3868" w:type="dxa"/>
            <w:tcBorders>
              <w:top w:val="nil"/>
              <w:left w:val="nil"/>
              <w:bottom w:val="nil"/>
              <w:right w:val="single" w:sz="4" w:space="0" w:color="auto"/>
            </w:tcBorders>
            <w:shd w:val="clear" w:color="000000" w:fill="FFFFFF"/>
            <w:noWrap/>
            <w:vAlign w:val="center"/>
            <w:hideMark/>
          </w:tcPr>
          <w:p w14:paraId="4F1E42F5"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PCSOs</w:t>
            </w:r>
          </w:p>
        </w:tc>
        <w:tc>
          <w:tcPr>
            <w:tcW w:w="1016" w:type="dxa"/>
            <w:tcBorders>
              <w:top w:val="nil"/>
              <w:left w:val="nil"/>
              <w:bottom w:val="nil"/>
              <w:right w:val="single" w:sz="4" w:space="0" w:color="auto"/>
            </w:tcBorders>
            <w:shd w:val="clear" w:color="000000" w:fill="FFFFFF"/>
            <w:noWrap/>
            <w:vAlign w:val="center"/>
            <w:hideMark/>
          </w:tcPr>
          <w:p w14:paraId="56FB83CC"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4,169</w:t>
            </w:r>
          </w:p>
        </w:tc>
        <w:tc>
          <w:tcPr>
            <w:tcW w:w="1016" w:type="dxa"/>
            <w:tcBorders>
              <w:top w:val="nil"/>
              <w:left w:val="nil"/>
              <w:bottom w:val="nil"/>
              <w:right w:val="single" w:sz="4" w:space="0" w:color="auto"/>
            </w:tcBorders>
            <w:shd w:val="clear" w:color="000000" w:fill="FFFFFF"/>
            <w:noWrap/>
            <w:vAlign w:val="center"/>
            <w:hideMark/>
          </w:tcPr>
          <w:p w14:paraId="09FC1E4D"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4,270</w:t>
            </w:r>
          </w:p>
        </w:tc>
        <w:tc>
          <w:tcPr>
            <w:tcW w:w="1016" w:type="dxa"/>
            <w:tcBorders>
              <w:top w:val="nil"/>
              <w:left w:val="nil"/>
              <w:bottom w:val="nil"/>
              <w:right w:val="single" w:sz="4" w:space="0" w:color="auto"/>
            </w:tcBorders>
            <w:shd w:val="clear" w:color="000000" w:fill="FFFFFF"/>
            <w:noWrap/>
            <w:vAlign w:val="center"/>
            <w:hideMark/>
          </w:tcPr>
          <w:p w14:paraId="282326BF"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4,337</w:t>
            </w:r>
          </w:p>
        </w:tc>
        <w:tc>
          <w:tcPr>
            <w:tcW w:w="1016" w:type="dxa"/>
            <w:tcBorders>
              <w:top w:val="nil"/>
              <w:left w:val="nil"/>
              <w:bottom w:val="nil"/>
              <w:right w:val="single" w:sz="4" w:space="0" w:color="auto"/>
            </w:tcBorders>
            <w:shd w:val="clear" w:color="000000" w:fill="FFFFFF"/>
            <w:noWrap/>
            <w:vAlign w:val="center"/>
            <w:hideMark/>
          </w:tcPr>
          <w:p w14:paraId="67923EC2"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4,405</w:t>
            </w:r>
          </w:p>
        </w:tc>
        <w:tc>
          <w:tcPr>
            <w:tcW w:w="1016" w:type="dxa"/>
            <w:tcBorders>
              <w:top w:val="nil"/>
              <w:left w:val="nil"/>
              <w:bottom w:val="nil"/>
              <w:right w:val="single" w:sz="4" w:space="0" w:color="auto"/>
            </w:tcBorders>
            <w:shd w:val="clear" w:color="000000" w:fill="FFFFFF"/>
            <w:noWrap/>
            <w:vAlign w:val="center"/>
            <w:hideMark/>
          </w:tcPr>
          <w:p w14:paraId="707E7C5A"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4,454</w:t>
            </w:r>
          </w:p>
        </w:tc>
      </w:tr>
      <w:tr w:rsidR="00FF3F04" w:rsidRPr="00FF3F04" w14:paraId="240445EF" w14:textId="77777777" w:rsidTr="00FF3F04">
        <w:trPr>
          <w:trHeight w:val="300"/>
        </w:trPr>
        <w:tc>
          <w:tcPr>
            <w:tcW w:w="1076" w:type="dxa"/>
            <w:tcBorders>
              <w:top w:val="nil"/>
              <w:left w:val="single" w:sz="4" w:space="0" w:color="auto"/>
              <w:bottom w:val="nil"/>
              <w:right w:val="single" w:sz="4" w:space="0" w:color="auto"/>
            </w:tcBorders>
            <w:shd w:val="clear" w:color="000000" w:fill="FFFFFF"/>
            <w:noWrap/>
            <w:vAlign w:val="center"/>
            <w:hideMark/>
          </w:tcPr>
          <w:p w14:paraId="1BCC88D3"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1,235</w:t>
            </w:r>
          </w:p>
        </w:tc>
        <w:tc>
          <w:tcPr>
            <w:tcW w:w="3868" w:type="dxa"/>
            <w:tcBorders>
              <w:top w:val="nil"/>
              <w:left w:val="nil"/>
              <w:bottom w:val="nil"/>
              <w:right w:val="single" w:sz="4" w:space="0" w:color="auto"/>
            </w:tcBorders>
            <w:shd w:val="clear" w:color="000000" w:fill="FFFFFF"/>
            <w:noWrap/>
            <w:vAlign w:val="center"/>
            <w:hideMark/>
          </w:tcPr>
          <w:p w14:paraId="10A9BA5B"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Other Pension Costs</w:t>
            </w:r>
          </w:p>
        </w:tc>
        <w:tc>
          <w:tcPr>
            <w:tcW w:w="1016" w:type="dxa"/>
            <w:tcBorders>
              <w:top w:val="nil"/>
              <w:left w:val="nil"/>
              <w:bottom w:val="nil"/>
              <w:right w:val="single" w:sz="4" w:space="0" w:color="auto"/>
            </w:tcBorders>
            <w:shd w:val="clear" w:color="000000" w:fill="FFFFFF"/>
            <w:noWrap/>
            <w:vAlign w:val="center"/>
            <w:hideMark/>
          </w:tcPr>
          <w:p w14:paraId="5A5EF545"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1,320</w:t>
            </w:r>
          </w:p>
        </w:tc>
        <w:tc>
          <w:tcPr>
            <w:tcW w:w="1016" w:type="dxa"/>
            <w:tcBorders>
              <w:top w:val="nil"/>
              <w:left w:val="nil"/>
              <w:bottom w:val="nil"/>
              <w:right w:val="single" w:sz="4" w:space="0" w:color="auto"/>
            </w:tcBorders>
            <w:shd w:val="clear" w:color="000000" w:fill="FFFFFF"/>
            <w:noWrap/>
            <w:vAlign w:val="center"/>
            <w:hideMark/>
          </w:tcPr>
          <w:p w14:paraId="07F44B76"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1,357</w:t>
            </w:r>
          </w:p>
        </w:tc>
        <w:tc>
          <w:tcPr>
            <w:tcW w:w="1016" w:type="dxa"/>
            <w:tcBorders>
              <w:top w:val="nil"/>
              <w:left w:val="nil"/>
              <w:bottom w:val="nil"/>
              <w:right w:val="single" w:sz="4" w:space="0" w:color="auto"/>
            </w:tcBorders>
            <w:shd w:val="clear" w:color="000000" w:fill="FFFFFF"/>
            <w:noWrap/>
            <w:vAlign w:val="center"/>
            <w:hideMark/>
          </w:tcPr>
          <w:p w14:paraId="41FF96DA"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1,382</w:t>
            </w:r>
          </w:p>
        </w:tc>
        <w:tc>
          <w:tcPr>
            <w:tcW w:w="1016" w:type="dxa"/>
            <w:tcBorders>
              <w:top w:val="nil"/>
              <w:left w:val="nil"/>
              <w:bottom w:val="nil"/>
              <w:right w:val="single" w:sz="4" w:space="0" w:color="auto"/>
            </w:tcBorders>
            <w:shd w:val="clear" w:color="000000" w:fill="FFFFFF"/>
            <w:noWrap/>
            <w:vAlign w:val="center"/>
            <w:hideMark/>
          </w:tcPr>
          <w:p w14:paraId="054B10C0"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1,407</w:t>
            </w:r>
          </w:p>
        </w:tc>
        <w:tc>
          <w:tcPr>
            <w:tcW w:w="1016" w:type="dxa"/>
            <w:tcBorders>
              <w:top w:val="nil"/>
              <w:left w:val="nil"/>
              <w:bottom w:val="nil"/>
              <w:right w:val="single" w:sz="4" w:space="0" w:color="auto"/>
            </w:tcBorders>
            <w:shd w:val="clear" w:color="000000" w:fill="FFFFFF"/>
            <w:noWrap/>
            <w:vAlign w:val="center"/>
            <w:hideMark/>
          </w:tcPr>
          <w:p w14:paraId="2BCE4A47"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1,425</w:t>
            </w:r>
          </w:p>
        </w:tc>
      </w:tr>
      <w:tr w:rsidR="00FF3F04" w:rsidRPr="00FF3F04" w14:paraId="7E55B4A6" w14:textId="77777777" w:rsidTr="00FF3F04">
        <w:trPr>
          <w:trHeight w:val="300"/>
        </w:trPr>
        <w:tc>
          <w:tcPr>
            <w:tcW w:w="1076" w:type="dxa"/>
            <w:tcBorders>
              <w:top w:val="nil"/>
              <w:left w:val="single" w:sz="4" w:space="0" w:color="auto"/>
              <w:bottom w:val="nil"/>
              <w:right w:val="single" w:sz="4" w:space="0" w:color="auto"/>
            </w:tcBorders>
            <w:shd w:val="clear" w:color="000000" w:fill="FFFFFF"/>
            <w:noWrap/>
            <w:vAlign w:val="center"/>
            <w:hideMark/>
          </w:tcPr>
          <w:p w14:paraId="52FBA7E2"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616</w:t>
            </w:r>
          </w:p>
        </w:tc>
        <w:tc>
          <w:tcPr>
            <w:tcW w:w="3868" w:type="dxa"/>
            <w:tcBorders>
              <w:top w:val="nil"/>
              <w:left w:val="nil"/>
              <w:bottom w:val="nil"/>
              <w:right w:val="single" w:sz="4" w:space="0" w:color="auto"/>
            </w:tcBorders>
            <w:shd w:val="clear" w:color="000000" w:fill="FFFFFF"/>
            <w:noWrap/>
            <w:vAlign w:val="center"/>
            <w:hideMark/>
          </w:tcPr>
          <w:p w14:paraId="1B645C93"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Other Employee Expenses</w:t>
            </w:r>
          </w:p>
        </w:tc>
        <w:tc>
          <w:tcPr>
            <w:tcW w:w="1016" w:type="dxa"/>
            <w:tcBorders>
              <w:top w:val="nil"/>
              <w:left w:val="nil"/>
              <w:bottom w:val="nil"/>
              <w:right w:val="single" w:sz="4" w:space="0" w:color="auto"/>
            </w:tcBorders>
            <w:shd w:val="clear" w:color="000000" w:fill="FFFFFF"/>
            <w:noWrap/>
            <w:vAlign w:val="center"/>
            <w:hideMark/>
          </w:tcPr>
          <w:p w14:paraId="74403436"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713</w:t>
            </w:r>
          </w:p>
        </w:tc>
        <w:tc>
          <w:tcPr>
            <w:tcW w:w="1016" w:type="dxa"/>
            <w:tcBorders>
              <w:top w:val="nil"/>
              <w:left w:val="nil"/>
              <w:bottom w:val="nil"/>
              <w:right w:val="single" w:sz="4" w:space="0" w:color="auto"/>
            </w:tcBorders>
            <w:shd w:val="clear" w:color="000000" w:fill="FFFFFF"/>
            <w:noWrap/>
            <w:vAlign w:val="center"/>
            <w:hideMark/>
          </w:tcPr>
          <w:p w14:paraId="5E200063"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734</w:t>
            </w:r>
          </w:p>
        </w:tc>
        <w:tc>
          <w:tcPr>
            <w:tcW w:w="1016" w:type="dxa"/>
            <w:tcBorders>
              <w:top w:val="nil"/>
              <w:left w:val="nil"/>
              <w:bottom w:val="nil"/>
              <w:right w:val="single" w:sz="4" w:space="0" w:color="auto"/>
            </w:tcBorders>
            <w:shd w:val="clear" w:color="000000" w:fill="FFFFFF"/>
            <w:noWrap/>
            <w:vAlign w:val="center"/>
            <w:hideMark/>
          </w:tcPr>
          <w:p w14:paraId="0CBBD113"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749</w:t>
            </w:r>
          </w:p>
        </w:tc>
        <w:tc>
          <w:tcPr>
            <w:tcW w:w="1016" w:type="dxa"/>
            <w:tcBorders>
              <w:top w:val="nil"/>
              <w:left w:val="nil"/>
              <w:bottom w:val="nil"/>
              <w:right w:val="single" w:sz="4" w:space="0" w:color="auto"/>
            </w:tcBorders>
            <w:shd w:val="clear" w:color="000000" w:fill="FFFFFF"/>
            <w:noWrap/>
            <w:vAlign w:val="center"/>
            <w:hideMark/>
          </w:tcPr>
          <w:p w14:paraId="1C508A17"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765</w:t>
            </w:r>
          </w:p>
        </w:tc>
        <w:tc>
          <w:tcPr>
            <w:tcW w:w="1016" w:type="dxa"/>
            <w:tcBorders>
              <w:top w:val="nil"/>
              <w:left w:val="nil"/>
              <w:bottom w:val="nil"/>
              <w:right w:val="single" w:sz="4" w:space="0" w:color="auto"/>
            </w:tcBorders>
            <w:shd w:val="clear" w:color="000000" w:fill="FFFFFF"/>
            <w:noWrap/>
            <w:vAlign w:val="center"/>
            <w:hideMark/>
          </w:tcPr>
          <w:p w14:paraId="58CE5312"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777</w:t>
            </w:r>
          </w:p>
        </w:tc>
      </w:tr>
      <w:tr w:rsidR="00FF3F04" w:rsidRPr="00FF3F04" w14:paraId="66436F25" w14:textId="77777777" w:rsidTr="00FF3F04">
        <w:trPr>
          <w:trHeight w:val="300"/>
        </w:trPr>
        <w:tc>
          <w:tcPr>
            <w:tcW w:w="1076" w:type="dxa"/>
            <w:tcBorders>
              <w:top w:val="nil"/>
              <w:left w:val="single" w:sz="4" w:space="0" w:color="auto"/>
              <w:bottom w:val="nil"/>
              <w:right w:val="single" w:sz="4" w:space="0" w:color="auto"/>
            </w:tcBorders>
            <w:shd w:val="clear" w:color="000000" w:fill="FFFFFF"/>
            <w:noWrap/>
            <w:vAlign w:val="center"/>
            <w:hideMark/>
          </w:tcPr>
          <w:p w14:paraId="39003FB6"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1,814</w:t>
            </w:r>
          </w:p>
        </w:tc>
        <w:tc>
          <w:tcPr>
            <w:tcW w:w="3868" w:type="dxa"/>
            <w:tcBorders>
              <w:top w:val="nil"/>
              <w:left w:val="nil"/>
              <w:bottom w:val="nil"/>
              <w:right w:val="single" w:sz="4" w:space="0" w:color="auto"/>
            </w:tcBorders>
            <w:shd w:val="clear" w:color="000000" w:fill="FFFFFF"/>
            <w:noWrap/>
            <w:vAlign w:val="center"/>
            <w:hideMark/>
          </w:tcPr>
          <w:p w14:paraId="59990940"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National ICT Charges (inc. PNC)</w:t>
            </w:r>
          </w:p>
        </w:tc>
        <w:tc>
          <w:tcPr>
            <w:tcW w:w="1016" w:type="dxa"/>
            <w:tcBorders>
              <w:top w:val="nil"/>
              <w:left w:val="nil"/>
              <w:bottom w:val="nil"/>
              <w:right w:val="single" w:sz="4" w:space="0" w:color="auto"/>
            </w:tcBorders>
            <w:shd w:val="clear" w:color="000000" w:fill="FFFFFF"/>
            <w:noWrap/>
            <w:vAlign w:val="center"/>
            <w:hideMark/>
          </w:tcPr>
          <w:p w14:paraId="5F04B7D0"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2,094</w:t>
            </w:r>
          </w:p>
        </w:tc>
        <w:tc>
          <w:tcPr>
            <w:tcW w:w="1016" w:type="dxa"/>
            <w:tcBorders>
              <w:top w:val="nil"/>
              <w:left w:val="nil"/>
              <w:bottom w:val="nil"/>
              <w:right w:val="single" w:sz="4" w:space="0" w:color="auto"/>
            </w:tcBorders>
            <w:shd w:val="clear" w:color="000000" w:fill="FFFFFF"/>
            <w:noWrap/>
            <w:vAlign w:val="center"/>
            <w:hideMark/>
          </w:tcPr>
          <w:p w14:paraId="530C7F0D"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2,210</w:t>
            </w:r>
          </w:p>
        </w:tc>
        <w:tc>
          <w:tcPr>
            <w:tcW w:w="1016" w:type="dxa"/>
            <w:tcBorders>
              <w:top w:val="nil"/>
              <w:left w:val="nil"/>
              <w:bottom w:val="nil"/>
              <w:right w:val="single" w:sz="4" w:space="0" w:color="auto"/>
            </w:tcBorders>
            <w:shd w:val="clear" w:color="000000" w:fill="FFFFFF"/>
            <w:noWrap/>
            <w:vAlign w:val="center"/>
            <w:hideMark/>
          </w:tcPr>
          <w:p w14:paraId="2173036B"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2,330</w:t>
            </w:r>
          </w:p>
        </w:tc>
        <w:tc>
          <w:tcPr>
            <w:tcW w:w="1016" w:type="dxa"/>
            <w:tcBorders>
              <w:top w:val="nil"/>
              <w:left w:val="nil"/>
              <w:bottom w:val="nil"/>
              <w:right w:val="single" w:sz="4" w:space="0" w:color="auto"/>
            </w:tcBorders>
            <w:shd w:val="clear" w:color="000000" w:fill="FFFFFF"/>
            <w:noWrap/>
            <w:vAlign w:val="center"/>
            <w:hideMark/>
          </w:tcPr>
          <w:p w14:paraId="5456F6B6"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2,451</w:t>
            </w:r>
          </w:p>
        </w:tc>
        <w:tc>
          <w:tcPr>
            <w:tcW w:w="1016" w:type="dxa"/>
            <w:tcBorders>
              <w:top w:val="nil"/>
              <w:left w:val="nil"/>
              <w:bottom w:val="nil"/>
              <w:right w:val="single" w:sz="4" w:space="0" w:color="auto"/>
            </w:tcBorders>
            <w:shd w:val="clear" w:color="000000" w:fill="FFFFFF"/>
            <w:noWrap/>
            <w:vAlign w:val="center"/>
            <w:hideMark/>
          </w:tcPr>
          <w:p w14:paraId="274391F7"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2,575</w:t>
            </w:r>
          </w:p>
        </w:tc>
      </w:tr>
      <w:tr w:rsidR="00FF3F04" w:rsidRPr="00FF3F04" w14:paraId="44ADE071" w14:textId="77777777" w:rsidTr="00FF3F04">
        <w:trPr>
          <w:trHeight w:val="300"/>
        </w:trPr>
        <w:tc>
          <w:tcPr>
            <w:tcW w:w="1076" w:type="dxa"/>
            <w:tcBorders>
              <w:top w:val="nil"/>
              <w:left w:val="single" w:sz="4" w:space="0" w:color="auto"/>
              <w:bottom w:val="nil"/>
              <w:right w:val="single" w:sz="4" w:space="0" w:color="auto"/>
            </w:tcBorders>
            <w:shd w:val="clear" w:color="000000" w:fill="FFFFFF"/>
            <w:noWrap/>
            <w:vAlign w:val="center"/>
            <w:hideMark/>
          </w:tcPr>
          <w:p w14:paraId="440BC40B"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10,361</w:t>
            </w:r>
          </w:p>
        </w:tc>
        <w:tc>
          <w:tcPr>
            <w:tcW w:w="3868" w:type="dxa"/>
            <w:tcBorders>
              <w:top w:val="nil"/>
              <w:left w:val="nil"/>
              <w:bottom w:val="nil"/>
              <w:right w:val="single" w:sz="4" w:space="0" w:color="auto"/>
            </w:tcBorders>
            <w:shd w:val="clear" w:color="000000" w:fill="FFFFFF"/>
            <w:noWrap/>
            <w:vAlign w:val="center"/>
            <w:hideMark/>
          </w:tcPr>
          <w:p w14:paraId="126CBF87"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Third Party/Collaborative Arrangements</w:t>
            </w:r>
          </w:p>
        </w:tc>
        <w:tc>
          <w:tcPr>
            <w:tcW w:w="1016" w:type="dxa"/>
            <w:tcBorders>
              <w:top w:val="nil"/>
              <w:left w:val="nil"/>
              <w:bottom w:val="nil"/>
              <w:right w:val="single" w:sz="4" w:space="0" w:color="auto"/>
            </w:tcBorders>
            <w:shd w:val="clear" w:color="000000" w:fill="FFFFFF"/>
            <w:noWrap/>
            <w:vAlign w:val="center"/>
            <w:hideMark/>
          </w:tcPr>
          <w:p w14:paraId="70FC563D"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8,960</w:t>
            </w:r>
          </w:p>
        </w:tc>
        <w:tc>
          <w:tcPr>
            <w:tcW w:w="1016" w:type="dxa"/>
            <w:tcBorders>
              <w:top w:val="nil"/>
              <w:left w:val="nil"/>
              <w:bottom w:val="nil"/>
              <w:right w:val="single" w:sz="4" w:space="0" w:color="auto"/>
            </w:tcBorders>
            <w:shd w:val="clear" w:color="000000" w:fill="FFFFFF"/>
            <w:noWrap/>
            <w:vAlign w:val="center"/>
            <w:hideMark/>
          </w:tcPr>
          <w:p w14:paraId="1B8544D8"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9,139</w:t>
            </w:r>
          </w:p>
        </w:tc>
        <w:tc>
          <w:tcPr>
            <w:tcW w:w="1016" w:type="dxa"/>
            <w:tcBorders>
              <w:top w:val="nil"/>
              <w:left w:val="nil"/>
              <w:bottom w:val="nil"/>
              <w:right w:val="single" w:sz="4" w:space="0" w:color="auto"/>
            </w:tcBorders>
            <w:shd w:val="clear" w:color="000000" w:fill="FFFFFF"/>
            <w:noWrap/>
            <w:vAlign w:val="center"/>
            <w:hideMark/>
          </w:tcPr>
          <w:p w14:paraId="62AECE7C"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9,322</w:t>
            </w:r>
          </w:p>
        </w:tc>
        <w:tc>
          <w:tcPr>
            <w:tcW w:w="1016" w:type="dxa"/>
            <w:tcBorders>
              <w:top w:val="nil"/>
              <w:left w:val="nil"/>
              <w:bottom w:val="nil"/>
              <w:right w:val="single" w:sz="4" w:space="0" w:color="auto"/>
            </w:tcBorders>
            <w:shd w:val="clear" w:color="000000" w:fill="FFFFFF"/>
            <w:noWrap/>
            <w:vAlign w:val="center"/>
            <w:hideMark/>
          </w:tcPr>
          <w:p w14:paraId="673457D7"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9,508</w:t>
            </w:r>
          </w:p>
        </w:tc>
        <w:tc>
          <w:tcPr>
            <w:tcW w:w="1016" w:type="dxa"/>
            <w:tcBorders>
              <w:top w:val="nil"/>
              <w:left w:val="nil"/>
              <w:bottom w:val="nil"/>
              <w:right w:val="single" w:sz="4" w:space="0" w:color="auto"/>
            </w:tcBorders>
            <w:shd w:val="clear" w:color="000000" w:fill="FFFFFF"/>
            <w:noWrap/>
            <w:vAlign w:val="center"/>
            <w:hideMark/>
          </w:tcPr>
          <w:p w14:paraId="5E1AC96A"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9,699</w:t>
            </w:r>
          </w:p>
        </w:tc>
      </w:tr>
      <w:tr w:rsidR="00FF3F04" w:rsidRPr="00FF3F04" w14:paraId="37FDFB92" w14:textId="77777777" w:rsidTr="00FF3F04">
        <w:trPr>
          <w:trHeight w:val="300"/>
        </w:trPr>
        <w:tc>
          <w:tcPr>
            <w:tcW w:w="1076" w:type="dxa"/>
            <w:tcBorders>
              <w:top w:val="nil"/>
              <w:left w:val="single" w:sz="4" w:space="0" w:color="auto"/>
              <w:bottom w:val="nil"/>
              <w:right w:val="single" w:sz="4" w:space="0" w:color="auto"/>
            </w:tcBorders>
            <w:shd w:val="clear" w:color="000000" w:fill="FFFFFF"/>
            <w:noWrap/>
            <w:vAlign w:val="center"/>
            <w:hideMark/>
          </w:tcPr>
          <w:p w14:paraId="5D882F55"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7,485</w:t>
            </w:r>
          </w:p>
        </w:tc>
        <w:tc>
          <w:tcPr>
            <w:tcW w:w="3868" w:type="dxa"/>
            <w:tcBorders>
              <w:top w:val="nil"/>
              <w:left w:val="nil"/>
              <w:bottom w:val="nil"/>
              <w:right w:val="single" w:sz="4" w:space="0" w:color="auto"/>
            </w:tcBorders>
            <w:shd w:val="clear" w:color="000000" w:fill="FFFFFF"/>
            <w:noWrap/>
            <w:vAlign w:val="center"/>
            <w:hideMark/>
          </w:tcPr>
          <w:p w14:paraId="4C8CB961"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Other Non-Pay (excl. Enabling Services)</w:t>
            </w:r>
          </w:p>
        </w:tc>
        <w:tc>
          <w:tcPr>
            <w:tcW w:w="1016" w:type="dxa"/>
            <w:tcBorders>
              <w:top w:val="nil"/>
              <w:left w:val="nil"/>
              <w:bottom w:val="nil"/>
              <w:right w:val="single" w:sz="4" w:space="0" w:color="auto"/>
            </w:tcBorders>
            <w:shd w:val="clear" w:color="000000" w:fill="FFFFFF"/>
            <w:noWrap/>
            <w:vAlign w:val="center"/>
            <w:hideMark/>
          </w:tcPr>
          <w:p w14:paraId="4DB08E7C"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7,538</w:t>
            </w:r>
          </w:p>
        </w:tc>
        <w:tc>
          <w:tcPr>
            <w:tcW w:w="1016" w:type="dxa"/>
            <w:tcBorders>
              <w:top w:val="nil"/>
              <w:left w:val="nil"/>
              <w:bottom w:val="nil"/>
              <w:right w:val="single" w:sz="4" w:space="0" w:color="auto"/>
            </w:tcBorders>
            <w:shd w:val="clear" w:color="000000" w:fill="FFFFFF"/>
            <w:noWrap/>
            <w:vAlign w:val="center"/>
            <w:hideMark/>
          </w:tcPr>
          <w:p w14:paraId="0957197F"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6,979</w:t>
            </w:r>
          </w:p>
        </w:tc>
        <w:tc>
          <w:tcPr>
            <w:tcW w:w="1016" w:type="dxa"/>
            <w:tcBorders>
              <w:top w:val="nil"/>
              <w:left w:val="nil"/>
              <w:bottom w:val="nil"/>
              <w:right w:val="single" w:sz="4" w:space="0" w:color="auto"/>
            </w:tcBorders>
            <w:shd w:val="clear" w:color="000000" w:fill="FFFFFF"/>
            <w:noWrap/>
            <w:vAlign w:val="center"/>
            <w:hideMark/>
          </w:tcPr>
          <w:p w14:paraId="6D79C692"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6,898</w:t>
            </w:r>
          </w:p>
        </w:tc>
        <w:tc>
          <w:tcPr>
            <w:tcW w:w="1016" w:type="dxa"/>
            <w:tcBorders>
              <w:top w:val="nil"/>
              <w:left w:val="nil"/>
              <w:bottom w:val="nil"/>
              <w:right w:val="single" w:sz="4" w:space="0" w:color="auto"/>
            </w:tcBorders>
            <w:shd w:val="clear" w:color="000000" w:fill="FFFFFF"/>
            <w:noWrap/>
            <w:vAlign w:val="center"/>
            <w:hideMark/>
          </w:tcPr>
          <w:p w14:paraId="73C3BA09"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6,550</w:t>
            </w:r>
          </w:p>
        </w:tc>
        <w:tc>
          <w:tcPr>
            <w:tcW w:w="1016" w:type="dxa"/>
            <w:tcBorders>
              <w:top w:val="nil"/>
              <w:left w:val="nil"/>
              <w:bottom w:val="nil"/>
              <w:right w:val="single" w:sz="4" w:space="0" w:color="auto"/>
            </w:tcBorders>
            <w:shd w:val="clear" w:color="000000" w:fill="FFFFFF"/>
            <w:noWrap/>
            <w:vAlign w:val="center"/>
            <w:hideMark/>
          </w:tcPr>
          <w:p w14:paraId="36C4D3CC"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6,220</w:t>
            </w:r>
          </w:p>
        </w:tc>
      </w:tr>
      <w:tr w:rsidR="00FF3F04" w:rsidRPr="00FF3F04" w14:paraId="5714A653" w14:textId="77777777" w:rsidTr="00FF3F04">
        <w:trPr>
          <w:trHeight w:val="300"/>
        </w:trPr>
        <w:tc>
          <w:tcPr>
            <w:tcW w:w="1076" w:type="dxa"/>
            <w:tcBorders>
              <w:top w:val="nil"/>
              <w:left w:val="single" w:sz="4" w:space="0" w:color="auto"/>
              <w:bottom w:val="single" w:sz="4" w:space="0" w:color="auto"/>
              <w:right w:val="single" w:sz="4" w:space="0" w:color="auto"/>
            </w:tcBorders>
            <w:shd w:val="clear" w:color="000000" w:fill="FFFFFF"/>
            <w:noWrap/>
            <w:vAlign w:val="center"/>
            <w:hideMark/>
          </w:tcPr>
          <w:p w14:paraId="25A8EE4D"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(10,622)</w:t>
            </w:r>
          </w:p>
        </w:tc>
        <w:tc>
          <w:tcPr>
            <w:tcW w:w="3868" w:type="dxa"/>
            <w:tcBorders>
              <w:top w:val="nil"/>
              <w:left w:val="nil"/>
              <w:bottom w:val="single" w:sz="4" w:space="0" w:color="auto"/>
              <w:right w:val="single" w:sz="4" w:space="0" w:color="auto"/>
            </w:tcBorders>
            <w:shd w:val="clear" w:color="000000" w:fill="FFFFFF"/>
            <w:noWrap/>
            <w:vAlign w:val="center"/>
            <w:hideMark/>
          </w:tcPr>
          <w:p w14:paraId="5CCAC6C7"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Income</w:t>
            </w:r>
          </w:p>
        </w:tc>
        <w:tc>
          <w:tcPr>
            <w:tcW w:w="1016" w:type="dxa"/>
            <w:tcBorders>
              <w:top w:val="nil"/>
              <w:left w:val="nil"/>
              <w:bottom w:val="single" w:sz="4" w:space="0" w:color="auto"/>
              <w:right w:val="single" w:sz="4" w:space="0" w:color="auto"/>
            </w:tcBorders>
            <w:shd w:val="clear" w:color="000000" w:fill="FFFFFF"/>
            <w:noWrap/>
            <w:vAlign w:val="center"/>
            <w:hideMark/>
          </w:tcPr>
          <w:p w14:paraId="6A38B315"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(12,321)</w:t>
            </w:r>
          </w:p>
        </w:tc>
        <w:tc>
          <w:tcPr>
            <w:tcW w:w="1016" w:type="dxa"/>
            <w:tcBorders>
              <w:top w:val="nil"/>
              <w:left w:val="nil"/>
              <w:bottom w:val="single" w:sz="4" w:space="0" w:color="auto"/>
              <w:right w:val="single" w:sz="4" w:space="0" w:color="auto"/>
            </w:tcBorders>
            <w:shd w:val="clear" w:color="000000" w:fill="FFFFFF"/>
            <w:noWrap/>
            <w:vAlign w:val="center"/>
            <w:hideMark/>
          </w:tcPr>
          <w:p w14:paraId="1C3B10F6"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(12,703)</w:t>
            </w:r>
          </w:p>
        </w:tc>
        <w:tc>
          <w:tcPr>
            <w:tcW w:w="1016" w:type="dxa"/>
            <w:tcBorders>
              <w:top w:val="nil"/>
              <w:left w:val="nil"/>
              <w:bottom w:val="single" w:sz="4" w:space="0" w:color="auto"/>
              <w:right w:val="single" w:sz="4" w:space="0" w:color="auto"/>
            </w:tcBorders>
            <w:shd w:val="clear" w:color="000000" w:fill="FFFFFF"/>
            <w:noWrap/>
            <w:vAlign w:val="center"/>
            <w:hideMark/>
          </w:tcPr>
          <w:p w14:paraId="2106692A"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(14,329)</w:t>
            </w:r>
          </w:p>
        </w:tc>
        <w:tc>
          <w:tcPr>
            <w:tcW w:w="1016" w:type="dxa"/>
            <w:tcBorders>
              <w:top w:val="nil"/>
              <w:left w:val="nil"/>
              <w:bottom w:val="single" w:sz="4" w:space="0" w:color="auto"/>
              <w:right w:val="single" w:sz="4" w:space="0" w:color="auto"/>
            </w:tcBorders>
            <w:shd w:val="clear" w:color="000000" w:fill="FFFFFF"/>
            <w:noWrap/>
            <w:vAlign w:val="center"/>
            <w:hideMark/>
          </w:tcPr>
          <w:p w14:paraId="0DFD21CA"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(15,438)</w:t>
            </w:r>
          </w:p>
        </w:tc>
        <w:tc>
          <w:tcPr>
            <w:tcW w:w="1016" w:type="dxa"/>
            <w:tcBorders>
              <w:top w:val="nil"/>
              <w:left w:val="nil"/>
              <w:bottom w:val="single" w:sz="4" w:space="0" w:color="auto"/>
              <w:right w:val="single" w:sz="4" w:space="0" w:color="auto"/>
            </w:tcBorders>
            <w:shd w:val="clear" w:color="000000" w:fill="FFFFFF"/>
            <w:noWrap/>
            <w:vAlign w:val="center"/>
            <w:hideMark/>
          </w:tcPr>
          <w:p w14:paraId="4305F855"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(15,706)</w:t>
            </w:r>
          </w:p>
        </w:tc>
      </w:tr>
      <w:tr w:rsidR="00FF3F04" w:rsidRPr="00FF3F04" w14:paraId="02CE3CA9" w14:textId="77777777" w:rsidTr="00FF3F04">
        <w:trPr>
          <w:trHeight w:val="300"/>
        </w:trPr>
        <w:tc>
          <w:tcPr>
            <w:tcW w:w="1076" w:type="dxa"/>
            <w:tcBorders>
              <w:top w:val="nil"/>
              <w:left w:val="single" w:sz="4" w:space="0" w:color="auto"/>
              <w:bottom w:val="single" w:sz="4" w:space="0" w:color="auto"/>
              <w:right w:val="single" w:sz="4" w:space="0" w:color="auto"/>
            </w:tcBorders>
            <w:shd w:val="clear" w:color="000000" w:fill="FFFFFF"/>
            <w:noWrap/>
            <w:vAlign w:val="center"/>
            <w:hideMark/>
          </w:tcPr>
          <w:p w14:paraId="4E3DA900"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144,471</w:t>
            </w:r>
          </w:p>
        </w:tc>
        <w:tc>
          <w:tcPr>
            <w:tcW w:w="3868" w:type="dxa"/>
            <w:tcBorders>
              <w:top w:val="nil"/>
              <w:left w:val="nil"/>
              <w:bottom w:val="single" w:sz="4" w:space="0" w:color="auto"/>
              <w:right w:val="single" w:sz="4" w:space="0" w:color="auto"/>
            </w:tcBorders>
            <w:shd w:val="clear" w:color="000000" w:fill="FFFFFF"/>
            <w:noWrap/>
            <w:vAlign w:val="center"/>
            <w:hideMark/>
          </w:tcPr>
          <w:p w14:paraId="2E893F97" w14:textId="77777777" w:rsidR="00FF3F04" w:rsidRPr="00FF3F04" w:rsidRDefault="00FF3F04" w:rsidP="00FF3F04">
            <w:pPr>
              <w:spacing w:line="240" w:lineRule="auto"/>
              <w:rPr>
                <w:rFonts w:eastAsia="Times New Roman" w:cs="Calibri"/>
                <w:b/>
                <w:bCs/>
                <w:color w:val="000000"/>
                <w:sz w:val="20"/>
                <w:szCs w:val="20"/>
                <w:lang w:eastAsia="en-GB"/>
              </w:rPr>
            </w:pPr>
            <w:r w:rsidRPr="00FF3F04">
              <w:rPr>
                <w:rFonts w:eastAsia="Times New Roman" w:cs="Calibri"/>
                <w:b/>
                <w:bCs/>
                <w:color w:val="000000"/>
                <w:sz w:val="20"/>
                <w:szCs w:val="20"/>
                <w:lang w:eastAsia="en-GB"/>
              </w:rPr>
              <w:t>CHIEF CONSTABLE - OPERATIONAL</w:t>
            </w:r>
          </w:p>
        </w:tc>
        <w:tc>
          <w:tcPr>
            <w:tcW w:w="1016" w:type="dxa"/>
            <w:tcBorders>
              <w:top w:val="nil"/>
              <w:left w:val="nil"/>
              <w:bottom w:val="single" w:sz="4" w:space="0" w:color="auto"/>
              <w:right w:val="single" w:sz="4" w:space="0" w:color="auto"/>
            </w:tcBorders>
            <w:shd w:val="clear" w:color="000000" w:fill="FFFFFF"/>
            <w:noWrap/>
            <w:vAlign w:val="center"/>
            <w:hideMark/>
          </w:tcPr>
          <w:p w14:paraId="62594E7B"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152,372</w:t>
            </w:r>
          </w:p>
        </w:tc>
        <w:tc>
          <w:tcPr>
            <w:tcW w:w="1016" w:type="dxa"/>
            <w:tcBorders>
              <w:top w:val="nil"/>
              <w:left w:val="nil"/>
              <w:bottom w:val="single" w:sz="4" w:space="0" w:color="auto"/>
              <w:right w:val="single" w:sz="4" w:space="0" w:color="auto"/>
            </w:tcBorders>
            <w:shd w:val="clear" w:color="000000" w:fill="FFFFFF"/>
            <w:noWrap/>
            <w:vAlign w:val="center"/>
            <w:hideMark/>
          </w:tcPr>
          <w:p w14:paraId="1724C198"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156,887</w:t>
            </w:r>
          </w:p>
        </w:tc>
        <w:tc>
          <w:tcPr>
            <w:tcW w:w="1016" w:type="dxa"/>
            <w:tcBorders>
              <w:top w:val="nil"/>
              <w:left w:val="nil"/>
              <w:bottom w:val="single" w:sz="4" w:space="0" w:color="auto"/>
              <w:right w:val="single" w:sz="4" w:space="0" w:color="auto"/>
            </w:tcBorders>
            <w:shd w:val="clear" w:color="000000" w:fill="FFFFFF"/>
            <w:noWrap/>
            <w:vAlign w:val="center"/>
            <w:hideMark/>
          </w:tcPr>
          <w:p w14:paraId="78238FD3"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158,641</w:t>
            </w:r>
          </w:p>
        </w:tc>
        <w:tc>
          <w:tcPr>
            <w:tcW w:w="1016" w:type="dxa"/>
            <w:tcBorders>
              <w:top w:val="nil"/>
              <w:left w:val="nil"/>
              <w:bottom w:val="single" w:sz="4" w:space="0" w:color="auto"/>
              <w:right w:val="single" w:sz="4" w:space="0" w:color="auto"/>
            </w:tcBorders>
            <w:shd w:val="clear" w:color="000000" w:fill="FFFFFF"/>
            <w:noWrap/>
            <w:vAlign w:val="center"/>
            <w:hideMark/>
          </w:tcPr>
          <w:p w14:paraId="075186EB"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160,970</w:t>
            </w:r>
          </w:p>
        </w:tc>
        <w:tc>
          <w:tcPr>
            <w:tcW w:w="1016" w:type="dxa"/>
            <w:tcBorders>
              <w:top w:val="nil"/>
              <w:left w:val="nil"/>
              <w:bottom w:val="single" w:sz="4" w:space="0" w:color="auto"/>
              <w:right w:val="single" w:sz="4" w:space="0" w:color="auto"/>
            </w:tcBorders>
            <w:shd w:val="clear" w:color="000000" w:fill="FFFFFF"/>
            <w:noWrap/>
            <w:vAlign w:val="center"/>
            <w:hideMark/>
          </w:tcPr>
          <w:p w14:paraId="5DB1A32F"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162,678</w:t>
            </w:r>
          </w:p>
        </w:tc>
      </w:tr>
      <w:tr w:rsidR="00FF3F04" w:rsidRPr="00FF3F04" w14:paraId="0CC84485" w14:textId="77777777" w:rsidTr="00FF3F04">
        <w:trPr>
          <w:trHeight w:val="300"/>
        </w:trPr>
        <w:tc>
          <w:tcPr>
            <w:tcW w:w="1076" w:type="dxa"/>
            <w:tcBorders>
              <w:top w:val="single" w:sz="4" w:space="0" w:color="auto"/>
              <w:left w:val="nil"/>
              <w:bottom w:val="single" w:sz="4" w:space="0" w:color="auto"/>
              <w:right w:val="nil"/>
            </w:tcBorders>
            <w:shd w:val="clear" w:color="000000" w:fill="FFFFFF"/>
            <w:noWrap/>
            <w:vAlign w:val="center"/>
            <w:hideMark/>
          </w:tcPr>
          <w:p w14:paraId="3CF9D92A"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3868" w:type="dxa"/>
            <w:tcBorders>
              <w:top w:val="nil"/>
              <w:left w:val="nil"/>
              <w:bottom w:val="nil"/>
              <w:right w:val="nil"/>
            </w:tcBorders>
            <w:shd w:val="clear" w:color="000000" w:fill="FFFFFF"/>
            <w:noWrap/>
            <w:vAlign w:val="center"/>
            <w:hideMark/>
          </w:tcPr>
          <w:p w14:paraId="580CFBD2"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single" w:sz="4" w:space="0" w:color="auto"/>
              <w:left w:val="nil"/>
              <w:bottom w:val="single" w:sz="4" w:space="0" w:color="auto"/>
              <w:right w:val="nil"/>
            </w:tcBorders>
            <w:shd w:val="clear" w:color="000000" w:fill="FFFFFF"/>
            <w:noWrap/>
            <w:vAlign w:val="center"/>
            <w:hideMark/>
          </w:tcPr>
          <w:p w14:paraId="052596C9"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single" w:sz="4" w:space="0" w:color="auto"/>
              <w:left w:val="nil"/>
              <w:bottom w:val="single" w:sz="4" w:space="0" w:color="auto"/>
              <w:right w:val="nil"/>
            </w:tcBorders>
            <w:shd w:val="clear" w:color="000000" w:fill="FFFFFF"/>
            <w:noWrap/>
            <w:vAlign w:val="center"/>
            <w:hideMark/>
          </w:tcPr>
          <w:p w14:paraId="0E165B4A"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single" w:sz="4" w:space="0" w:color="auto"/>
              <w:left w:val="nil"/>
              <w:bottom w:val="single" w:sz="4" w:space="0" w:color="auto"/>
              <w:right w:val="nil"/>
            </w:tcBorders>
            <w:shd w:val="clear" w:color="000000" w:fill="FFFFFF"/>
            <w:noWrap/>
            <w:vAlign w:val="center"/>
            <w:hideMark/>
          </w:tcPr>
          <w:p w14:paraId="0AB8D730"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single" w:sz="4" w:space="0" w:color="auto"/>
              <w:left w:val="nil"/>
              <w:bottom w:val="single" w:sz="4" w:space="0" w:color="auto"/>
              <w:right w:val="nil"/>
            </w:tcBorders>
            <w:shd w:val="clear" w:color="000000" w:fill="FFFFFF"/>
            <w:noWrap/>
            <w:vAlign w:val="center"/>
            <w:hideMark/>
          </w:tcPr>
          <w:p w14:paraId="702413D7"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single" w:sz="4" w:space="0" w:color="auto"/>
              <w:left w:val="nil"/>
              <w:bottom w:val="single" w:sz="4" w:space="0" w:color="auto"/>
              <w:right w:val="nil"/>
            </w:tcBorders>
            <w:shd w:val="clear" w:color="000000" w:fill="FFFFFF"/>
            <w:noWrap/>
            <w:vAlign w:val="center"/>
            <w:hideMark/>
          </w:tcPr>
          <w:p w14:paraId="331A2348"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r>
      <w:tr w:rsidR="00FF3F04" w:rsidRPr="00FF3F04" w14:paraId="4AA3F5B9" w14:textId="77777777" w:rsidTr="00FF3F04">
        <w:trPr>
          <w:trHeight w:val="300"/>
        </w:trPr>
        <w:tc>
          <w:tcPr>
            <w:tcW w:w="10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F9611A"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31,799</w:t>
            </w:r>
          </w:p>
        </w:tc>
        <w:tc>
          <w:tcPr>
            <w:tcW w:w="3868" w:type="dxa"/>
            <w:tcBorders>
              <w:top w:val="single" w:sz="4" w:space="0" w:color="auto"/>
              <w:left w:val="nil"/>
              <w:bottom w:val="single" w:sz="4" w:space="0" w:color="auto"/>
              <w:right w:val="single" w:sz="4" w:space="0" w:color="auto"/>
            </w:tcBorders>
            <w:shd w:val="clear" w:color="000000" w:fill="FFFFFF"/>
            <w:noWrap/>
            <w:vAlign w:val="center"/>
            <w:hideMark/>
          </w:tcPr>
          <w:p w14:paraId="6F0F2AE3" w14:textId="77777777" w:rsidR="00FF3F04" w:rsidRPr="00FF3F04" w:rsidRDefault="00FF3F04" w:rsidP="00FF3F04">
            <w:pPr>
              <w:spacing w:line="240" w:lineRule="auto"/>
              <w:rPr>
                <w:rFonts w:eastAsia="Times New Roman" w:cs="Calibri"/>
                <w:b/>
                <w:bCs/>
                <w:color w:val="000000"/>
                <w:sz w:val="20"/>
                <w:szCs w:val="20"/>
                <w:lang w:eastAsia="en-GB"/>
              </w:rPr>
            </w:pPr>
            <w:r w:rsidRPr="00FF3F04">
              <w:rPr>
                <w:rFonts w:eastAsia="Times New Roman" w:cs="Calibri"/>
                <w:b/>
                <w:bCs/>
                <w:color w:val="000000"/>
                <w:sz w:val="20"/>
                <w:szCs w:val="20"/>
                <w:lang w:eastAsia="en-GB"/>
              </w:rPr>
              <w:t>ENABLING SERVICES</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14:paraId="33ED3DD4"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33,869</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14:paraId="2F69AF21"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34,208</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14:paraId="047058E9"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36,641</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14:paraId="650FA6E7"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38,169</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14:paraId="2482D7F7"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39,345</w:t>
            </w:r>
          </w:p>
        </w:tc>
      </w:tr>
      <w:tr w:rsidR="00FF3F04" w:rsidRPr="00FF3F04" w14:paraId="411EDAAA" w14:textId="77777777" w:rsidTr="00FF3F04">
        <w:trPr>
          <w:trHeight w:val="300"/>
        </w:trPr>
        <w:tc>
          <w:tcPr>
            <w:tcW w:w="1076" w:type="dxa"/>
            <w:tcBorders>
              <w:top w:val="single" w:sz="4" w:space="0" w:color="auto"/>
              <w:left w:val="nil"/>
              <w:bottom w:val="single" w:sz="4" w:space="0" w:color="auto"/>
              <w:right w:val="nil"/>
            </w:tcBorders>
            <w:shd w:val="clear" w:color="000000" w:fill="FFFFFF"/>
            <w:noWrap/>
            <w:vAlign w:val="center"/>
            <w:hideMark/>
          </w:tcPr>
          <w:p w14:paraId="0F168FA1"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3868" w:type="dxa"/>
            <w:tcBorders>
              <w:top w:val="nil"/>
              <w:left w:val="nil"/>
              <w:bottom w:val="nil"/>
              <w:right w:val="nil"/>
            </w:tcBorders>
            <w:shd w:val="clear" w:color="000000" w:fill="FFFFFF"/>
            <w:noWrap/>
            <w:vAlign w:val="center"/>
            <w:hideMark/>
          </w:tcPr>
          <w:p w14:paraId="6F90C9A9" w14:textId="77777777" w:rsidR="00FF3F04" w:rsidRPr="00FF3F04" w:rsidRDefault="00FF3F04" w:rsidP="00FF3F04">
            <w:pPr>
              <w:spacing w:line="240" w:lineRule="auto"/>
              <w:rPr>
                <w:rFonts w:eastAsia="Times New Roman" w:cs="Calibri"/>
                <w:b/>
                <w:bCs/>
                <w:color w:val="000000"/>
                <w:sz w:val="20"/>
                <w:szCs w:val="20"/>
                <w:lang w:eastAsia="en-GB"/>
              </w:rPr>
            </w:pPr>
            <w:r w:rsidRPr="00FF3F04">
              <w:rPr>
                <w:rFonts w:eastAsia="Times New Roman" w:cs="Calibri"/>
                <w:b/>
                <w:bCs/>
                <w:color w:val="000000"/>
                <w:sz w:val="20"/>
                <w:szCs w:val="20"/>
                <w:lang w:eastAsia="en-GB"/>
              </w:rPr>
              <w:t> </w:t>
            </w:r>
          </w:p>
        </w:tc>
        <w:tc>
          <w:tcPr>
            <w:tcW w:w="1016" w:type="dxa"/>
            <w:tcBorders>
              <w:top w:val="single" w:sz="4" w:space="0" w:color="auto"/>
              <w:left w:val="nil"/>
              <w:bottom w:val="single" w:sz="4" w:space="0" w:color="auto"/>
              <w:right w:val="nil"/>
            </w:tcBorders>
            <w:shd w:val="clear" w:color="000000" w:fill="FFFFFF"/>
            <w:noWrap/>
            <w:vAlign w:val="center"/>
            <w:hideMark/>
          </w:tcPr>
          <w:p w14:paraId="20953EC0"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single" w:sz="4" w:space="0" w:color="auto"/>
              <w:left w:val="nil"/>
              <w:bottom w:val="single" w:sz="4" w:space="0" w:color="auto"/>
              <w:right w:val="nil"/>
            </w:tcBorders>
            <w:shd w:val="clear" w:color="000000" w:fill="FFFFFF"/>
            <w:noWrap/>
            <w:vAlign w:val="center"/>
            <w:hideMark/>
          </w:tcPr>
          <w:p w14:paraId="18950406"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single" w:sz="4" w:space="0" w:color="auto"/>
              <w:left w:val="nil"/>
              <w:bottom w:val="single" w:sz="4" w:space="0" w:color="auto"/>
              <w:right w:val="nil"/>
            </w:tcBorders>
            <w:shd w:val="clear" w:color="000000" w:fill="FFFFFF"/>
            <w:noWrap/>
            <w:vAlign w:val="center"/>
            <w:hideMark/>
          </w:tcPr>
          <w:p w14:paraId="27C81D78"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single" w:sz="4" w:space="0" w:color="auto"/>
              <w:left w:val="nil"/>
              <w:bottom w:val="single" w:sz="4" w:space="0" w:color="auto"/>
              <w:right w:val="nil"/>
            </w:tcBorders>
            <w:shd w:val="clear" w:color="000000" w:fill="FFFFFF"/>
            <w:noWrap/>
            <w:vAlign w:val="center"/>
            <w:hideMark/>
          </w:tcPr>
          <w:p w14:paraId="431F3C6A"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single" w:sz="4" w:space="0" w:color="auto"/>
              <w:left w:val="nil"/>
              <w:bottom w:val="single" w:sz="4" w:space="0" w:color="auto"/>
              <w:right w:val="nil"/>
            </w:tcBorders>
            <w:shd w:val="clear" w:color="000000" w:fill="FFFFFF"/>
            <w:noWrap/>
            <w:vAlign w:val="center"/>
            <w:hideMark/>
          </w:tcPr>
          <w:p w14:paraId="205D94B6"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r>
      <w:tr w:rsidR="00FF3F04" w:rsidRPr="00FF3F04" w14:paraId="6D895E5B" w14:textId="77777777" w:rsidTr="00FF3F04">
        <w:trPr>
          <w:trHeight w:val="300"/>
        </w:trPr>
        <w:tc>
          <w:tcPr>
            <w:tcW w:w="10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B78FB6"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176,270</w:t>
            </w:r>
          </w:p>
        </w:tc>
        <w:tc>
          <w:tcPr>
            <w:tcW w:w="3868" w:type="dxa"/>
            <w:tcBorders>
              <w:top w:val="single" w:sz="4" w:space="0" w:color="auto"/>
              <w:left w:val="nil"/>
              <w:bottom w:val="single" w:sz="4" w:space="0" w:color="auto"/>
              <w:right w:val="single" w:sz="4" w:space="0" w:color="auto"/>
            </w:tcBorders>
            <w:shd w:val="clear" w:color="000000" w:fill="FFFFFF"/>
            <w:noWrap/>
            <w:vAlign w:val="center"/>
            <w:hideMark/>
          </w:tcPr>
          <w:p w14:paraId="38111ECC" w14:textId="77777777" w:rsidR="00FF3F04" w:rsidRPr="00FF3F04" w:rsidRDefault="00FF3F04" w:rsidP="00FF3F04">
            <w:pPr>
              <w:spacing w:line="240" w:lineRule="auto"/>
              <w:rPr>
                <w:rFonts w:eastAsia="Times New Roman" w:cs="Calibri"/>
                <w:b/>
                <w:bCs/>
                <w:color w:val="000000"/>
                <w:sz w:val="20"/>
                <w:szCs w:val="20"/>
                <w:lang w:eastAsia="en-GB"/>
              </w:rPr>
            </w:pPr>
            <w:r w:rsidRPr="00FF3F04">
              <w:rPr>
                <w:rFonts w:eastAsia="Times New Roman" w:cs="Calibri"/>
                <w:b/>
                <w:bCs/>
                <w:color w:val="000000"/>
                <w:sz w:val="20"/>
                <w:szCs w:val="20"/>
                <w:lang w:eastAsia="en-GB"/>
              </w:rPr>
              <w:t>TOTAL CHIEF CONSTABLE BUDGET</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14:paraId="03D73E3F"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186,241</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14:paraId="737BAAF6"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191,095</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14:paraId="6A5A826C"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195,282</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14:paraId="2D4A482C"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199,139</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14:paraId="15BF78C8"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202,023</w:t>
            </w:r>
          </w:p>
        </w:tc>
      </w:tr>
      <w:tr w:rsidR="00FF3F04" w:rsidRPr="00FF3F04" w14:paraId="503D857C" w14:textId="77777777" w:rsidTr="00FF3F04">
        <w:trPr>
          <w:trHeight w:val="300"/>
        </w:trPr>
        <w:tc>
          <w:tcPr>
            <w:tcW w:w="1076" w:type="dxa"/>
            <w:tcBorders>
              <w:top w:val="single" w:sz="4" w:space="0" w:color="auto"/>
              <w:left w:val="nil"/>
              <w:bottom w:val="single" w:sz="4" w:space="0" w:color="auto"/>
              <w:right w:val="nil"/>
            </w:tcBorders>
            <w:shd w:val="clear" w:color="000000" w:fill="FFFFFF"/>
            <w:noWrap/>
            <w:vAlign w:val="center"/>
            <w:hideMark/>
          </w:tcPr>
          <w:p w14:paraId="49F5B0C2"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3868" w:type="dxa"/>
            <w:tcBorders>
              <w:top w:val="nil"/>
              <w:left w:val="nil"/>
              <w:bottom w:val="nil"/>
              <w:right w:val="nil"/>
            </w:tcBorders>
            <w:shd w:val="clear" w:color="000000" w:fill="FFFFFF"/>
            <w:noWrap/>
            <w:vAlign w:val="center"/>
            <w:hideMark/>
          </w:tcPr>
          <w:p w14:paraId="718AEB4C"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single" w:sz="4" w:space="0" w:color="auto"/>
              <w:left w:val="nil"/>
              <w:bottom w:val="single" w:sz="4" w:space="0" w:color="auto"/>
              <w:right w:val="nil"/>
            </w:tcBorders>
            <w:shd w:val="clear" w:color="000000" w:fill="FFFFFF"/>
            <w:noWrap/>
            <w:vAlign w:val="center"/>
            <w:hideMark/>
          </w:tcPr>
          <w:p w14:paraId="7971C73B"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single" w:sz="4" w:space="0" w:color="auto"/>
              <w:left w:val="nil"/>
              <w:bottom w:val="single" w:sz="4" w:space="0" w:color="auto"/>
              <w:right w:val="nil"/>
            </w:tcBorders>
            <w:shd w:val="clear" w:color="000000" w:fill="FFFFFF"/>
            <w:noWrap/>
            <w:vAlign w:val="center"/>
            <w:hideMark/>
          </w:tcPr>
          <w:p w14:paraId="1CF50FC2"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single" w:sz="4" w:space="0" w:color="auto"/>
              <w:left w:val="nil"/>
              <w:bottom w:val="single" w:sz="4" w:space="0" w:color="auto"/>
              <w:right w:val="nil"/>
            </w:tcBorders>
            <w:shd w:val="clear" w:color="000000" w:fill="FFFFFF"/>
            <w:noWrap/>
            <w:vAlign w:val="center"/>
            <w:hideMark/>
          </w:tcPr>
          <w:p w14:paraId="006A398E"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single" w:sz="4" w:space="0" w:color="auto"/>
              <w:left w:val="nil"/>
              <w:bottom w:val="single" w:sz="4" w:space="0" w:color="auto"/>
              <w:right w:val="nil"/>
            </w:tcBorders>
            <w:shd w:val="clear" w:color="000000" w:fill="FFFFFF"/>
            <w:noWrap/>
            <w:vAlign w:val="center"/>
            <w:hideMark/>
          </w:tcPr>
          <w:p w14:paraId="062EB948"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single" w:sz="4" w:space="0" w:color="auto"/>
              <w:left w:val="nil"/>
              <w:bottom w:val="single" w:sz="4" w:space="0" w:color="auto"/>
              <w:right w:val="nil"/>
            </w:tcBorders>
            <w:shd w:val="clear" w:color="000000" w:fill="FFFFFF"/>
            <w:noWrap/>
            <w:vAlign w:val="center"/>
            <w:hideMark/>
          </w:tcPr>
          <w:p w14:paraId="4986B794"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r>
      <w:tr w:rsidR="00FF3F04" w:rsidRPr="00FF3F04" w14:paraId="7FB756CB" w14:textId="77777777" w:rsidTr="00FF3F04">
        <w:trPr>
          <w:trHeight w:val="300"/>
        </w:trPr>
        <w:tc>
          <w:tcPr>
            <w:tcW w:w="1076" w:type="dxa"/>
            <w:tcBorders>
              <w:top w:val="single" w:sz="4" w:space="0" w:color="auto"/>
              <w:left w:val="single" w:sz="4" w:space="0" w:color="auto"/>
              <w:bottom w:val="nil"/>
              <w:right w:val="single" w:sz="4" w:space="0" w:color="auto"/>
            </w:tcBorders>
            <w:shd w:val="clear" w:color="000000" w:fill="FFFFFF"/>
            <w:noWrap/>
            <w:vAlign w:val="center"/>
            <w:hideMark/>
          </w:tcPr>
          <w:p w14:paraId="6336C308"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1,314</w:t>
            </w:r>
          </w:p>
        </w:tc>
        <w:tc>
          <w:tcPr>
            <w:tcW w:w="3868" w:type="dxa"/>
            <w:tcBorders>
              <w:top w:val="single" w:sz="4" w:space="0" w:color="auto"/>
              <w:left w:val="nil"/>
              <w:bottom w:val="nil"/>
              <w:right w:val="single" w:sz="4" w:space="0" w:color="auto"/>
            </w:tcBorders>
            <w:shd w:val="clear" w:color="000000" w:fill="FFFFFF"/>
            <w:noWrap/>
            <w:vAlign w:val="center"/>
            <w:hideMark/>
          </w:tcPr>
          <w:p w14:paraId="46E4F3B4"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OPFCC (Office)</w:t>
            </w:r>
          </w:p>
        </w:tc>
        <w:tc>
          <w:tcPr>
            <w:tcW w:w="1016" w:type="dxa"/>
            <w:tcBorders>
              <w:top w:val="single" w:sz="4" w:space="0" w:color="auto"/>
              <w:left w:val="nil"/>
              <w:bottom w:val="nil"/>
              <w:right w:val="single" w:sz="4" w:space="0" w:color="auto"/>
            </w:tcBorders>
            <w:shd w:val="clear" w:color="000000" w:fill="FFFFFF"/>
            <w:noWrap/>
            <w:vAlign w:val="center"/>
            <w:hideMark/>
          </w:tcPr>
          <w:p w14:paraId="58662C83"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1,424</w:t>
            </w:r>
          </w:p>
        </w:tc>
        <w:tc>
          <w:tcPr>
            <w:tcW w:w="1016" w:type="dxa"/>
            <w:tcBorders>
              <w:top w:val="single" w:sz="4" w:space="0" w:color="auto"/>
              <w:left w:val="nil"/>
              <w:bottom w:val="nil"/>
              <w:right w:val="single" w:sz="4" w:space="0" w:color="auto"/>
            </w:tcBorders>
            <w:shd w:val="clear" w:color="000000" w:fill="FFFFFF"/>
            <w:noWrap/>
            <w:vAlign w:val="center"/>
            <w:hideMark/>
          </w:tcPr>
          <w:p w14:paraId="62C67B8C"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1,454</w:t>
            </w:r>
          </w:p>
        </w:tc>
        <w:tc>
          <w:tcPr>
            <w:tcW w:w="1016" w:type="dxa"/>
            <w:tcBorders>
              <w:top w:val="single" w:sz="4" w:space="0" w:color="auto"/>
              <w:left w:val="nil"/>
              <w:bottom w:val="nil"/>
              <w:right w:val="single" w:sz="4" w:space="0" w:color="auto"/>
            </w:tcBorders>
            <w:shd w:val="clear" w:color="000000" w:fill="FFFFFF"/>
            <w:noWrap/>
            <w:vAlign w:val="center"/>
            <w:hideMark/>
          </w:tcPr>
          <w:p w14:paraId="737EA184"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1,484</w:t>
            </w:r>
          </w:p>
        </w:tc>
        <w:tc>
          <w:tcPr>
            <w:tcW w:w="1016" w:type="dxa"/>
            <w:tcBorders>
              <w:top w:val="single" w:sz="4" w:space="0" w:color="auto"/>
              <w:left w:val="nil"/>
              <w:bottom w:val="nil"/>
              <w:right w:val="single" w:sz="4" w:space="0" w:color="auto"/>
            </w:tcBorders>
            <w:shd w:val="clear" w:color="000000" w:fill="FFFFFF"/>
            <w:noWrap/>
            <w:vAlign w:val="center"/>
            <w:hideMark/>
          </w:tcPr>
          <w:p w14:paraId="5C07483A"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1,514</w:t>
            </w:r>
          </w:p>
        </w:tc>
        <w:tc>
          <w:tcPr>
            <w:tcW w:w="1016" w:type="dxa"/>
            <w:tcBorders>
              <w:top w:val="single" w:sz="4" w:space="0" w:color="auto"/>
              <w:left w:val="nil"/>
              <w:bottom w:val="nil"/>
              <w:right w:val="single" w:sz="4" w:space="0" w:color="auto"/>
            </w:tcBorders>
            <w:shd w:val="clear" w:color="000000" w:fill="FFFFFF"/>
            <w:noWrap/>
            <w:vAlign w:val="center"/>
            <w:hideMark/>
          </w:tcPr>
          <w:p w14:paraId="1E6ABBE7"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1,544</w:t>
            </w:r>
          </w:p>
        </w:tc>
      </w:tr>
      <w:tr w:rsidR="00FF3F04" w:rsidRPr="00FF3F04" w14:paraId="6FC419F2" w14:textId="77777777" w:rsidTr="00FF3F04">
        <w:trPr>
          <w:trHeight w:val="300"/>
        </w:trPr>
        <w:tc>
          <w:tcPr>
            <w:tcW w:w="1076" w:type="dxa"/>
            <w:tcBorders>
              <w:top w:val="nil"/>
              <w:left w:val="single" w:sz="4" w:space="0" w:color="auto"/>
              <w:bottom w:val="nil"/>
              <w:right w:val="single" w:sz="4" w:space="0" w:color="auto"/>
            </w:tcBorders>
            <w:shd w:val="clear" w:color="000000" w:fill="FFFFFF"/>
            <w:noWrap/>
            <w:vAlign w:val="center"/>
            <w:hideMark/>
          </w:tcPr>
          <w:p w14:paraId="3789ADB2"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5,353</w:t>
            </w:r>
          </w:p>
        </w:tc>
        <w:tc>
          <w:tcPr>
            <w:tcW w:w="3868" w:type="dxa"/>
            <w:tcBorders>
              <w:top w:val="nil"/>
              <w:left w:val="nil"/>
              <w:bottom w:val="nil"/>
              <w:right w:val="single" w:sz="4" w:space="0" w:color="auto"/>
            </w:tcBorders>
            <w:shd w:val="clear" w:color="000000" w:fill="FFFFFF"/>
            <w:noWrap/>
            <w:vAlign w:val="center"/>
            <w:hideMark/>
          </w:tcPr>
          <w:p w14:paraId="37D95A8F"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OPFCC (Commissioning &amp; Delivery)</w:t>
            </w:r>
          </w:p>
        </w:tc>
        <w:tc>
          <w:tcPr>
            <w:tcW w:w="1016" w:type="dxa"/>
            <w:tcBorders>
              <w:top w:val="nil"/>
              <w:left w:val="nil"/>
              <w:bottom w:val="nil"/>
              <w:right w:val="single" w:sz="4" w:space="0" w:color="auto"/>
            </w:tcBorders>
            <w:shd w:val="clear" w:color="000000" w:fill="FFFFFF"/>
            <w:noWrap/>
            <w:vAlign w:val="center"/>
            <w:hideMark/>
          </w:tcPr>
          <w:p w14:paraId="2873F213"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5,551</w:t>
            </w:r>
          </w:p>
        </w:tc>
        <w:tc>
          <w:tcPr>
            <w:tcW w:w="1016" w:type="dxa"/>
            <w:tcBorders>
              <w:top w:val="nil"/>
              <w:left w:val="nil"/>
              <w:bottom w:val="nil"/>
              <w:right w:val="single" w:sz="4" w:space="0" w:color="auto"/>
            </w:tcBorders>
            <w:shd w:val="clear" w:color="000000" w:fill="FFFFFF"/>
            <w:noWrap/>
            <w:vAlign w:val="center"/>
            <w:hideMark/>
          </w:tcPr>
          <w:p w14:paraId="031A7961"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5,246</w:t>
            </w:r>
          </w:p>
        </w:tc>
        <w:tc>
          <w:tcPr>
            <w:tcW w:w="1016" w:type="dxa"/>
            <w:tcBorders>
              <w:top w:val="nil"/>
              <w:left w:val="nil"/>
              <w:bottom w:val="nil"/>
              <w:right w:val="single" w:sz="4" w:space="0" w:color="auto"/>
            </w:tcBorders>
            <w:shd w:val="clear" w:color="000000" w:fill="FFFFFF"/>
            <w:noWrap/>
            <w:vAlign w:val="center"/>
            <w:hideMark/>
          </w:tcPr>
          <w:p w14:paraId="29AF33BD"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5,346</w:t>
            </w:r>
          </w:p>
        </w:tc>
        <w:tc>
          <w:tcPr>
            <w:tcW w:w="1016" w:type="dxa"/>
            <w:tcBorders>
              <w:top w:val="nil"/>
              <w:left w:val="nil"/>
              <w:bottom w:val="nil"/>
              <w:right w:val="single" w:sz="4" w:space="0" w:color="auto"/>
            </w:tcBorders>
            <w:shd w:val="clear" w:color="000000" w:fill="FFFFFF"/>
            <w:noWrap/>
            <w:vAlign w:val="center"/>
            <w:hideMark/>
          </w:tcPr>
          <w:p w14:paraId="4160A7AA"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5,446</w:t>
            </w:r>
          </w:p>
        </w:tc>
        <w:tc>
          <w:tcPr>
            <w:tcW w:w="1016" w:type="dxa"/>
            <w:tcBorders>
              <w:top w:val="nil"/>
              <w:left w:val="nil"/>
              <w:bottom w:val="nil"/>
              <w:right w:val="single" w:sz="4" w:space="0" w:color="auto"/>
            </w:tcBorders>
            <w:shd w:val="clear" w:color="000000" w:fill="FFFFFF"/>
            <w:noWrap/>
            <w:vAlign w:val="center"/>
            <w:hideMark/>
          </w:tcPr>
          <w:p w14:paraId="340CF29C"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5,546</w:t>
            </w:r>
          </w:p>
        </w:tc>
      </w:tr>
      <w:tr w:rsidR="00FF3F04" w:rsidRPr="00FF3F04" w14:paraId="55A97178" w14:textId="77777777" w:rsidTr="00FF3F04">
        <w:trPr>
          <w:trHeight w:val="300"/>
        </w:trPr>
        <w:tc>
          <w:tcPr>
            <w:tcW w:w="1076" w:type="dxa"/>
            <w:tcBorders>
              <w:top w:val="nil"/>
              <w:left w:val="single" w:sz="4" w:space="0" w:color="auto"/>
              <w:bottom w:val="nil"/>
              <w:right w:val="single" w:sz="4" w:space="0" w:color="auto"/>
            </w:tcBorders>
            <w:shd w:val="clear" w:color="000000" w:fill="FFFFFF"/>
            <w:noWrap/>
            <w:vAlign w:val="center"/>
            <w:hideMark/>
          </w:tcPr>
          <w:p w14:paraId="5124397F"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2,681</w:t>
            </w:r>
          </w:p>
        </w:tc>
        <w:tc>
          <w:tcPr>
            <w:tcW w:w="3868" w:type="dxa"/>
            <w:tcBorders>
              <w:top w:val="nil"/>
              <w:left w:val="nil"/>
              <w:bottom w:val="nil"/>
              <w:right w:val="single" w:sz="4" w:space="0" w:color="auto"/>
            </w:tcBorders>
            <w:shd w:val="clear" w:color="000000" w:fill="FFFFFF"/>
            <w:noWrap/>
            <w:vAlign w:val="center"/>
            <w:hideMark/>
          </w:tcPr>
          <w:p w14:paraId="75BE9C38"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Capital Financing - MRP</w:t>
            </w:r>
          </w:p>
        </w:tc>
        <w:tc>
          <w:tcPr>
            <w:tcW w:w="1016" w:type="dxa"/>
            <w:tcBorders>
              <w:top w:val="nil"/>
              <w:left w:val="nil"/>
              <w:bottom w:val="nil"/>
              <w:right w:val="single" w:sz="4" w:space="0" w:color="auto"/>
            </w:tcBorders>
            <w:shd w:val="clear" w:color="000000" w:fill="FFFFFF"/>
            <w:noWrap/>
            <w:vAlign w:val="center"/>
            <w:hideMark/>
          </w:tcPr>
          <w:p w14:paraId="2C7BFD71"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2,819</w:t>
            </w:r>
          </w:p>
        </w:tc>
        <w:tc>
          <w:tcPr>
            <w:tcW w:w="1016" w:type="dxa"/>
            <w:tcBorders>
              <w:top w:val="nil"/>
              <w:left w:val="nil"/>
              <w:bottom w:val="nil"/>
              <w:right w:val="single" w:sz="4" w:space="0" w:color="auto"/>
            </w:tcBorders>
            <w:shd w:val="clear" w:color="000000" w:fill="FFFFFF"/>
            <w:noWrap/>
            <w:vAlign w:val="center"/>
            <w:hideMark/>
          </w:tcPr>
          <w:p w14:paraId="2BB69D83"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3,286</w:t>
            </w:r>
          </w:p>
        </w:tc>
        <w:tc>
          <w:tcPr>
            <w:tcW w:w="1016" w:type="dxa"/>
            <w:tcBorders>
              <w:top w:val="nil"/>
              <w:left w:val="nil"/>
              <w:bottom w:val="nil"/>
              <w:right w:val="single" w:sz="4" w:space="0" w:color="auto"/>
            </w:tcBorders>
            <w:shd w:val="clear" w:color="000000" w:fill="FFFFFF"/>
            <w:noWrap/>
            <w:vAlign w:val="center"/>
            <w:hideMark/>
          </w:tcPr>
          <w:p w14:paraId="17C56CAE"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4,529</w:t>
            </w:r>
          </w:p>
        </w:tc>
        <w:tc>
          <w:tcPr>
            <w:tcW w:w="1016" w:type="dxa"/>
            <w:tcBorders>
              <w:top w:val="nil"/>
              <w:left w:val="nil"/>
              <w:bottom w:val="nil"/>
              <w:right w:val="single" w:sz="4" w:space="0" w:color="auto"/>
            </w:tcBorders>
            <w:shd w:val="clear" w:color="000000" w:fill="FFFFFF"/>
            <w:noWrap/>
            <w:vAlign w:val="center"/>
            <w:hideMark/>
          </w:tcPr>
          <w:p w14:paraId="0BE70AA2"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3,502</w:t>
            </w:r>
          </w:p>
        </w:tc>
        <w:tc>
          <w:tcPr>
            <w:tcW w:w="1016" w:type="dxa"/>
            <w:tcBorders>
              <w:top w:val="nil"/>
              <w:left w:val="nil"/>
              <w:bottom w:val="nil"/>
              <w:right w:val="single" w:sz="4" w:space="0" w:color="auto"/>
            </w:tcBorders>
            <w:shd w:val="clear" w:color="000000" w:fill="FFFFFF"/>
            <w:noWrap/>
            <w:vAlign w:val="center"/>
            <w:hideMark/>
          </w:tcPr>
          <w:p w14:paraId="398F9DE7"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4,176</w:t>
            </w:r>
          </w:p>
        </w:tc>
      </w:tr>
      <w:tr w:rsidR="00FF3F04" w:rsidRPr="00FF3F04" w14:paraId="29B34FAD" w14:textId="77777777" w:rsidTr="00FF3F04">
        <w:trPr>
          <w:trHeight w:val="300"/>
        </w:trPr>
        <w:tc>
          <w:tcPr>
            <w:tcW w:w="1076" w:type="dxa"/>
            <w:tcBorders>
              <w:top w:val="nil"/>
              <w:left w:val="single" w:sz="4" w:space="0" w:color="auto"/>
              <w:bottom w:val="nil"/>
              <w:right w:val="single" w:sz="4" w:space="0" w:color="auto"/>
            </w:tcBorders>
            <w:shd w:val="clear" w:color="000000" w:fill="FFFFFF"/>
            <w:noWrap/>
            <w:vAlign w:val="center"/>
            <w:hideMark/>
          </w:tcPr>
          <w:p w14:paraId="6072FE87"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782</w:t>
            </w:r>
          </w:p>
        </w:tc>
        <w:tc>
          <w:tcPr>
            <w:tcW w:w="3868" w:type="dxa"/>
            <w:tcBorders>
              <w:top w:val="nil"/>
              <w:left w:val="nil"/>
              <w:bottom w:val="nil"/>
              <w:right w:val="single" w:sz="4" w:space="0" w:color="auto"/>
            </w:tcBorders>
            <w:shd w:val="clear" w:color="000000" w:fill="FFFFFF"/>
            <w:noWrap/>
            <w:vAlign w:val="center"/>
            <w:hideMark/>
          </w:tcPr>
          <w:p w14:paraId="369B7D80"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Capital Financing - Interest</w:t>
            </w:r>
          </w:p>
        </w:tc>
        <w:tc>
          <w:tcPr>
            <w:tcW w:w="1016" w:type="dxa"/>
            <w:tcBorders>
              <w:top w:val="nil"/>
              <w:left w:val="nil"/>
              <w:bottom w:val="nil"/>
              <w:right w:val="single" w:sz="4" w:space="0" w:color="auto"/>
            </w:tcBorders>
            <w:shd w:val="clear" w:color="000000" w:fill="FFFFFF"/>
            <w:noWrap/>
            <w:vAlign w:val="center"/>
            <w:hideMark/>
          </w:tcPr>
          <w:p w14:paraId="062A6607"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810</w:t>
            </w:r>
          </w:p>
        </w:tc>
        <w:tc>
          <w:tcPr>
            <w:tcW w:w="1016" w:type="dxa"/>
            <w:tcBorders>
              <w:top w:val="nil"/>
              <w:left w:val="nil"/>
              <w:bottom w:val="nil"/>
              <w:right w:val="single" w:sz="4" w:space="0" w:color="auto"/>
            </w:tcBorders>
            <w:shd w:val="clear" w:color="000000" w:fill="FFFFFF"/>
            <w:noWrap/>
            <w:vAlign w:val="center"/>
            <w:hideMark/>
          </w:tcPr>
          <w:p w14:paraId="2398DBCF"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1,574</w:t>
            </w:r>
          </w:p>
        </w:tc>
        <w:tc>
          <w:tcPr>
            <w:tcW w:w="1016" w:type="dxa"/>
            <w:tcBorders>
              <w:top w:val="nil"/>
              <w:left w:val="nil"/>
              <w:bottom w:val="nil"/>
              <w:right w:val="single" w:sz="4" w:space="0" w:color="auto"/>
            </w:tcBorders>
            <w:shd w:val="clear" w:color="000000" w:fill="FFFFFF"/>
            <w:noWrap/>
            <w:vAlign w:val="center"/>
            <w:hideMark/>
          </w:tcPr>
          <w:p w14:paraId="3A354FB1"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2,372</w:t>
            </w:r>
          </w:p>
        </w:tc>
        <w:tc>
          <w:tcPr>
            <w:tcW w:w="1016" w:type="dxa"/>
            <w:tcBorders>
              <w:top w:val="nil"/>
              <w:left w:val="nil"/>
              <w:bottom w:val="nil"/>
              <w:right w:val="single" w:sz="4" w:space="0" w:color="auto"/>
            </w:tcBorders>
            <w:shd w:val="clear" w:color="000000" w:fill="FFFFFF"/>
            <w:noWrap/>
            <w:vAlign w:val="center"/>
            <w:hideMark/>
          </w:tcPr>
          <w:p w14:paraId="2A3F1BAF"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2,809</w:t>
            </w:r>
          </w:p>
        </w:tc>
        <w:tc>
          <w:tcPr>
            <w:tcW w:w="1016" w:type="dxa"/>
            <w:tcBorders>
              <w:top w:val="nil"/>
              <w:left w:val="nil"/>
              <w:bottom w:val="nil"/>
              <w:right w:val="single" w:sz="4" w:space="0" w:color="auto"/>
            </w:tcBorders>
            <w:shd w:val="clear" w:color="000000" w:fill="FFFFFF"/>
            <w:noWrap/>
            <w:vAlign w:val="center"/>
            <w:hideMark/>
          </w:tcPr>
          <w:p w14:paraId="5215CF02"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3,725</w:t>
            </w:r>
          </w:p>
        </w:tc>
      </w:tr>
      <w:tr w:rsidR="00FF3F04" w:rsidRPr="00FF3F04" w14:paraId="7A77C715" w14:textId="77777777" w:rsidTr="00FF3F04">
        <w:trPr>
          <w:trHeight w:val="300"/>
        </w:trPr>
        <w:tc>
          <w:tcPr>
            <w:tcW w:w="1076" w:type="dxa"/>
            <w:tcBorders>
              <w:top w:val="nil"/>
              <w:left w:val="single" w:sz="4" w:space="0" w:color="auto"/>
              <w:bottom w:val="nil"/>
              <w:right w:val="single" w:sz="4" w:space="0" w:color="auto"/>
            </w:tcBorders>
            <w:shd w:val="clear" w:color="000000" w:fill="FFFFFF"/>
            <w:noWrap/>
            <w:vAlign w:val="center"/>
            <w:hideMark/>
          </w:tcPr>
          <w:p w14:paraId="5F04726B"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1,000</w:t>
            </w:r>
          </w:p>
        </w:tc>
        <w:tc>
          <w:tcPr>
            <w:tcW w:w="3868" w:type="dxa"/>
            <w:tcBorders>
              <w:top w:val="nil"/>
              <w:left w:val="nil"/>
              <w:bottom w:val="nil"/>
              <w:right w:val="single" w:sz="4" w:space="0" w:color="auto"/>
            </w:tcBorders>
            <w:shd w:val="clear" w:color="000000" w:fill="FFFFFF"/>
            <w:noWrap/>
            <w:vAlign w:val="center"/>
            <w:hideMark/>
          </w:tcPr>
          <w:p w14:paraId="48A65327"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Capital Financing - RCCO</w:t>
            </w:r>
          </w:p>
        </w:tc>
        <w:tc>
          <w:tcPr>
            <w:tcW w:w="1016" w:type="dxa"/>
            <w:tcBorders>
              <w:top w:val="nil"/>
              <w:left w:val="nil"/>
              <w:bottom w:val="nil"/>
              <w:right w:val="single" w:sz="4" w:space="0" w:color="auto"/>
            </w:tcBorders>
            <w:shd w:val="clear" w:color="000000" w:fill="FFFFFF"/>
            <w:noWrap/>
            <w:vAlign w:val="center"/>
            <w:hideMark/>
          </w:tcPr>
          <w:p w14:paraId="2FD0E8AB"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1,000</w:t>
            </w:r>
          </w:p>
        </w:tc>
        <w:tc>
          <w:tcPr>
            <w:tcW w:w="1016" w:type="dxa"/>
            <w:tcBorders>
              <w:top w:val="nil"/>
              <w:left w:val="nil"/>
              <w:bottom w:val="nil"/>
              <w:right w:val="single" w:sz="4" w:space="0" w:color="auto"/>
            </w:tcBorders>
            <w:shd w:val="clear" w:color="000000" w:fill="FFFFFF"/>
            <w:noWrap/>
            <w:vAlign w:val="center"/>
            <w:hideMark/>
          </w:tcPr>
          <w:p w14:paraId="7C7AB85E"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1,000</w:t>
            </w:r>
          </w:p>
        </w:tc>
        <w:tc>
          <w:tcPr>
            <w:tcW w:w="1016" w:type="dxa"/>
            <w:tcBorders>
              <w:top w:val="nil"/>
              <w:left w:val="nil"/>
              <w:bottom w:val="nil"/>
              <w:right w:val="single" w:sz="4" w:space="0" w:color="auto"/>
            </w:tcBorders>
            <w:shd w:val="clear" w:color="000000" w:fill="FFFFFF"/>
            <w:noWrap/>
            <w:vAlign w:val="center"/>
            <w:hideMark/>
          </w:tcPr>
          <w:p w14:paraId="0AFFDC99"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1,000</w:t>
            </w:r>
          </w:p>
        </w:tc>
        <w:tc>
          <w:tcPr>
            <w:tcW w:w="1016" w:type="dxa"/>
            <w:tcBorders>
              <w:top w:val="nil"/>
              <w:left w:val="nil"/>
              <w:bottom w:val="nil"/>
              <w:right w:val="single" w:sz="4" w:space="0" w:color="auto"/>
            </w:tcBorders>
            <w:shd w:val="clear" w:color="000000" w:fill="FFFFFF"/>
            <w:noWrap/>
            <w:vAlign w:val="center"/>
            <w:hideMark/>
          </w:tcPr>
          <w:p w14:paraId="14BE832C"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1,000</w:t>
            </w:r>
          </w:p>
        </w:tc>
        <w:tc>
          <w:tcPr>
            <w:tcW w:w="1016" w:type="dxa"/>
            <w:tcBorders>
              <w:top w:val="nil"/>
              <w:left w:val="nil"/>
              <w:bottom w:val="nil"/>
              <w:right w:val="single" w:sz="4" w:space="0" w:color="auto"/>
            </w:tcBorders>
            <w:shd w:val="clear" w:color="000000" w:fill="FFFFFF"/>
            <w:noWrap/>
            <w:vAlign w:val="center"/>
            <w:hideMark/>
          </w:tcPr>
          <w:p w14:paraId="6BBADB31"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1,000</w:t>
            </w:r>
          </w:p>
        </w:tc>
      </w:tr>
      <w:tr w:rsidR="00FF3F04" w:rsidRPr="00FF3F04" w14:paraId="4842EB41" w14:textId="77777777" w:rsidTr="00FF3F04">
        <w:trPr>
          <w:trHeight w:val="300"/>
        </w:trPr>
        <w:tc>
          <w:tcPr>
            <w:tcW w:w="1076" w:type="dxa"/>
            <w:tcBorders>
              <w:top w:val="nil"/>
              <w:left w:val="single" w:sz="4" w:space="0" w:color="auto"/>
              <w:bottom w:val="nil"/>
              <w:right w:val="single" w:sz="4" w:space="0" w:color="auto"/>
            </w:tcBorders>
            <w:shd w:val="clear" w:color="000000" w:fill="FFFFFF"/>
            <w:noWrap/>
            <w:vAlign w:val="center"/>
            <w:hideMark/>
          </w:tcPr>
          <w:p w14:paraId="601D5A34"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w:t>
            </w:r>
          </w:p>
        </w:tc>
        <w:tc>
          <w:tcPr>
            <w:tcW w:w="3868" w:type="dxa"/>
            <w:tcBorders>
              <w:top w:val="nil"/>
              <w:left w:val="nil"/>
              <w:bottom w:val="nil"/>
              <w:right w:val="single" w:sz="4" w:space="0" w:color="auto"/>
            </w:tcBorders>
            <w:shd w:val="clear" w:color="000000" w:fill="FFFFFF"/>
            <w:noWrap/>
            <w:vAlign w:val="center"/>
            <w:hideMark/>
          </w:tcPr>
          <w:p w14:paraId="611A542E"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Specific Transfers to Reserves</w:t>
            </w:r>
          </w:p>
        </w:tc>
        <w:tc>
          <w:tcPr>
            <w:tcW w:w="1016" w:type="dxa"/>
            <w:tcBorders>
              <w:top w:val="nil"/>
              <w:left w:val="nil"/>
              <w:bottom w:val="nil"/>
              <w:right w:val="single" w:sz="4" w:space="0" w:color="auto"/>
            </w:tcBorders>
            <w:shd w:val="clear" w:color="000000" w:fill="FFFFFF"/>
            <w:noWrap/>
            <w:vAlign w:val="center"/>
            <w:hideMark/>
          </w:tcPr>
          <w:p w14:paraId="4A1C5A01"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100</w:t>
            </w:r>
          </w:p>
        </w:tc>
        <w:tc>
          <w:tcPr>
            <w:tcW w:w="1016" w:type="dxa"/>
            <w:tcBorders>
              <w:top w:val="nil"/>
              <w:left w:val="nil"/>
              <w:bottom w:val="nil"/>
              <w:right w:val="single" w:sz="4" w:space="0" w:color="auto"/>
            </w:tcBorders>
            <w:shd w:val="clear" w:color="000000" w:fill="FFFFFF"/>
            <w:noWrap/>
            <w:vAlign w:val="center"/>
            <w:hideMark/>
          </w:tcPr>
          <w:p w14:paraId="3CB5A46B"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150</w:t>
            </w:r>
          </w:p>
        </w:tc>
        <w:tc>
          <w:tcPr>
            <w:tcW w:w="1016" w:type="dxa"/>
            <w:tcBorders>
              <w:top w:val="nil"/>
              <w:left w:val="nil"/>
              <w:bottom w:val="nil"/>
              <w:right w:val="single" w:sz="4" w:space="0" w:color="auto"/>
            </w:tcBorders>
            <w:shd w:val="clear" w:color="000000" w:fill="FFFFFF"/>
            <w:noWrap/>
            <w:vAlign w:val="center"/>
            <w:hideMark/>
          </w:tcPr>
          <w:p w14:paraId="1F715E5C"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150</w:t>
            </w:r>
          </w:p>
        </w:tc>
        <w:tc>
          <w:tcPr>
            <w:tcW w:w="1016" w:type="dxa"/>
            <w:tcBorders>
              <w:top w:val="nil"/>
              <w:left w:val="nil"/>
              <w:bottom w:val="nil"/>
              <w:right w:val="single" w:sz="4" w:space="0" w:color="auto"/>
            </w:tcBorders>
            <w:shd w:val="clear" w:color="000000" w:fill="FFFFFF"/>
            <w:noWrap/>
            <w:vAlign w:val="center"/>
            <w:hideMark/>
          </w:tcPr>
          <w:p w14:paraId="5B3DBFD2"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200</w:t>
            </w:r>
          </w:p>
        </w:tc>
        <w:tc>
          <w:tcPr>
            <w:tcW w:w="1016" w:type="dxa"/>
            <w:tcBorders>
              <w:top w:val="nil"/>
              <w:left w:val="nil"/>
              <w:bottom w:val="nil"/>
              <w:right w:val="single" w:sz="4" w:space="0" w:color="auto"/>
            </w:tcBorders>
            <w:shd w:val="clear" w:color="000000" w:fill="FFFFFF"/>
            <w:noWrap/>
            <w:vAlign w:val="center"/>
            <w:hideMark/>
          </w:tcPr>
          <w:p w14:paraId="6AF4B14E"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150</w:t>
            </w:r>
          </w:p>
        </w:tc>
      </w:tr>
      <w:tr w:rsidR="00FF3F04" w:rsidRPr="00FF3F04" w14:paraId="53974E77" w14:textId="77777777" w:rsidTr="00FF3F04">
        <w:trPr>
          <w:trHeight w:val="300"/>
        </w:trPr>
        <w:tc>
          <w:tcPr>
            <w:tcW w:w="1076" w:type="dxa"/>
            <w:tcBorders>
              <w:top w:val="nil"/>
              <w:left w:val="single" w:sz="4" w:space="0" w:color="auto"/>
              <w:bottom w:val="single" w:sz="4" w:space="0" w:color="auto"/>
              <w:right w:val="single" w:sz="4" w:space="0" w:color="auto"/>
            </w:tcBorders>
            <w:shd w:val="clear" w:color="000000" w:fill="FFFFFF"/>
            <w:noWrap/>
            <w:vAlign w:val="center"/>
            <w:hideMark/>
          </w:tcPr>
          <w:p w14:paraId="4A48086F"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(5,452)</w:t>
            </w:r>
          </w:p>
        </w:tc>
        <w:tc>
          <w:tcPr>
            <w:tcW w:w="3868" w:type="dxa"/>
            <w:tcBorders>
              <w:top w:val="nil"/>
              <w:left w:val="nil"/>
              <w:bottom w:val="single" w:sz="4" w:space="0" w:color="auto"/>
              <w:right w:val="single" w:sz="4" w:space="0" w:color="auto"/>
            </w:tcBorders>
            <w:shd w:val="clear" w:color="000000" w:fill="FFFFFF"/>
            <w:noWrap/>
            <w:vAlign w:val="center"/>
            <w:hideMark/>
          </w:tcPr>
          <w:p w14:paraId="487872C6"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Specific Transfers from Reserves</w:t>
            </w:r>
          </w:p>
        </w:tc>
        <w:tc>
          <w:tcPr>
            <w:tcW w:w="1016" w:type="dxa"/>
            <w:tcBorders>
              <w:top w:val="nil"/>
              <w:left w:val="nil"/>
              <w:bottom w:val="single" w:sz="4" w:space="0" w:color="auto"/>
              <w:right w:val="single" w:sz="4" w:space="0" w:color="auto"/>
            </w:tcBorders>
            <w:shd w:val="clear" w:color="000000" w:fill="FFFFFF"/>
            <w:noWrap/>
            <w:vAlign w:val="center"/>
            <w:hideMark/>
          </w:tcPr>
          <w:p w14:paraId="4FD7F7B6"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(1,316)</w:t>
            </w:r>
          </w:p>
        </w:tc>
        <w:tc>
          <w:tcPr>
            <w:tcW w:w="1016" w:type="dxa"/>
            <w:tcBorders>
              <w:top w:val="nil"/>
              <w:left w:val="nil"/>
              <w:bottom w:val="single" w:sz="4" w:space="0" w:color="auto"/>
              <w:right w:val="single" w:sz="4" w:space="0" w:color="auto"/>
            </w:tcBorders>
            <w:shd w:val="clear" w:color="000000" w:fill="FFFFFF"/>
            <w:noWrap/>
            <w:vAlign w:val="center"/>
            <w:hideMark/>
          </w:tcPr>
          <w:p w14:paraId="2B46DC88"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(350)</w:t>
            </w:r>
          </w:p>
        </w:tc>
        <w:tc>
          <w:tcPr>
            <w:tcW w:w="1016" w:type="dxa"/>
            <w:tcBorders>
              <w:top w:val="nil"/>
              <w:left w:val="nil"/>
              <w:bottom w:val="single" w:sz="4" w:space="0" w:color="auto"/>
              <w:right w:val="single" w:sz="4" w:space="0" w:color="auto"/>
            </w:tcBorders>
            <w:shd w:val="clear" w:color="000000" w:fill="FFFFFF"/>
            <w:noWrap/>
            <w:vAlign w:val="center"/>
            <w:hideMark/>
          </w:tcPr>
          <w:p w14:paraId="588717F5"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(350)</w:t>
            </w:r>
          </w:p>
        </w:tc>
        <w:tc>
          <w:tcPr>
            <w:tcW w:w="1016" w:type="dxa"/>
            <w:tcBorders>
              <w:top w:val="nil"/>
              <w:left w:val="nil"/>
              <w:bottom w:val="single" w:sz="4" w:space="0" w:color="auto"/>
              <w:right w:val="single" w:sz="4" w:space="0" w:color="auto"/>
            </w:tcBorders>
            <w:shd w:val="clear" w:color="000000" w:fill="FFFFFF"/>
            <w:noWrap/>
            <w:vAlign w:val="center"/>
            <w:hideMark/>
          </w:tcPr>
          <w:p w14:paraId="51AF07F1"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(350)</w:t>
            </w:r>
          </w:p>
        </w:tc>
        <w:tc>
          <w:tcPr>
            <w:tcW w:w="1016" w:type="dxa"/>
            <w:tcBorders>
              <w:top w:val="nil"/>
              <w:left w:val="nil"/>
              <w:bottom w:val="single" w:sz="4" w:space="0" w:color="auto"/>
              <w:right w:val="single" w:sz="4" w:space="0" w:color="auto"/>
            </w:tcBorders>
            <w:shd w:val="clear" w:color="000000" w:fill="FFFFFF"/>
            <w:noWrap/>
            <w:vAlign w:val="center"/>
            <w:hideMark/>
          </w:tcPr>
          <w:p w14:paraId="42D07EA5"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(350)</w:t>
            </w:r>
          </w:p>
        </w:tc>
      </w:tr>
      <w:tr w:rsidR="00FF3F04" w:rsidRPr="00FF3F04" w14:paraId="5483F58C" w14:textId="77777777" w:rsidTr="00FF3F04">
        <w:trPr>
          <w:trHeight w:val="300"/>
        </w:trPr>
        <w:tc>
          <w:tcPr>
            <w:tcW w:w="1076" w:type="dxa"/>
            <w:tcBorders>
              <w:top w:val="single" w:sz="4" w:space="0" w:color="auto"/>
              <w:left w:val="nil"/>
              <w:bottom w:val="single" w:sz="4" w:space="0" w:color="auto"/>
              <w:right w:val="nil"/>
            </w:tcBorders>
            <w:shd w:val="clear" w:color="000000" w:fill="FFFFFF"/>
            <w:noWrap/>
            <w:vAlign w:val="center"/>
            <w:hideMark/>
          </w:tcPr>
          <w:p w14:paraId="6EAA12DB"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3868" w:type="dxa"/>
            <w:tcBorders>
              <w:top w:val="nil"/>
              <w:left w:val="nil"/>
              <w:bottom w:val="nil"/>
              <w:right w:val="nil"/>
            </w:tcBorders>
            <w:shd w:val="clear" w:color="000000" w:fill="FFFFFF"/>
            <w:noWrap/>
            <w:vAlign w:val="center"/>
            <w:hideMark/>
          </w:tcPr>
          <w:p w14:paraId="0DA23D6B"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single" w:sz="4" w:space="0" w:color="auto"/>
              <w:left w:val="nil"/>
              <w:bottom w:val="single" w:sz="4" w:space="0" w:color="auto"/>
              <w:right w:val="nil"/>
            </w:tcBorders>
            <w:shd w:val="clear" w:color="000000" w:fill="FFFFFF"/>
            <w:noWrap/>
            <w:vAlign w:val="center"/>
            <w:hideMark/>
          </w:tcPr>
          <w:p w14:paraId="241AEE0A"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single" w:sz="4" w:space="0" w:color="auto"/>
              <w:left w:val="nil"/>
              <w:bottom w:val="single" w:sz="4" w:space="0" w:color="auto"/>
              <w:right w:val="nil"/>
            </w:tcBorders>
            <w:shd w:val="clear" w:color="000000" w:fill="FFFFFF"/>
            <w:noWrap/>
            <w:vAlign w:val="center"/>
            <w:hideMark/>
          </w:tcPr>
          <w:p w14:paraId="382ACA01"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single" w:sz="4" w:space="0" w:color="auto"/>
              <w:left w:val="nil"/>
              <w:bottom w:val="single" w:sz="4" w:space="0" w:color="auto"/>
              <w:right w:val="nil"/>
            </w:tcBorders>
            <w:shd w:val="clear" w:color="000000" w:fill="FFFFFF"/>
            <w:noWrap/>
            <w:vAlign w:val="center"/>
            <w:hideMark/>
          </w:tcPr>
          <w:p w14:paraId="5C945011"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single" w:sz="4" w:space="0" w:color="auto"/>
              <w:left w:val="nil"/>
              <w:bottom w:val="single" w:sz="4" w:space="0" w:color="auto"/>
              <w:right w:val="nil"/>
            </w:tcBorders>
            <w:shd w:val="clear" w:color="000000" w:fill="FFFFFF"/>
            <w:noWrap/>
            <w:vAlign w:val="center"/>
            <w:hideMark/>
          </w:tcPr>
          <w:p w14:paraId="40D095DC"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single" w:sz="4" w:space="0" w:color="auto"/>
              <w:left w:val="nil"/>
              <w:bottom w:val="single" w:sz="4" w:space="0" w:color="auto"/>
              <w:right w:val="nil"/>
            </w:tcBorders>
            <w:shd w:val="clear" w:color="000000" w:fill="FFFFFF"/>
            <w:noWrap/>
            <w:vAlign w:val="center"/>
            <w:hideMark/>
          </w:tcPr>
          <w:p w14:paraId="1D11F22A"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r>
      <w:tr w:rsidR="00FF3F04" w:rsidRPr="00FF3F04" w14:paraId="54C84216" w14:textId="77777777" w:rsidTr="00FF3F04">
        <w:trPr>
          <w:trHeight w:val="300"/>
        </w:trPr>
        <w:tc>
          <w:tcPr>
            <w:tcW w:w="10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6FCFDA"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5,678</w:t>
            </w:r>
          </w:p>
        </w:tc>
        <w:tc>
          <w:tcPr>
            <w:tcW w:w="3868" w:type="dxa"/>
            <w:tcBorders>
              <w:top w:val="single" w:sz="4" w:space="0" w:color="auto"/>
              <w:left w:val="nil"/>
              <w:bottom w:val="single" w:sz="4" w:space="0" w:color="auto"/>
              <w:right w:val="single" w:sz="4" w:space="0" w:color="auto"/>
            </w:tcBorders>
            <w:shd w:val="clear" w:color="000000" w:fill="FFFFFF"/>
            <w:noWrap/>
            <w:vAlign w:val="center"/>
            <w:hideMark/>
          </w:tcPr>
          <w:p w14:paraId="0D85CFCA" w14:textId="77777777" w:rsidR="00FF3F04" w:rsidRPr="00FF3F04" w:rsidRDefault="00FF3F04" w:rsidP="00FF3F04">
            <w:pPr>
              <w:spacing w:line="240" w:lineRule="auto"/>
              <w:rPr>
                <w:rFonts w:eastAsia="Times New Roman" w:cs="Calibri"/>
                <w:b/>
                <w:bCs/>
                <w:color w:val="000000"/>
                <w:sz w:val="20"/>
                <w:szCs w:val="20"/>
                <w:lang w:eastAsia="en-GB"/>
              </w:rPr>
            </w:pPr>
            <w:r w:rsidRPr="00FF3F04">
              <w:rPr>
                <w:rFonts w:eastAsia="Times New Roman" w:cs="Calibri"/>
                <w:b/>
                <w:bCs/>
                <w:color w:val="000000"/>
                <w:sz w:val="20"/>
                <w:szCs w:val="20"/>
                <w:lang w:eastAsia="en-GB"/>
              </w:rPr>
              <w:t>OTHER (Inc. OPFCC &amp; Capital Financing)</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14:paraId="618139F1"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10,388</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14:paraId="3598D048"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12,360</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14:paraId="427B2C0E"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14,531</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14:paraId="0A55DD05"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14,121</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14:paraId="1B0CCAAE"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15,791</w:t>
            </w:r>
          </w:p>
        </w:tc>
      </w:tr>
      <w:tr w:rsidR="00FF3F04" w:rsidRPr="00FF3F04" w14:paraId="6115FFF1" w14:textId="77777777" w:rsidTr="00FF3F04">
        <w:trPr>
          <w:trHeight w:val="300"/>
        </w:trPr>
        <w:tc>
          <w:tcPr>
            <w:tcW w:w="1076" w:type="dxa"/>
            <w:tcBorders>
              <w:top w:val="single" w:sz="4" w:space="0" w:color="auto"/>
              <w:left w:val="nil"/>
              <w:bottom w:val="single" w:sz="4" w:space="0" w:color="auto"/>
              <w:right w:val="nil"/>
            </w:tcBorders>
            <w:shd w:val="clear" w:color="000000" w:fill="FFFFFF"/>
            <w:noWrap/>
            <w:vAlign w:val="center"/>
            <w:hideMark/>
          </w:tcPr>
          <w:p w14:paraId="219C2DC5"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3868" w:type="dxa"/>
            <w:tcBorders>
              <w:top w:val="nil"/>
              <w:left w:val="nil"/>
              <w:bottom w:val="nil"/>
              <w:right w:val="nil"/>
            </w:tcBorders>
            <w:shd w:val="clear" w:color="000000" w:fill="FFFFFF"/>
            <w:noWrap/>
            <w:vAlign w:val="center"/>
            <w:hideMark/>
          </w:tcPr>
          <w:p w14:paraId="7F94A7FE"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single" w:sz="4" w:space="0" w:color="auto"/>
              <w:left w:val="nil"/>
              <w:bottom w:val="single" w:sz="4" w:space="0" w:color="auto"/>
              <w:right w:val="nil"/>
            </w:tcBorders>
            <w:shd w:val="clear" w:color="000000" w:fill="FFFFFF"/>
            <w:noWrap/>
            <w:vAlign w:val="center"/>
            <w:hideMark/>
          </w:tcPr>
          <w:p w14:paraId="04FDBBC8"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single" w:sz="4" w:space="0" w:color="auto"/>
              <w:left w:val="nil"/>
              <w:bottom w:val="single" w:sz="4" w:space="0" w:color="auto"/>
              <w:right w:val="nil"/>
            </w:tcBorders>
            <w:shd w:val="clear" w:color="000000" w:fill="FFFFFF"/>
            <w:noWrap/>
            <w:vAlign w:val="center"/>
            <w:hideMark/>
          </w:tcPr>
          <w:p w14:paraId="1519888D"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single" w:sz="4" w:space="0" w:color="auto"/>
              <w:left w:val="nil"/>
              <w:bottom w:val="single" w:sz="4" w:space="0" w:color="auto"/>
              <w:right w:val="nil"/>
            </w:tcBorders>
            <w:shd w:val="clear" w:color="000000" w:fill="FFFFFF"/>
            <w:noWrap/>
            <w:vAlign w:val="center"/>
            <w:hideMark/>
          </w:tcPr>
          <w:p w14:paraId="0F985919"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single" w:sz="4" w:space="0" w:color="auto"/>
              <w:left w:val="nil"/>
              <w:bottom w:val="single" w:sz="4" w:space="0" w:color="auto"/>
              <w:right w:val="nil"/>
            </w:tcBorders>
            <w:shd w:val="clear" w:color="000000" w:fill="FFFFFF"/>
            <w:noWrap/>
            <w:vAlign w:val="center"/>
            <w:hideMark/>
          </w:tcPr>
          <w:p w14:paraId="629EDFAF"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single" w:sz="4" w:space="0" w:color="auto"/>
              <w:left w:val="nil"/>
              <w:bottom w:val="single" w:sz="4" w:space="0" w:color="auto"/>
              <w:right w:val="nil"/>
            </w:tcBorders>
            <w:shd w:val="clear" w:color="000000" w:fill="FFFFFF"/>
            <w:noWrap/>
            <w:vAlign w:val="center"/>
            <w:hideMark/>
          </w:tcPr>
          <w:p w14:paraId="03F820FB"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r>
      <w:tr w:rsidR="00FF3F04" w:rsidRPr="00FF3F04" w14:paraId="0BADD578" w14:textId="77777777" w:rsidTr="00FF3F04">
        <w:trPr>
          <w:trHeight w:val="300"/>
        </w:trPr>
        <w:tc>
          <w:tcPr>
            <w:tcW w:w="1076" w:type="dxa"/>
            <w:tcBorders>
              <w:top w:val="nil"/>
              <w:left w:val="single" w:sz="4" w:space="0" w:color="auto"/>
              <w:bottom w:val="nil"/>
              <w:right w:val="single" w:sz="4" w:space="0" w:color="auto"/>
            </w:tcBorders>
            <w:shd w:val="clear" w:color="000000" w:fill="FFFFFF"/>
            <w:noWrap/>
            <w:vAlign w:val="center"/>
            <w:hideMark/>
          </w:tcPr>
          <w:p w14:paraId="2408BAB0" w14:textId="77777777" w:rsidR="00FF3F04" w:rsidRPr="00FF3F04" w:rsidRDefault="00FF3F04" w:rsidP="00FF3F04">
            <w:pPr>
              <w:spacing w:line="240" w:lineRule="auto"/>
              <w:jc w:val="right"/>
              <w:rPr>
                <w:rFonts w:eastAsia="Times New Roman" w:cs="Calibri"/>
                <w:sz w:val="20"/>
                <w:szCs w:val="20"/>
                <w:lang w:eastAsia="en-GB"/>
              </w:rPr>
            </w:pPr>
            <w:r w:rsidRPr="00FF3F04">
              <w:rPr>
                <w:rFonts w:eastAsia="Times New Roman" w:cs="Calibri"/>
                <w:sz w:val="20"/>
                <w:szCs w:val="20"/>
                <w:lang w:eastAsia="en-GB"/>
              </w:rPr>
              <w:t>1,823</w:t>
            </w:r>
          </w:p>
        </w:tc>
        <w:tc>
          <w:tcPr>
            <w:tcW w:w="3868" w:type="dxa"/>
            <w:tcBorders>
              <w:top w:val="single" w:sz="4" w:space="0" w:color="auto"/>
              <w:left w:val="nil"/>
              <w:bottom w:val="nil"/>
              <w:right w:val="single" w:sz="4" w:space="0" w:color="auto"/>
            </w:tcBorders>
            <w:shd w:val="clear" w:color="000000" w:fill="FFFFFF"/>
            <w:noWrap/>
            <w:vAlign w:val="center"/>
            <w:hideMark/>
          </w:tcPr>
          <w:p w14:paraId="7DEEA842" w14:textId="77777777" w:rsidR="00FF3F04" w:rsidRPr="00FF3F04" w:rsidRDefault="00FF3F04" w:rsidP="00FF3F04">
            <w:pPr>
              <w:spacing w:line="240" w:lineRule="auto"/>
              <w:rPr>
                <w:rFonts w:eastAsia="Times New Roman" w:cs="Calibri"/>
                <w:sz w:val="20"/>
                <w:szCs w:val="20"/>
                <w:lang w:eastAsia="en-GB"/>
              </w:rPr>
            </w:pPr>
            <w:r w:rsidRPr="00FF3F04">
              <w:rPr>
                <w:rFonts w:eastAsia="Times New Roman" w:cs="Calibri"/>
                <w:sz w:val="20"/>
                <w:szCs w:val="20"/>
                <w:lang w:eastAsia="en-GB"/>
              </w:rPr>
              <w:t>New Investment Proposals</w:t>
            </w:r>
          </w:p>
        </w:tc>
        <w:tc>
          <w:tcPr>
            <w:tcW w:w="1016" w:type="dxa"/>
            <w:tcBorders>
              <w:top w:val="single" w:sz="4" w:space="0" w:color="auto"/>
              <w:left w:val="nil"/>
              <w:bottom w:val="nil"/>
              <w:right w:val="single" w:sz="4" w:space="0" w:color="auto"/>
            </w:tcBorders>
            <w:shd w:val="clear" w:color="000000" w:fill="FFFFFF"/>
            <w:noWrap/>
            <w:vAlign w:val="center"/>
            <w:hideMark/>
          </w:tcPr>
          <w:p w14:paraId="47B9E044" w14:textId="77777777" w:rsidR="00FF3F04" w:rsidRPr="00FF3F04" w:rsidRDefault="00FF3F04" w:rsidP="00FF3F04">
            <w:pPr>
              <w:spacing w:line="240" w:lineRule="auto"/>
              <w:jc w:val="right"/>
              <w:rPr>
                <w:rFonts w:eastAsia="Times New Roman" w:cs="Calibri"/>
                <w:sz w:val="20"/>
                <w:szCs w:val="20"/>
                <w:lang w:eastAsia="en-GB"/>
              </w:rPr>
            </w:pPr>
            <w:r w:rsidRPr="00FF3F04">
              <w:rPr>
                <w:rFonts w:eastAsia="Times New Roman" w:cs="Calibri"/>
                <w:sz w:val="20"/>
                <w:szCs w:val="20"/>
                <w:lang w:eastAsia="en-GB"/>
              </w:rPr>
              <w:t>1,000</w:t>
            </w:r>
          </w:p>
        </w:tc>
        <w:tc>
          <w:tcPr>
            <w:tcW w:w="1016" w:type="dxa"/>
            <w:tcBorders>
              <w:top w:val="single" w:sz="4" w:space="0" w:color="auto"/>
              <w:left w:val="nil"/>
              <w:bottom w:val="nil"/>
              <w:right w:val="single" w:sz="4" w:space="0" w:color="auto"/>
            </w:tcBorders>
            <w:shd w:val="clear" w:color="000000" w:fill="FFFFFF"/>
            <w:noWrap/>
            <w:vAlign w:val="center"/>
            <w:hideMark/>
          </w:tcPr>
          <w:p w14:paraId="40DD66F2" w14:textId="77777777" w:rsidR="00FF3F04" w:rsidRPr="00FF3F04" w:rsidRDefault="00FF3F04" w:rsidP="00FF3F04">
            <w:pPr>
              <w:spacing w:line="240" w:lineRule="auto"/>
              <w:jc w:val="right"/>
              <w:rPr>
                <w:rFonts w:eastAsia="Times New Roman" w:cs="Calibri"/>
                <w:sz w:val="20"/>
                <w:szCs w:val="20"/>
                <w:lang w:eastAsia="en-GB"/>
              </w:rPr>
            </w:pPr>
            <w:r w:rsidRPr="00FF3F04">
              <w:rPr>
                <w:rFonts w:eastAsia="Times New Roman" w:cs="Calibri"/>
                <w:sz w:val="20"/>
                <w:szCs w:val="20"/>
                <w:lang w:eastAsia="en-GB"/>
              </w:rPr>
              <w:t>2,000</w:t>
            </w:r>
          </w:p>
        </w:tc>
        <w:tc>
          <w:tcPr>
            <w:tcW w:w="1016" w:type="dxa"/>
            <w:tcBorders>
              <w:top w:val="single" w:sz="4" w:space="0" w:color="auto"/>
              <w:left w:val="nil"/>
              <w:bottom w:val="nil"/>
              <w:right w:val="single" w:sz="4" w:space="0" w:color="auto"/>
            </w:tcBorders>
            <w:shd w:val="clear" w:color="000000" w:fill="FFFFFF"/>
            <w:noWrap/>
            <w:vAlign w:val="center"/>
            <w:hideMark/>
          </w:tcPr>
          <w:p w14:paraId="08C32E61" w14:textId="77777777" w:rsidR="00FF3F04" w:rsidRPr="00FF3F04" w:rsidRDefault="00FF3F04" w:rsidP="00FF3F04">
            <w:pPr>
              <w:spacing w:line="240" w:lineRule="auto"/>
              <w:jc w:val="right"/>
              <w:rPr>
                <w:rFonts w:eastAsia="Times New Roman" w:cs="Calibri"/>
                <w:sz w:val="20"/>
                <w:szCs w:val="20"/>
                <w:lang w:eastAsia="en-GB"/>
              </w:rPr>
            </w:pPr>
            <w:r w:rsidRPr="00FF3F04">
              <w:rPr>
                <w:rFonts w:eastAsia="Times New Roman" w:cs="Calibri"/>
                <w:sz w:val="20"/>
                <w:szCs w:val="20"/>
                <w:lang w:eastAsia="en-GB"/>
              </w:rPr>
              <w:t>3,000</w:t>
            </w:r>
          </w:p>
        </w:tc>
        <w:tc>
          <w:tcPr>
            <w:tcW w:w="1016" w:type="dxa"/>
            <w:tcBorders>
              <w:top w:val="single" w:sz="4" w:space="0" w:color="auto"/>
              <w:left w:val="nil"/>
              <w:bottom w:val="nil"/>
              <w:right w:val="single" w:sz="4" w:space="0" w:color="auto"/>
            </w:tcBorders>
            <w:shd w:val="clear" w:color="000000" w:fill="FFFFFF"/>
            <w:noWrap/>
            <w:vAlign w:val="center"/>
            <w:hideMark/>
          </w:tcPr>
          <w:p w14:paraId="42D6F842" w14:textId="77777777" w:rsidR="00FF3F04" w:rsidRPr="00FF3F04" w:rsidRDefault="00FF3F04" w:rsidP="00FF3F04">
            <w:pPr>
              <w:spacing w:line="240" w:lineRule="auto"/>
              <w:jc w:val="right"/>
              <w:rPr>
                <w:rFonts w:eastAsia="Times New Roman" w:cs="Calibri"/>
                <w:sz w:val="20"/>
                <w:szCs w:val="20"/>
                <w:lang w:eastAsia="en-GB"/>
              </w:rPr>
            </w:pPr>
            <w:r w:rsidRPr="00FF3F04">
              <w:rPr>
                <w:rFonts w:eastAsia="Times New Roman" w:cs="Calibri"/>
                <w:sz w:val="20"/>
                <w:szCs w:val="20"/>
                <w:lang w:eastAsia="en-GB"/>
              </w:rPr>
              <w:t>4,000</w:t>
            </w:r>
          </w:p>
        </w:tc>
        <w:tc>
          <w:tcPr>
            <w:tcW w:w="1016" w:type="dxa"/>
            <w:tcBorders>
              <w:top w:val="single" w:sz="4" w:space="0" w:color="auto"/>
              <w:left w:val="nil"/>
              <w:bottom w:val="nil"/>
              <w:right w:val="single" w:sz="4" w:space="0" w:color="auto"/>
            </w:tcBorders>
            <w:shd w:val="clear" w:color="000000" w:fill="FFFFFF"/>
            <w:noWrap/>
            <w:vAlign w:val="center"/>
            <w:hideMark/>
          </w:tcPr>
          <w:p w14:paraId="4BFEDE95" w14:textId="77777777" w:rsidR="00FF3F04" w:rsidRPr="00FF3F04" w:rsidRDefault="00FF3F04" w:rsidP="00FF3F04">
            <w:pPr>
              <w:spacing w:line="240" w:lineRule="auto"/>
              <w:jc w:val="right"/>
              <w:rPr>
                <w:rFonts w:eastAsia="Times New Roman" w:cs="Calibri"/>
                <w:sz w:val="20"/>
                <w:szCs w:val="20"/>
                <w:lang w:eastAsia="en-GB"/>
              </w:rPr>
            </w:pPr>
            <w:r w:rsidRPr="00FF3F04">
              <w:rPr>
                <w:rFonts w:eastAsia="Times New Roman" w:cs="Calibri"/>
                <w:sz w:val="20"/>
                <w:szCs w:val="20"/>
                <w:lang w:eastAsia="en-GB"/>
              </w:rPr>
              <w:t>5,000</w:t>
            </w:r>
          </w:p>
        </w:tc>
      </w:tr>
      <w:tr w:rsidR="00FF3F04" w:rsidRPr="00FF3F04" w14:paraId="14FC978E" w14:textId="77777777" w:rsidTr="00FF3F04">
        <w:trPr>
          <w:trHeight w:val="300"/>
        </w:trPr>
        <w:tc>
          <w:tcPr>
            <w:tcW w:w="1076" w:type="dxa"/>
            <w:tcBorders>
              <w:top w:val="nil"/>
              <w:left w:val="single" w:sz="4" w:space="0" w:color="auto"/>
              <w:bottom w:val="nil"/>
              <w:right w:val="single" w:sz="4" w:space="0" w:color="auto"/>
            </w:tcBorders>
            <w:shd w:val="clear" w:color="000000" w:fill="FFFFFF"/>
            <w:noWrap/>
            <w:vAlign w:val="center"/>
            <w:hideMark/>
          </w:tcPr>
          <w:p w14:paraId="26E3202E" w14:textId="77777777" w:rsidR="00FF3F04" w:rsidRPr="00FF3F04" w:rsidRDefault="00FF3F04" w:rsidP="00FF3F04">
            <w:pPr>
              <w:spacing w:line="240" w:lineRule="auto"/>
              <w:jc w:val="right"/>
              <w:rPr>
                <w:rFonts w:eastAsia="Times New Roman" w:cs="Calibri"/>
                <w:sz w:val="20"/>
                <w:szCs w:val="20"/>
                <w:lang w:eastAsia="en-GB"/>
              </w:rPr>
            </w:pPr>
            <w:r w:rsidRPr="00FF3F04">
              <w:rPr>
                <w:rFonts w:eastAsia="Times New Roman" w:cs="Calibri"/>
                <w:sz w:val="20"/>
                <w:szCs w:val="20"/>
                <w:lang w:eastAsia="en-GB"/>
              </w:rPr>
              <w:t>(803)</w:t>
            </w:r>
          </w:p>
        </w:tc>
        <w:tc>
          <w:tcPr>
            <w:tcW w:w="3868" w:type="dxa"/>
            <w:tcBorders>
              <w:top w:val="nil"/>
              <w:left w:val="nil"/>
              <w:bottom w:val="single" w:sz="4" w:space="0" w:color="auto"/>
              <w:right w:val="single" w:sz="4" w:space="0" w:color="auto"/>
            </w:tcBorders>
            <w:shd w:val="clear" w:color="000000" w:fill="FFFFFF"/>
            <w:noWrap/>
            <w:vAlign w:val="center"/>
            <w:hideMark/>
          </w:tcPr>
          <w:p w14:paraId="72565867" w14:textId="77777777" w:rsidR="00FF3F04" w:rsidRPr="00FF3F04" w:rsidRDefault="00FF3F04" w:rsidP="00FF3F04">
            <w:pPr>
              <w:spacing w:line="240" w:lineRule="auto"/>
              <w:rPr>
                <w:rFonts w:eastAsia="Times New Roman" w:cs="Calibri"/>
                <w:sz w:val="20"/>
                <w:szCs w:val="20"/>
                <w:lang w:eastAsia="en-GB"/>
              </w:rPr>
            </w:pPr>
            <w:r w:rsidRPr="00FF3F04">
              <w:rPr>
                <w:rFonts w:eastAsia="Times New Roman" w:cs="Calibri"/>
                <w:sz w:val="20"/>
                <w:szCs w:val="20"/>
                <w:lang w:eastAsia="en-GB"/>
              </w:rPr>
              <w:t>Savings Plans</w:t>
            </w:r>
          </w:p>
        </w:tc>
        <w:tc>
          <w:tcPr>
            <w:tcW w:w="1016" w:type="dxa"/>
            <w:tcBorders>
              <w:top w:val="nil"/>
              <w:left w:val="nil"/>
              <w:bottom w:val="single" w:sz="4" w:space="0" w:color="auto"/>
              <w:right w:val="single" w:sz="4" w:space="0" w:color="auto"/>
            </w:tcBorders>
            <w:shd w:val="clear" w:color="000000" w:fill="FFFFFF"/>
            <w:noWrap/>
            <w:vAlign w:val="center"/>
            <w:hideMark/>
          </w:tcPr>
          <w:p w14:paraId="758A637F" w14:textId="77777777" w:rsidR="00FF3F04" w:rsidRPr="00FF3F04" w:rsidRDefault="00FF3F04" w:rsidP="00FF3F04">
            <w:pPr>
              <w:spacing w:line="240" w:lineRule="auto"/>
              <w:jc w:val="right"/>
              <w:rPr>
                <w:rFonts w:eastAsia="Times New Roman" w:cs="Calibri"/>
                <w:sz w:val="20"/>
                <w:szCs w:val="20"/>
                <w:lang w:eastAsia="en-GB"/>
              </w:rPr>
            </w:pPr>
            <w:r w:rsidRPr="00FF3F04">
              <w:rPr>
                <w:rFonts w:eastAsia="Times New Roman" w:cs="Calibri"/>
                <w:sz w:val="20"/>
                <w:szCs w:val="20"/>
                <w:lang w:eastAsia="en-GB"/>
              </w:rPr>
              <w:t>(3,435)</w:t>
            </w:r>
          </w:p>
        </w:tc>
        <w:tc>
          <w:tcPr>
            <w:tcW w:w="1016" w:type="dxa"/>
            <w:tcBorders>
              <w:top w:val="nil"/>
              <w:left w:val="nil"/>
              <w:bottom w:val="single" w:sz="4" w:space="0" w:color="auto"/>
              <w:right w:val="single" w:sz="4" w:space="0" w:color="auto"/>
            </w:tcBorders>
            <w:shd w:val="clear" w:color="000000" w:fill="FFFFFF"/>
            <w:noWrap/>
            <w:vAlign w:val="center"/>
            <w:hideMark/>
          </w:tcPr>
          <w:p w14:paraId="5917F78C" w14:textId="77777777" w:rsidR="00FF3F04" w:rsidRPr="00FF3F04" w:rsidRDefault="00FF3F04" w:rsidP="00FF3F04">
            <w:pPr>
              <w:spacing w:line="240" w:lineRule="auto"/>
              <w:jc w:val="right"/>
              <w:rPr>
                <w:rFonts w:eastAsia="Times New Roman" w:cs="Calibri"/>
                <w:sz w:val="20"/>
                <w:szCs w:val="20"/>
                <w:lang w:eastAsia="en-GB"/>
              </w:rPr>
            </w:pPr>
            <w:r w:rsidRPr="00FF3F04">
              <w:rPr>
                <w:rFonts w:eastAsia="Times New Roman" w:cs="Calibri"/>
                <w:sz w:val="20"/>
                <w:szCs w:val="20"/>
                <w:lang w:eastAsia="en-GB"/>
              </w:rPr>
              <w:t>(4,222)</w:t>
            </w:r>
          </w:p>
        </w:tc>
        <w:tc>
          <w:tcPr>
            <w:tcW w:w="1016" w:type="dxa"/>
            <w:tcBorders>
              <w:top w:val="nil"/>
              <w:left w:val="nil"/>
              <w:bottom w:val="single" w:sz="4" w:space="0" w:color="auto"/>
              <w:right w:val="single" w:sz="4" w:space="0" w:color="auto"/>
            </w:tcBorders>
            <w:shd w:val="clear" w:color="000000" w:fill="FFFFFF"/>
            <w:noWrap/>
            <w:vAlign w:val="center"/>
            <w:hideMark/>
          </w:tcPr>
          <w:p w14:paraId="07808BCE" w14:textId="77777777" w:rsidR="00FF3F04" w:rsidRPr="00FF3F04" w:rsidRDefault="00FF3F04" w:rsidP="00FF3F04">
            <w:pPr>
              <w:spacing w:line="240" w:lineRule="auto"/>
              <w:jc w:val="right"/>
              <w:rPr>
                <w:rFonts w:eastAsia="Times New Roman" w:cs="Calibri"/>
                <w:sz w:val="20"/>
                <w:szCs w:val="20"/>
                <w:lang w:eastAsia="en-GB"/>
              </w:rPr>
            </w:pPr>
            <w:r w:rsidRPr="00FF3F04">
              <w:rPr>
                <w:rFonts w:eastAsia="Times New Roman" w:cs="Calibri"/>
                <w:sz w:val="20"/>
                <w:szCs w:val="20"/>
                <w:lang w:eastAsia="en-GB"/>
              </w:rPr>
              <w:t>(5,217)</w:t>
            </w:r>
          </w:p>
        </w:tc>
        <w:tc>
          <w:tcPr>
            <w:tcW w:w="1016" w:type="dxa"/>
            <w:tcBorders>
              <w:top w:val="nil"/>
              <w:left w:val="nil"/>
              <w:bottom w:val="single" w:sz="4" w:space="0" w:color="auto"/>
              <w:right w:val="single" w:sz="4" w:space="0" w:color="auto"/>
            </w:tcBorders>
            <w:shd w:val="clear" w:color="000000" w:fill="FFFFFF"/>
            <w:noWrap/>
            <w:vAlign w:val="center"/>
            <w:hideMark/>
          </w:tcPr>
          <w:p w14:paraId="69801E6C" w14:textId="77777777" w:rsidR="00FF3F04" w:rsidRPr="00FF3F04" w:rsidRDefault="00FF3F04" w:rsidP="00FF3F04">
            <w:pPr>
              <w:spacing w:line="240" w:lineRule="auto"/>
              <w:jc w:val="right"/>
              <w:rPr>
                <w:rFonts w:eastAsia="Times New Roman" w:cs="Calibri"/>
                <w:sz w:val="20"/>
                <w:szCs w:val="20"/>
                <w:lang w:eastAsia="en-GB"/>
              </w:rPr>
            </w:pPr>
            <w:r w:rsidRPr="00FF3F04">
              <w:rPr>
                <w:rFonts w:eastAsia="Times New Roman" w:cs="Calibri"/>
                <w:sz w:val="20"/>
                <w:szCs w:val="20"/>
                <w:lang w:eastAsia="en-GB"/>
              </w:rPr>
              <w:t>(6,232)</w:t>
            </w:r>
          </w:p>
        </w:tc>
        <w:tc>
          <w:tcPr>
            <w:tcW w:w="1016" w:type="dxa"/>
            <w:tcBorders>
              <w:top w:val="nil"/>
              <w:left w:val="nil"/>
              <w:bottom w:val="single" w:sz="4" w:space="0" w:color="auto"/>
              <w:right w:val="single" w:sz="4" w:space="0" w:color="auto"/>
            </w:tcBorders>
            <w:shd w:val="clear" w:color="000000" w:fill="FFFFFF"/>
            <w:noWrap/>
            <w:vAlign w:val="center"/>
            <w:hideMark/>
          </w:tcPr>
          <w:p w14:paraId="731C0519" w14:textId="77777777" w:rsidR="00FF3F04" w:rsidRPr="00FF3F04" w:rsidRDefault="00FF3F04" w:rsidP="00FF3F04">
            <w:pPr>
              <w:spacing w:line="240" w:lineRule="auto"/>
              <w:jc w:val="right"/>
              <w:rPr>
                <w:rFonts w:eastAsia="Times New Roman" w:cs="Calibri"/>
                <w:sz w:val="20"/>
                <w:szCs w:val="20"/>
                <w:lang w:eastAsia="en-GB"/>
              </w:rPr>
            </w:pPr>
            <w:r w:rsidRPr="00FF3F04">
              <w:rPr>
                <w:rFonts w:eastAsia="Times New Roman" w:cs="Calibri"/>
                <w:sz w:val="20"/>
                <w:szCs w:val="20"/>
                <w:lang w:eastAsia="en-GB"/>
              </w:rPr>
              <w:t>(7,270)</w:t>
            </w:r>
          </w:p>
        </w:tc>
      </w:tr>
      <w:tr w:rsidR="00FF3F04" w:rsidRPr="00FF3F04" w14:paraId="76332CB9" w14:textId="77777777" w:rsidTr="00FF3F04">
        <w:trPr>
          <w:trHeight w:val="300"/>
        </w:trPr>
        <w:tc>
          <w:tcPr>
            <w:tcW w:w="1076" w:type="dxa"/>
            <w:tcBorders>
              <w:top w:val="single" w:sz="4" w:space="0" w:color="auto"/>
              <w:left w:val="nil"/>
              <w:bottom w:val="nil"/>
              <w:right w:val="nil"/>
            </w:tcBorders>
            <w:shd w:val="clear" w:color="000000" w:fill="FFFFFF"/>
            <w:noWrap/>
            <w:vAlign w:val="center"/>
            <w:hideMark/>
          </w:tcPr>
          <w:p w14:paraId="394EE5A6"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3868" w:type="dxa"/>
            <w:tcBorders>
              <w:top w:val="nil"/>
              <w:left w:val="nil"/>
              <w:bottom w:val="nil"/>
              <w:right w:val="nil"/>
            </w:tcBorders>
            <w:shd w:val="clear" w:color="000000" w:fill="FFFFFF"/>
            <w:noWrap/>
            <w:vAlign w:val="center"/>
            <w:hideMark/>
          </w:tcPr>
          <w:p w14:paraId="22CCDA96"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single" w:sz="4" w:space="0" w:color="auto"/>
              <w:left w:val="nil"/>
              <w:bottom w:val="nil"/>
              <w:right w:val="nil"/>
            </w:tcBorders>
            <w:shd w:val="clear" w:color="000000" w:fill="FFFFFF"/>
            <w:noWrap/>
            <w:vAlign w:val="center"/>
            <w:hideMark/>
          </w:tcPr>
          <w:p w14:paraId="27EA78B2"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single" w:sz="4" w:space="0" w:color="auto"/>
              <w:left w:val="nil"/>
              <w:bottom w:val="nil"/>
              <w:right w:val="nil"/>
            </w:tcBorders>
            <w:shd w:val="clear" w:color="000000" w:fill="FFFFFF"/>
            <w:noWrap/>
            <w:vAlign w:val="center"/>
            <w:hideMark/>
          </w:tcPr>
          <w:p w14:paraId="69251416"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single" w:sz="4" w:space="0" w:color="auto"/>
              <w:left w:val="nil"/>
              <w:bottom w:val="nil"/>
              <w:right w:val="nil"/>
            </w:tcBorders>
            <w:shd w:val="clear" w:color="000000" w:fill="FFFFFF"/>
            <w:noWrap/>
            <w:vAlign w:val="center"/>
            <w:hideMark/>
          </w:tcPr>
          <w:p w14:paraId="4E807E83"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single" w:sz="4" w:space="0" w:color="auto"/>
              <w:left w:val="nil"/>
              <w:bottom w:val="nil"/>
              <w:right w:val="nil"/>
            </w:tcBorders>
            <w:shd w:val="clear" w:color="000000" w:fill="FFFFFF"/>
            <w:noWrap/>
            <w:vAlign w:val="center"/>
            <w:hideMark/>
          </w:tcPr>
          <w:p w14:paraId="32823E5C"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single" w:sz="4" w:space="0" w:color="auto"/>
              <w:left w:val="nil"/>
              <w:bottom w:val="nil"/>
              <w:right w:val="nil"/>
            </w:tcBorders>
            <w:shd w:val="clear" w:color="000000" w:fill="FFFFFF"/>
            <w:noWrap/>
            <w:vAlign w:val="center"/>
            <w:hideMark/>
          </w:tcPr>
          <w:p w14:paraId="499F0FEF"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r>
      <w:tr w:rsidR="00FF3F04" w:rsidRPr="00FF3F04" w14:paraId="675709DB" w14:textId="77777777" w:rsidTr="00FF3F04">
        <w:trPr>
          <w:trHeight w:val="315"/>
        </w:trPr>
        <w:tc>
          <w:tcPr>
            <w:tcW w:w="1076"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14:paraId="24479A70"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182,968</w:t>
            </w:r>
          </w:p>
        </w:tc>
        <w:tc>
          <w:tcPr>
            <w:tcW w:w="3868" w:type="dxa"/>
            <w:tcBorders>
              <w:top w:val="single" w:sz="4" w:space="0" w:color="auto"/>
              <w:left w:val="nil"/>
              <w:bottom w:val="single" w:sz="8" w:space="0" w:color="auto"/>
              <w:right w:val="single" w:sz="4" w:space="0" w:color="auto"/>
            </w:tcBorders>
            <w:shd w:val="clear" w:color="000000" w:fill="FFFFFF"/>
            <w:noWrap/>
            <w:vAlign w:val="center"/>
            <w:hideMark/>
          </w:tcPr>
          <w:p w14:paraId="69FC7D72" w14:textId="77777777" w:rsidR="00FF3F04" w:rsidRPr="00FF3F04" w:rsidRDefault="00FF3F04" w:rsidP="00FF3F04">
            <w:pPr>
              <w:spacing w:line="240" w:lineRule="auto"/>
              <w:rPr>
                <w:rFonts w:eastAsia="Times New Roman" w:cs="Calibri"/>
                <w:b/>
                <w:bCs/>
                <w:color w:val="000000"/>
                <w:sz w:val="20"/>
                <w:szCs w:val="20"/>
                <w:lang w:eastAsia="en-GB"/>
              </w:rPr>
            </w:pPr>
            <w:r w:rsidRPr="00FF3F04">
              <w:rPr>
                <w:rFonts w:eastAsia="Times New Roman" w:cs="Calibri"/>
                <w:b/>
                <w:bCs/>
                <w:color w:val="000000"/>
                <w:sz w:val="20"/>
                <w:szCs w:val="20"/>
                <w:lang w:eastAsia="en-GB"/>
              </w:rPr>
              <w:t>TOTAL GROUP</w:t>
            </w:r>
          </w:p>
        </w:tc>
        <w:tc>
          <w:tcPr>
            <w:tcW w:w="1016" w:type="dxa"/>
            <w:tcBorders>
              <w:top w:val="single" w:sz="4" w:space="0" w:color="auto"/>
              <w:left w:val="nil"/>
              <w:bottom w:val="single" w:sz="8" w:space="0" w:color="auto"/>
              <w:right w:val="single" w:sz="4" w:space="0" w:color="auto"/>
            </w:tcBorders>
            <w:shd w:val="clear" w:color="000000" w:fill="FFFFFF"/>
            <w:noWrap/>
            <w:vAlign w:val="center"/>
            <w:hideMark/>
          </w:tcPr>
          <w:p w14:paraId="1665788D"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194,193</w:t>
            </w:r>
          </w:p>
        </w:tc>
        <w:tc>
          <w:tcPr>
            <w:tcW w:w="1016" w:type="dxa"/>
            <w:tcBorders>
              <w:top w:val="single" w:sz="4" w:space="0" w:color="auto"/>
              <w:left w:val="nil"/>
              <w:bottom w:val="single" w:sz="8" w:space="0" w:color="auto"/>
              <w:right w:val="single" w:sz="4" w:space="0" w:color="auto"/>
            </w:tcBorders>
            <w:shd w:val="clear" w:color="000000" w:fill="FFFFFF"/>
            <w:noWrap/>
            <w:vAlign w:val="center"/>
            <w:hideMark/>
          </w:tcPr>
          <w:p w14:paraId="4DCE6F8C"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201,232</w:t>
            </w:r>
          </w:p>
        </w:tc>
        <w:tc>
          <w:tcPr>
            <w:tcW w:w="1016" w:type="dxa"/>
            <w:tcBorders>
              <w:top w:val="single" w:sz="4" w:space="0" w:color="auto"/>
              <w:left w:val="nil"/>
              <w:bottom w:val="single" w:sz="8" w:space="0" w:color="auto"/>
              <w:right w:val="single" w:sz="4" w:space="0" w:color="auto"/>
            </w:tcBorders>
            <w:shd w:val="clear" w:color="000000" w:fill="FFFFFF"/>
            <w:noWrap/>
            <w:vAlign w:val="center"/>
            <w:hideMark/>
          </w:tcPr>
          <w:p w14:paraId="039A1BCA"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207,596</w:t>
            </w:r>
          </w:p>
        </w:tc>
        <w:tc>
          <w:tcPr>
            <w:tcW w:w="1016" w:type="dxa"/>
            <w:tcBorders>
              <w:top w:val="single" w:sz="4" w:space="0" w:color="auto"/>
              <w:left w:val="nil"/>
              <w:bottom w:val="single" w:sz="8" w:space="0" w:color="auto"/>
              <w:right w:val="single" w:sz="4" w:space="0" w:color="auto"/>
            </w:tcBorders>
            <w:shd w:val="clear" w:color="000000" w:fill="FFFFFF"/>
            <w:noWrap/>
            <w:vAlign w:val="center"/>
            <w:hideMark/>
          </w:tcPr>
          <w:p w14:paraId="4A28C443"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211,029</w:t>
            </w:r>
          </w:p>
        </w:tc>
        <w:tc>
          <w:tcPr>
            <w:tcW w:w="1016" w:type="dxa"/>
            <w:tcBorders>
              <w:top w:val="single" w:sz="4" w:space="0" w:color="auto"/>
              <w:left w:val="nil"/>
              <w:bottom w:val="single" w:sz="8" w:space="0" w:color="auto"/>
              <w:right w:val="single" w:sz="4" w:space="0" w:color="auto"/>
            </w:tcBorders>
            <w:shd w:val="clear" w:color="000000" w:fill="FFFFFF"/>
            <w:noWrap/>
            <w:vAlign w:val="center"/>
            <w:hideMark/>
          </w:tcPr>
          <w:p w14:paraId="18FE1ACE"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215,544</w:t>
            </w:r>
          </w:p>
        </w:tc>
      </w:tr>
      <w:tr w:rsidR="00FF3F04" w:rsidRPr="00FF3F04" w14:paraId="121267C7" w14:textId="77777777" w:rsidTr="00FF3F04">
        <w:trPr>
          <w:trHeight w:val="150"/>
        </w:trPr>
        <w:tc>
          <w:tcPr>
            <w:tcW w:w="1076" w:type="dxa"/>
            <w:tcBorders>
              <w:top w:val="nil"/>
              <w:left w:val="nil"/>
              <w:bottom w:val="nil"/>
              <w:right w:val="nil"/>
            </w:tcBorders>
            <w:shd w:val="clear" w:color="000000" w:fill="FFFFFF"/>
            <w:noWrap/>
            <w:vAlign w:val="center"/>
            <w:hideMark/>
          </w:tcPr>
          <w:p w14:paraId="1121F92B" w14:textId="77777777" w:rsidR="00FF3F04" w:rsidRPr="00FF3F04" w:rsidRDefault="00FF3F04" w:rsidP="00FF3F04">
            <w:pPr>
              <w:spacing w:line="240" w:lineRule="auto"/>
              <w:rPr>
                <w:rFonts w:eastAsia="Times New Roman" w:cs="Calibri"/>
                <w:b/>
                <w:bCs/>
                <w:color w:val="FF0000"/>
                <w:sz w:val="20"/>
                <w:szCs w:val="20"/>
                <w:lang w:eastAsia="en-GB"/>
              </w:rPr>
            </w:pPr>
            <w:r w:rsidRPr="00FF3F04">
              <w:rPr>
                <w:rFonts w:eastAsia="Times New Roman" w:cs="Calibri"/>
                <w:b/>
                <w:bCs/>
                <w:color w:val="FF0000"/>
                <w:sz w:val="20"/>
                <w:szCs w:val="20"/>
                <w:lang w:eastAsia="en-GB"/>
              </w:rPr>
              <w:t> </w:t>
            </w:r>
          </w:p>
        </w:tc>
        <w:tc>
          <w:tcPr>
            <w:tcW w:w="3868" w:type="dxa"/>
            <w:tcBorders>
              <w:top w:val="nil"/>
              <w:left w:val="nil"/>
              <w:bottom w:val="nil"/>
              <w:right w:val="nil"/>
            </w:tcBorders>
            <w:shd w:val="clear" w:color="000000" w:fill="FFFFFF"/>
            <w:noWrap/>
            <w:vAlign w:val="center"/>
            <w:hideMark/>
          </w:tcPr>
          <w:p w14:paraId="6B7825B9" w14:textId="77777777" w:rsidR="00FF3F04" w:rsidRDefault="00FF3F04" w:rsidP="00FF3F04">
            <w:pPr>
              <w:spacing w:line="240" w:lineRule="auto"/>
              <w:rPr>
                <w:rFonts w:eastAsia="Times New Roman" w:cs="Calibri"/>
                <w:b/>
                <w:bCs/>
                <w:color w:val="FF0000"/>
                <w:sz w:val="20"/>
                <w:szCs w:val="20"/>
                <w:lang w:eastAsia="en-GB"/>
              </w:rPr>
            </w:pPr>
            <w:r w:rsidRPr="00FF3F04">
              <w:rPr>
                <w:rFonts w:eastAsia="Times New Roman" w:cs="Calibri"/>
                <w:b/>
                <w:bCs/>
                <w:color w:val="FF0000"/>
                <w:sz w:val="20"/>
                <w:szCs w:val="20"/>
                <w:lang w:eastAsia="en-GB"/>
              </w:rPr>
              <w:t> </w:t>
            </w:r>
          </w:p>
          <w:p w14:paraId="2F1308CC" w14:textId="77777777" w:rsidR="00FF3F04" w:rsidRDefault="00FF3F04" w:rsidP="00FF3F04">
            <w:pPr>
              <w:spacing w:line="240" w:lineRule="auto"/>
              <w:rPr>
                <w:rFonts w:eastAsia="Times New Roman" w:cs="Calibri"/>
                <w:b/>
                <w:bCs/>
                <w:color w:val="FF0000"/>
                <w:sz w:val="20"/>
                <w:szCs w:val="20"/>
                <w:lang w:eastAsia="en-GB"/>
              </w:rPr>
            </w:pPr>
          </w:p>
          <w:p w14:paraId="63768831" w14:textId="77777777" w:rsidR="00FF3F04" w:rsidRDefault="00FF3F04" w:rsidP="00FF3F04">
            <w:pPr>
              <w:spacing w:line="240" w:lineRule="auto"/>
              <w:rPr>
                <w:rFonts w:eastAsia="Times New Roman" w:cs="Calibri"/>
                <w:b/>
                <w:bCs/>
                <w:color w:val="FF0000"/>
                <w:sz w:val="20"/>
                <w:szCs w:val="20"/>
                <w:lang w:eastAsia="en-GB"/>
              </w:rPr>
            </w:pPr>
          </w:p>
          <w:p w14:paraId="088C7CF4" w14:textId="77777777" w:rsidR="00FF3F04" w:rsidRDefault="00FF3F04" w:rsidP="00FF3F04">
            <w:pPr>
              <w:spacing w:line="240" w:lineRule="auto"/>
              <w:rPr>
                <w:rFonts w:eastAsia="Times New Roman" w:cs="Calibri"/>
                <w:b/>
                <w:bCs/>
                <w:color w:val="FF0000"/>
                <w:sz w:val="20"/>
                <w:szCs w:val="20"/>
                <w:lang w:eastAsia="en-GB"/>
              </w:rPr>
            </w:pPr>
          </w:p>
          <w:p w14:paraId="3E4FDBEA" w14:textId="77777777" w:rsidR="00FF3F04" w:rsidRDefault="00FF3F04" w:rsidP="00FF3F04">
            <w:pPr>
              <w:spacing w:line="240" w:lineRule="auto"/>
              <w:rPr>
                <w:rFonts w:eastAsia="Times New Roman" w:cs="Calibri"/>
                <w:b/>
                <w:bCs/>
                <w:color w:val="FF0000"/>
                <w:sz w:val="20"/>
                <w:szCs w:val="20"/>
                <w:lang w:eastAsia="en-GB"/>
              </w:rPr>
            </w:pPr>
          </w:p>
          <w:p w14:paraId="5F65837C" w14:textId="77777777" w:rsidR="00FF3F04" w:rsidRDefault="00FF3F04" w:rsidP="00FF3F04">
            <w:pPr>
              <w:spacing w:line="240" w:lineRule="auto"/>
              <w:rPr>
                <w:rFonts w:eastAsia="Times New Roman" w:cs="Calibri"/>
                <w:b/>
                <w:bCs/>
                <w:color w:val="FF0000"/>
                <w:sz w:val="20"/>
                <w:szCs w:val="20"/>
                <w:lang w:eastAsia="en-GB"/>
              </w:rPr>
            </w:pPr>
          </w:p>
          <w:p w14:paraId="373B9169" w14:textId="77777777" w:rsidR="00FF3F04" w:rsidRDefault="00FF3F04" w:rsidP="00FF3F04">
            <w:pPr>
              <w:spacing w:line="240" w:lineRule="auto"/>
              <w:rPr>
                <w:rFonts w:eastAsia="Times New Roman" w:cs="Calibri"/>
                <w:b/>
                <w:bCs/>
                <w:color w:val="FF0000"/>
                <w:sz w:val="20"/>
                <w:szCs w:val="20"/>
                <w:lang w:eastAsia="en-GB"/>
              </w:rPr>
            </w:pPr>
          </w:p>
          <w:p w14:paraId="392E5319" w14:textId="77777777" w:rsidR="00FF3F04" w:rsidRDefault="00FF3F04" w:rsidP="00FF3F04">
            <w:pPr>
              <w:spacing w:line="240" w:lineRule="auto"/>
              <w:rPr>
                <w:rFonts w:eastAsia="Times New Roman" w:cs="Calibri"/>
                <w:b/>
                <w:bCs/>
                <w:color w:val="FF0000"/>
                <w:sz w:val="20"/>
                <w:szCs w:val="20"/>
                <w:lang w:eastAsia="en-GB"/>
              </w:rPr>
            </w:pPr>
          </w:p>
          <w:p w14:paraId="6DA41B71" w14:textId="77777777" w:rsidR="00FF3F04" w:rsidRDefault="00FF3F04" w:rsidP="00FF3F04">
            <w:pPr>
              <w:spacing w:line="240" w:lineRule="auto"/>
              <w:rPr>
                <w:rFonts w:eastAsia="Times New Roman" w:cs="Calibri"/>
                <w:b/>
                <w:bCs/>
                <w:color w:val="FF0000"/>
                <w:sz w:val="20"/>
                <w:szCs w:val="20"/>
                <w:lang w:eastAsia="en-GB"/>
              </w:rPr>
            </w:pPr>
          </w:p>
          <w:p w14:paraId="44562D8B" w14:textId="77777777" w:rsidR="00FF3F04" w:rsidRDefault="00FF3F04" w:rsidP="00FF3F04">
            <w:pPr>
              <w:spacing w:line="240" w:lineRule="auto"/>
              <w:rPr>
                <w:rFonts w:eastAsia="Times New Roman" w:cs="Calibri"/>
                <w:b/>
                <w:bCs/>
                <w:color w:val="FF0000"/>
                <w:sz w:val="20"/>
                <w:szCs w:val="20"/>
                <w:lang w:eastAsia="en-GB"/>
              </w:rPr>
            </w:pPr>
          </w:p>
          <w:p w14:paraId="6EC73EA4" w14:textId="77777777" w:rsidR="006855E9" w:rsidRDefault="006855E9" w:rsidP="00FF3F04">
            <w:pPr>
              <w:spacing w:line="240" w:lineRule="auto"/>
              <w:rPr>
                <w:rFonts w:eastAsia="Times New Roman" w:cs="Calibri"/>
                <w:b/>
                <w:bCs/>
                <w:color w:val="FF0000"/>
                <w:sz w:val="20"/>
                <w:szCs w:val="20"/>
                <w:lang w:eastAsia="en-GB"/>
              </w:rPr>
            </w:pPr>
          </w:p>
          <w:p w14:paraId="4E6B72AA" w14:textId="77777777" w:rsidR="00FF3F04" w:rsidRDefault="00FF3F04" w:rsidP="00FF3F04">
            <w:pPr>
              <w:spacing w:line="240" w:lineRule="auto"/>
              <w:rPr>
                <w:rFonts w:eastAsia="Times New Roman" w:cs="Calibri"/>
                <w:b/>
                <w:bCs/>
                <w:color w:val="FF0000"/>
                <w:sz w:val="20"/>
                <w:szCs w:val="20"/>
                <w:lang w:eastAsia="en-GB"/>
              </w:rPr>
            </w:pPr>
          </w:p>
          <w:p w14:paraId="1F2722E2" w14:textId="77777777" w:rsidR="00FF3F04" w:rsidRDefault="00FF3F04" w:rsidP="00FF3F04">
            <w:pPr>
              <w:spacing w:line="240" w:lineRule="auto"/>
              <w:rPr>
                <w:rFonts w:eastAsia="Times New Roman" w:cs="Calibri"/>
                <w:b/>
                <w:bCs/>
                <w:color w:val="FF0000"/>
                <w:sz w:val="20"/>
                <w:szCs w:val="20"/>
                <w:lang w:eastAsia="en-GB"/>
              </w:rPr>
            </w:pPr>
          </w:p>
          <w:p w14:paraId="1C140231" w14:textId="77777777" w:rsidR="00FF3F04" w:rsidRDefault="00FF3F04" w:rsidP="00FF3F04">
            <w:pPr>
              <w:spacing w:line="240" w:lineRule="auto"/>
              <w:rPr>
                <w:rFonts w:eastAsia="Times New Roman" w:cs="Calibri"/>
                <w:b/>
                <w:bCs/>
                <w:color w:val="FF0000"/>
                <w:sz w:val="20"/>
                <w:szCs w:val="20"/>
                <w:lang w:eastAsia="en-GB"/>
              </w:rPr>
            </w:pPr>
          </w:p>
          <w:p w14:paraId="3AC95F9C" w14:textId="77777777" w:rsidR="00FF3F04" w:rsidRDefault="00FF3F04" w:rsidP="00FF3F04">
            <w:pPr>
              <w:spacing w:line="240" w:lineRule="auto"/>
              <w:rPr>
                <w:rFonts w:eastAsia="Times New Roman" w:cs="Calibri"/>
                <w:b/>
                <w:bCs/>
                <w:color w:val="FF0000"/>
                <w:sz w:val="20"/>
                <w:szCs w:val="20"/>
                <w:lang w:eastAsia="en-GB"/>
              </w:rPr>
            </w:pPr>
          </w:p>
          <w:p w14:paraId="0DD628BD" w14:textId="77777777" w:rsidR="00FF3F04" w:rsidRDefault="00FF3F04" w:rsidP="00FF3F04">
            <w:pPr>
              <w:spacing w:line="240" w:lineRule="auto"/>
              <w:rPr>
                <w:rFonts w:eastAsia="Times New Roman" w:cs="Calibri"/>
                <w:b/>
                <w:bCs/>
                <w:color w:val="FF0000"/>
                <w:sz w:val="20"/>
                <w:szCs w:val="20"/>
                <w:lang w:eastAsia="en-GB"/>
              </w:rPr>
            </w:pPr>
          </w:p>
          <w:p w14:paraId="5F609B98" w14:textId="77777777" w:rsidR="00FF3F04" w:rsidRPr="00FF3F04" w:rsidRDefault="00FF3F04" w:rsidP="00FF3F04">
            <w:pPr>
              <w:spacing w:line="240" w:lineRule="auto"/>
              <w:rPr>
                <w:rFonts w:eastAsia="Times New Roman" w:cs="Calibri"/>
                <w:b/>
                <w:bCs/>
                <w:color w:val="FF0000"/>
                <w:sz w:val="20"/>
                <w:szCs w:val="20"/>
                <w:lang w:eastAsia="en-GB"/>
              </w:rPr>
            </w:pPr>
          </w:p>
        </w:tc>
        <w:tc>
          <w:tcPr>
            <w:tcW w:w="1016" w:type="dxa"/>
            <w:tcBorders>
              <w:top w:val="nil"/>
              <w:left w:val="nil"/>
              <w:bottom w:val="nil"/>
              <w:right w:val="nil"/>
            </w:tcBorders>
            <w:shd w:val="clear" w:color="000000" w:fill="FFFFFF"/>
            <w:noWrap/>
            <w:vAlign w:val="center"/>
            <w:hideMark/>
          </w:tcPr>
          <w:p w14:paraId="183E002C" w14:textId="77777777" w:rsidR="00FF3F04" w:rsidRPr="00FF3F04" w:rsidRDefault="00FF3F04" w:rsidP="00FF3F04">
            <w:pPr>
              <w:spacing w:line="240" w:lineRule="auto"/>
              <w:rPr>
                <w:rFonts w:eastAsia="Times New Roman" w:cs="Calibri"/>
                <w:b/>
                <w:bCs/>
                <w:color w:val="FF0000"/>
                <w:sz w:val="20"/>
                <w:szCs w:val="20"/>
                <w:lang w:eastAsia="en-GB"/>
              </w:rPr>
            </w:pPr>
            <w:r w:rsidRPr="00FF3F04">
              <w:rPr>
                <w:rFonts w:eastAsia="Times New Roman" w:cs="Calibri"/>
                <w:b/>
                <w:bCs/>
                <w:color w:val="FF0000"/>
                <w:sz w:val="20"/>
                <w:szCs w:val="20"/>
                <w:lang w:eastAsia="en-GB"/>
              </w:rPr>
              <w:t> </w:t>
            </w:r>
          </w:p>
        </w:tc>
        <w:tc>
          <w:tcPr>
            <w:tcW w:w="1016" w:type="dxa"/>
            <w:tcBorders>
              <w:top w:val="nil"/>
              <w:left w:val="nil"/>
              <w:bottom w:val="nil"/>
              <w:right w:val="nil"/>
            </w:tcBorders>
            <w:shd w:val="clear" w:color="000000" w:fill="FFFFFF"/>
            <w:noWrap/>
            <w:vAlign w:val="center"/>
            <w:hideMark/>
          </w:tcPr>
          <w:p w14:paraId="1D994552" w14:textId="77777777" w:rsidR="00FF3F04" w:rsidRPr="00FF3F04" w:rsidRDefault="00FF3F04" w:rsidP="00FF3F04">
            <w:pPr>
              <w:spacing w:line="240" w:lineRule="auto"/>
              <w:rPr>
                <w:rFonts w:eastAsia="Times New Roman" w:cs="Calibri"/>
                <w:b/>
                <w:bCs/>
                <w:color w:val="FF0000"/>
                <w:sz w:val="20"/>
                <w:szCs w:val="20"/>
                <w:lang w:eastAsia="en-GB"/>
              </w:rPr>
            </w:pPr>
            <w:r w:rsidRPr="00FF3F04">
              <w:rPr>
                <w:rFonts w:eastAsia="Times New Roman" w:cs="Calibri"/>
                <w:b/>
                <w:bCs/>
                <w:color w:val="FF0000"/>
                <w:sz w:val="20"/>
                <w:szCs w:val="20"/>
                <w:lang w:eastAsia="en-GB"/>
              </w:rPr>
              <w:t> </w:t>
            </w:r>
          </w:p>
        </w:tc>
        <w:tc>
          <w:tcPr>
            <w:tcW w:w="1016" w:type="dxa"/>
            <w:tcBorders>
              <w:top w:val="nil"/>
              <w:left w:val="nil"/>
              <w:bottom w:val="nil"/>
              <w:right w:val="nil"/>
            </w:tcBorders>
            <w:shd w:val="clear" w:color="000000" w:fill="FFFFFF"/>
            <w:noWrap/>
            <w:vAlign w:val="center"/>
            <w:hideMark/>
          </w:tcPr>
          <w:p w14:paraId="1C050A25" w14:textId="77777777" w:rsidR="00FF3F04" w:rsidRPr="00FF3F04" w:rsidRDefault="00FF3F04" w:rsidP="00FF3F04">
            <w:pPr>
              <w:spacing w:line="240" w:lineRule="auto"/>
              <w:rPr>
                <w:rFonts w:eastAsia="Times New Roman" w:cs="Calibri"/>
                <w:b/>
                <w:bCs/>
                <w:color w:val="FF0000"/>
                <w:sz w:val="20"/>
                <w:szCs w:val="20"/>
                <w:lang w:eastAsia="en-GB"/>
              </w:rPr>
            </w:pPr>
            <w:r w:rsidRPr="00FF3F04">
              <w:rPr>
                <w:rFonts w:eastAsia="Times New Roman" w:cs="Calibri"/>
                <w:b/>
                <w:bCs/>
                <w:color w:val="FF0000"/>
                <w:sz w:val="20"/>
                <w:szCs w:val="20"/>
                <w:lang w:eastAsia="en-GB"/>
              </w:rPr>
              <w:t> </w:t>
            </w:r>
          </w:p>
        </w:tc>
        <w:tc>
          <w:tcPr>
            <w:tcW w:w="1016" w:type="dxa"/>
            <w:tcBorders>
              <w:top w:val="nil"/>
              <w:left w:val="nil"/>
              <w:bottom w:val="nil"/>
              <w:right w:val="nil"/>
            </w:tcBorders>
            <w:shd w:val="clear" w:color="000000" w:fill="FFFFFF"/>
            <w:noWrap/>
            <w:vAlign w:val="center"/>
            <w:hideMark/>
          </w:tcPr>
          <w:p w14:paraId="0862FF7E" w14:textId="77777777" w:rsidR="00FF3F04" w:rsidRPr="00FF3F04" w:rsidRDefault="00FF3F04" w:rsidP="00FF3F04">
            <w:pPr>
              <w:spacing w:line="240" w:lineRule="auto"/>
              <w:rPr>
                <w:rFonts w:eastAsia="Times New Roman" w:cs="Calibri"/>
                <w:b/>
                <w:bCs/>
                <w:color w:val="FF0000"/>
                <w:sz w:val="20"/>
                <w:szCs w:val="20"/>
                <w:lang w:eastAsia="en-GB"/>
              </w:rPr>
            </w:pPr>
            <w:r w:rsidRPr="00FF3F04">
              <w:rPr>
                <w:rFonts w:eastAsia="Times New Roman" w:cs="Calibri"/>
                <w:b/>
                <w:bCs/>
                <w:color w:val="FF0000"/>
                <w:sz w:val="20"/>
                <w:szCs w:val="20"/>
                <w:lang w:eastAsia="en-GB"/>
              </w:rPr>
              <w:t> </w:t>
            </w:r>
          </w:p>
        </w:tc>
        <w:tc>
          <w:tcPr>
            <w:tcW w:w="1016" w:type="dxa"/>
            <w:tcBorders>
              <w:top w:val="nil"/>
              <w:left w:val="nil"/>
              <w:bottom w:val="nil"/>
              <w:right w:val="nil"/>
            </w:tcBorders>
            <w:shd w:val="clear" w:color="000000" w:fill="FFFFFF"/>
            <w:noWrap/>
            <w:vAlign w:val="center"/>
            <w:hideMark/>
          </w:tcPr>
          <w:p w14:paraId="58F03447" w14:textId="77777777" w:rsidR="00FF3F04" w:rsidRPr="00FF3F04" w:rsidRDefault="00FF3F04" w:rsidP="00FF3F04">
            <w:pPr>
              <w:spacing w:line="240" w:lineRule="auto"/>
              <w:rPr>
                <w:rFonts w:eastAsia="Times New Roman" w:cs="Calibri"/>
                <w:b/>
                <w:bCs/>
                <w:color w:val="FF0000"/>
                <w:sz w:val="20"/>
                <w:szCs w:val="20"/>
                <w:lang w:eastAsia="en-GB"/>
              </w:rPr>
            </w:pPr>
            <w:r w:rsidRPr="00FF3F04">
              <w:rPr>
                <w:rFonts w:eastAsia="Times New Roman" w:cs="Calibri"/>
                <w:b/>
                <w:bCs/>
                <w:color w:val="FF0000"/>
                <w:sz w:val="20"/>
                <w:szCs w:val="20"/>
                <w:lang w:eastAsia="en-GB"/>
              </w:rPr>
              <w:t> </w:t>
            </w:r>
          </w:p>
        </w:tc>
      </w:tr>
      <w:tr w:rsidR="00FF3F04" w:rsidRPr="00FF3F04" w14:paraId="38502578" w14:textId="77777777" w:rsidTr="00FF3F04">
        <w:trPr>
          <w:trHeight w:val="300"/>
        </w:trPr>
        <w:tc>
          <w:tcPr>
            <w:tcW w:w="1076" w:type="dxa"/>
            <w:tcBorders>
              <w:top w:val="nil"/>
              <w:left w:val="nil"/>
              <w:bottom w:val="nil"/>
              <w:right w:val="nil"/>
            </w:tcBorders>
            <w:shd w:val="clear" w:color="000000" w:fill="FFFFFF"/>
            <w:noWrap/>
            <w:vAlign w:val="center"/>
            <w:hideMark/>
          </w:tcPr>
          <w:p w14:paraId="67240AEB"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lastRenderedPageBreak/>
              <w:t> </w:t>
            </w:r>
          </w:p>
        </w:tc>
        <w:tc>
          <w:tcPr>
            <w:tcW w:w="3868" w:type="dxa"/>
            <w:tcBorders>
              <w:top w:val="nil"/>
              <w:left w:val="nil"/>
              <w:bottom w:val="nil"/>
              <w:right w:val="nil"/>
            </w:tcBorders>
            <w:shd w:val="clear" w:color="000000" w:fill="FFFFFF"/>
            <w:noWrap/>
            <w:vAlign w:val="center"/>
            <w:hideMark/>
          </w:tcPr>
          <w:p w14:paraId="6CC3BA1A" w14:textId="77777777" w:rsidR="00FF3F04" w:rsidRPr="00FF3F04" w:rsidRDefault="00FF3F04" w:rsidP="00FF3F04">
            <w:pPr>
              <w:spacing w:line="240" w:lineRule="auto"/>
              <w:rPr>
                <w:rFonts w:eastAsia="Times New Roman" w:cs="Calibri"/>
                <w:b/>
                <w:bCs/>
                <w:color w:val="000000"/>
                <w:sz w:val="20"/>
                <w:szCs w:val="20"/>
                <w:lang w:eastAsia="en-GB"/>
              </w:rPr>
            </w:pPr>
            <w:r w:rsidRPr="00FF3F04">
              <w:rPr>
                <w:rFonts w:eastAsia="Times New Roman" w:cs="Calibri"/>
                <w:b/>
                <w:bCs/>
                <w:color w:val="000000"/>
                <w:sz w:val="20"/>
                <w:szCs w:val="20"/>
                <w:lang w:eastAsia="en-GB"/>
              </w:rPr>
              <w:t>FUNDING</w:t>
            </w:r>
          </w:p>
        </w:tc>
        <w:tc>
          <w:tcPr>
            <w:tcW w:w="1016" w:type="dxa"/>
            <w:tcBorders>
              <w:top w:val="nil"/>
              <w:left w:val="nil"/>
              <w:bottom w:val="nil"/>
              <w:right w:val="nil"/>
            </w:tcBorders>
            <w:shd w:val="clear" w:color="000000" w:fill="FFFFFF"/>
            <w:noWrap/>
            <w:vAlign w:val="center"/>
            <w:hideMark/>
          </w:tcPr>
          <w:p w14:paraId="2BC76465"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nil"/>
              <w:left w:val="nil"/>
              <w:bottom w:val="nil"/>
              <w:right w:val="nil"/>
            </w:tcBorders>
            <w:shd w:val="clear" w:color="000000" w:fill="FFFFFF"/>
            <w:noWrap/>
            <w:vAlign w:val="center"/>
            <w:hideMark/>
          </w:tcPr>
          <w:p w14:paraId="1B632E5E"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nil"/>
              <w:left w:val="nil"/>
              <w:bottom w:val="nil"/>
              <w:right w:val="nil"/>
            </w:tcBorders>
            <w:shd w:val="clear" w:color="000000" w:fill="FFFFFF"/>
            <w:noWrap/>
            <w:vAlign w:val="center"/>
            <w:hideMark/>
          </w:tcPr>
          <w:p w14:paraId="46F67E0D"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nil"/>
              <w:left w:val="nil"/>
              <w:bottom w:val="nil"/>
              <w:right w:val="nil"/>
            </w:tcBorders>
            <w:shd w:val="clear" w:color="000000" w:fill="FFFFFF"/>
            <w:noWrap/>
            <w:vAlign w:val="center"/>
            <w:hideMark/>
          </w:tcPr>
          <w:p w14:paraId="794E9182"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nil"/>
              <w:left w:val="nil"/>
              <w:bottom w:val="nil"/>
              <w:right w:val="nil"/>
            </w:tcBorders>
            <w:shd w:val="clear" w:color="000000" w:fill="FFFFFF"/>
            <w:noWrap/>
            <w:vAlign w:val="center"/>
            <w:hideMark/>
          </w:tcPr>
          <w:p w14:paraId="563131CB"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r>
      <w:tr w:rsidR="00FF3F04" w:rsidRPr="00FF3F04" w14:paraId="4C137CB8" w14:textId="77777777" w:rsidTr="00FF3F04">
        <w:trPr>
          <w:trHeight w:val="300"/>
        </w:trPr>
        <w:tc>
          <w:tcPr>
            <w:tcW w:w="1076" w:type="dxa"/>
            <w:tcBorders>
              <w:top w:val="single" w:sz="4" w:space="0" w:color="auto"/>
              <w:left w:val="single" w:sz="4" w:space="0" w:color="auto"/>
              <w:bottom w:val="nil"/>
              <w:right w:val="single" w:sz="4" w:space="0" w:color="auto"/>
            </w:tcBorders>
            <w:shd w:val="clear" w:color="000000" w:fill="FFFFFF"/>
            <w:noWrap/>
            <w:vAlign w:val="center"/>
            <w:hideMark/>
          </w:tcPr>
          <w:p w14:paraId="75BA3592"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(86,809)</w:t>
            </w:r>
          </w:p>
        </w:tc>
        <w:tc>
          <w:tcPr>
            <w:tcW w:w="3868" w:type="dxa"/>
            <w:tcBorders>
              <w:top w:val="single" w:sz="4" w:space="0" w:color="auto"/>
              <w:left w:val="nil"/>
              <w:bottom w:val="nil"/>
              <w:right w:val="single" w:sz="4" w:space="0" w:color="auto"/>
            </w:tcBorders>
            <w:shd w:val="clear" w:color="000000" w:fill="FFFFFF"/>
            <w:noWrap/>
            <w:vAlign w:val="center"/>
            <w:hideMark/>
          </w:tcPr>
          <w:p w14:paraId="03A61F19"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Core Police Grant</w:t>
            </w:r>
          </w:p>
        </w:tc>
        <w:tc>
          <w:tcPr>
            <w:tcW w:w="1016" w:type="dxa"/>
            <w:tcBorders>
              <w:top w:val="single" w:sz="4" w:space="0" w:color="auto"/>
              <w:left w:val="nil"/>
              <w:bottom w:val="nil"/>
              <w:right w:val="single" w:sz="4" w:space="0" w:color="auto"/>
            </w:tcBorders>
            <w:shd w:val="clear" w:color="000000" w:fill="FFFFFF"/>
            <w:noWrap/>
            <w:vAlign w:val="center"/>
            <w:hideMark/>
          </w:tcPr>
          <w:p w14:paraId="1703BBB4"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(90,042)</w:t>
            </w:r>
          </w:p>
        </w:tc>
        <w:tc>
          <w:tcPr>
            <w:tcW w:w="1016" w:type="dxa"/>
            <w:tcBorders>
              <w:top w:val="single" w:sz="4" w:space="0" w:color="auto"/>
              <w:left w:val="nil"/>
              <w:bottom w:val="nil"/>
              <w:right w:val="single" w:sz="4" w:space="0" w:color="auto"/>
            </w:tcBorders>
            <w:shd w:val="clear" w:color="000000" w:fill="FFFFFF"/>
            <w:noWrap/>
            <w:vAlign w:val="center"/>
            <w:hideMark/>
          </w:tcPr>
          <w:p w14:paraId="0544B605"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(90,942)</w:t>
            </w:r>
          </w:p>
        </w:tc>
        <w:tc>
          <w:tcPr>
            <w:tcW w:w="1016" w:type="dxa"/>
            <w:tcBorders>
              <w:top w:val="single" w:sz="4" w:space="0" w:color="auto"/>
              <w:left w:val="nil"/>
              <w:bottom w:val="nil"/>
              <w:right w:val="single" w:sz="4" w:space="0" w:color="auto"/>
            </w:tcBorders>
            <w:shd w:val="clear" w:color="000000" w:fill="FFFFFF"/>
            <w:noWrap/>
            <w:vAlign w:val="center"/>
            <w:hideMark/>
          </w:tcPr>
          <w:p w14:paraId="38079830"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(91,852)</w:t>
            </w:r>
          </w:p>
        </w:tc>
        <w:tc>
          <w:tcPr>
            <w:tcW w:w="1016" w:type="dxa"/>
            <w:tcBorders>
              <w:top w:val="single" w:sz="4" w:space="0" w:color="auto"/>
              <w:left w:val="nil"/>
              <w:bottom w:val="nil"/>
              <w:right w:val="single" w:sz="4" w:space="0" w:color="auto"/>
            </w:tcBorders>
            <w:shd w:val="clear" w:color="000000" w:fill="FFFFFF"/>
            <w:noWrap/>
            <w:vAlign w:val="center"/>
            <w:hideMark/>
          </w:tcPr>
          <w:p w14:paraId="16663006"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(92,770)</w:t>
            </w:r>
          </w:p>
        </w:tc>
        <w:tc>
          <w:tcPr>
            <w:tcW w:w="1016" w:type="dxa"/>
            <w:tcBorders>
              <w:top w:val="single" w:sz="4" w:space="0" w:color="auto"/>
              <w:left w:val="nil"/>
              <w:bottom w:val="nil"/>
              <w:right w:val="single" w:sz="4" w:space="0" w:color="auto"/>
            </w:tcBorders>
            <w:shd w:val="clear" w:color="000000" w:fill="FFFFFF"/>
            <w:noWrap/>
            <w:vAlign w:val="center"/>
            <w:hideMark/>
          </w:tcPr>
          <w:p w14:paraId="694D0DB3"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(93,698)</w:t>
            </w:r>
          </w:p>
        </w:tc>
      </w:tr>
      <w:tr w:rsidR="00FF3F04" w:rsidRPr="00FF3F04" w14:paraId="770CED60" w14:textId="77777777" w:rsidTr="00FF3F04">
        <w:trPr>
          <w:trHeight w:val="300"/>
        </w:trPr>
        <w:tc>
          <w:tcPr>
            <w:tcW w:w="1076" w:type="dxa"/>
            <w:tcBorders>
              <w:top w:val="nil"/>
              <w:left w:val="single" w:sz="4" w:space="0" w:color="auto"/>
              <w:bottom w:val="nil"/>
              <w:right w:val="single" w:sz="4" w:space="0" w:color="auto"/>
            </w:tcBorders>
            <w:shd w:val="clear" w:color="000000" w:fill="FFFFFF"/>
            <w:noWrap/>
            <w:vAlign w:val="center"/>
            <w:hideMark/>
          </w:tcPr>
          <w:p w14:paraId="22A47FE1"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(6,644)</w:t>
            </w:r>
          </w:p>
        </w:tc>
        <w:tc>
          <w:tcPr>
            <w:tcW w:w="3868" w:type="dxa"/>
            <w:tcBorders>
              <w:top w:val="nil"/>
              <w:left w:val="nil"/>
              <w:bottom w:val="nil"/>
              <w:right w:val="single" w:sz="4" w:space="0" w:color="auto"/>
            </w:tcBorders>
            <w:shd w:val="clear" w:color="000000" w:fill="FFFFFF"/>
            <w:noWrap/>
            <w:vAlign w:val="center"/>
            <w:hideMark/>
          </w:tcPr>
          <w:p w14:paraId="1BCA96D5"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Legacy Grants</w:t>
            </w:r>
          </w:p>
        </w:tc>
        <w:tc>
          <w:tcPr>
            <w:tcW w:w="1016" w:type="dxa"/>
            <w:tcBorders>
              <w:top w:val="nil"/>
              <w:left w:val="nil"/>
              <w:bottom w:val="nil"/>
              <w:right w:val="single" w:sz="4" w:space="0" w:color="auto"/>
            </w:tcBorders>
            <w:shd w:val="clear" w:color="000000" w:fill="FFFFFF"/>
            <w:noWrap/>
            <w:vAlign w:val="center"/>
            <w:hideMark/>
          </w:tcPr>
          <w:p w14:paraId="460936C8"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(6,644)</w:t>
            </w:r>
          </w:p>
        </w:tc>
        <w:tc>
          <w:tcPr>
            <w:tcW w:w="1016" w:type="dxa"/>
            <w:tcBorders>
              <w:top w:val="nil"/>
              <w:left w:val="nil"/>
              <w:bottom w:val="nil"/>
              <w:right w:val="single" w:sz="4" w:space="0" w:color="auto"/>
            </w:tcBorders>
            <w:shd w:val="clear" w:color="000000" w:fill="FFFFFF"/>
            <w:noWrap/>
            <w:vAlign w:val="center"/>
            <w:hideMark/>
          </w:tcPr>
          <w:p w14:paraId="6A87627B"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(6,644)</w:t>
            </w:r>
          </w:p>
        </w:tc>
        <w:tc>
          <w:tcPr>
            <w:tcW w:w="1016" w:type="dxa"/>
            <w:tcBorders>
              <w:top w:val="nil"/>
              <w:left w:val="nil"/>
              <w:bottom w:val="nil"/>
              <w:right w:val="single" w:sz="4" w:space="0" w:color="auto"/>
            </w:tcBorders>
            <w:shd w:val="clear" w:color="000000" w:fill="FFFFFF"/>
            <w:noWrap/>
            <w:vAlign w:val="center"/>
            <w:hideMark/>
          </w:tcPr>
          <w:p w14:paraId="66DA01FE"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(6,644)</w:t>
            </w:r>
          </w:p>
        </w:tc>
        <w:tc>
          <w:tcPr>
            <w:tcW w:w="1016" w:type="dxa"/>
            <w:tcBorders>
              <w:top w:val="nil"/>
              <w:left w:val="nil"/>
              <w:bottom w:val="nil"/>
              <w:right w:val="single" w:sz="4" w:space="0" w:color="auto"/>
            </w:tcBorders>
            <w:shd w:val="clear" w:color="000000" w:fill="FFFFFF"/>
            <w:noWrap/>
            <w:vAlign w:val="center"/>
            <w:hideMark/>
          </w:tcPr>
          <w:p w14:paraId="548B4A09"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(6,644)</w:t>
            </w:r>
          </w:p>
        </w:tc>
        <w:tc>
          <w:tcPr>
            <w:tcW w:w="1016" w:type="dxa"/>
            <w:tcBorders>
              <w:top w:val="nil"/>
              <w:left w:val="nil"/>
              <w:bottom w:val="nil"/>
              <w:right w:val="single" w:sz="4" w:space="0" w:color="auto"/>
            </w:tcBorders>
            <w:shd w:val="clear" w:color="000000" w:fill="FFFFFF"/>
            <w:noWrap/>
            <w:vAlign w:val="center"/>
            <w:hideMark/>
          </w:tcPr>
          <w:p w14:paraId="7EA41029"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(6,644)</w:t>
            </w:r>
          </w:p>
        </w:tc>
      </w:tr>
      <w:tr w:rsidR="00FF3F04" w:rsidRPr="00FF3F04" w14:paraId="26634C20" w14:textId="77777777" w:rsidTr="00FF3F04">
        <w:trPr>
          <w:trHeight w:val="300"/>
        </w:trPr>
        <w:tc>
          <w:tcPr>
            <w:tcW w:w="1076" w:type="dxa"/>
            <w:tcBorders>
              <w:top w:val="nil"/>
              <w:left w:val="single" w:sz="4" w:space="0" w:color="auto"/>
              <w:bottom w:val="nil"/>
              <w:right w:val="single" w:sz="4" w:space="0" w:color="auto"/>
            </w:tcBorders>
            <w:shd w:val="clear" w:color="000000" w:fill="FFFFFF"/>
            <w:noWrap/>
            <w:vAlign w:val="center"/>
            <w:hideMark/>
          </w:tcPr>
          <w:p w14:paraId="45FB7F13"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(4,079)</w:t>
            </w:r>
          </w:p>
        </w:tc>
        <w:tc>
          <w:tcPr>
            <w:tcW w:w="3868" w:type="dxa"/>
            <w:tcBorders>
              <w:top w:val="nil"/>
              <w:left w:val="nil"/>
              <w:bottom w:val="nil"/>
              <w:right w:val="single" w:sz="4" w:space="0" w:color="auto"/>
            </w:tcBorders>
            <w:shd w:val="clear" w:color="000000" w:fill="FFFFFF"/>
            <w:noWrap/>
            <w:vAlign w:val="center"/>
            <w:hideMark/>
          </w:tcPr>
          <w:p w14:paraId="5C46D7D7"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Pension Grant</w:t>
            </w:r>
          </w:p>
        </w:tc>
        <w:tc>
          <w:tcPr>
            <w:tcW w:w="1016" w:type="dxa"/>
            <w:tcBorders>
              <w:top w:val="nil"/>
              <w:left w:val="nil"/>
              <w:bottom w:val="nil"/>
              <w:right w:val="single" w:sz="4" w:space="0" w:color="auto"/>
            </w:tcBorders>
            <w:shd w:val="clear" w:color="000000" w:fill="FFFFFF"/>
            <w:noWrap/>
            <w:vAlign w:val="center"/>
            <w:hideMark/>
          </w:tcPr>
          <w:p w14:paraId="24D32813"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(3,824)</w:t>
            </w:r>
          </w:p>
        </w:tc>
        <w:tc>
          <w:tcPr>
            <w:tcW w:w="1016" w:type="dxa"/>
            <w:tcBorders>
              <w:top w:val="nil"/>
              <w:left w:val="nil"/>
              <w:bottom w:val="nil"/>
              <w:right w:val="single" w:sz="4" w:space="0" w:color="auto"/>
            </w:tcBorders>
            <w:shd w:val="clear" w:color="000000" w:fill="FFFFFF"/>
            <w:noWrap/>
            <w:vAlign w:val="center"/>
            <w:hideMark/>
          </w:tcPr>
          <w:p w14:paraId="53B539FE"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(3,862)</w:t>
            </w:r>
          </w:p>
        </w:tc>
        <w:tc>
          <w:tcPr>
            <w:tcW w:w="1016" w:type="dxa"/>
            <w:tcBorders>
              <w:top w:val="nil"/>
              <w:left w:val="nil"/>
              <w:bottom w:val="nil"/>
              <w:right w:val="single" w:sz="4" w:space="0" w:color="auto"/>
            </w:tcBorders>
            <w:shd w:val="clear" w:color="000000" w:fill="FFFFFF"/>
            <w:noWrap/>
            <w:vAlign w:val="center"/>
            <w:hideMark/>
          </w:tcPr>
          <w:p w14:paraId="6A7E9DFC"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(3,901)</w:t>
            </w:r>
          </w:p>
        </w:tc>
        <w:tc>
          <w:tcPr>
            <w:tcW w:w="1016" w:type="dxa"/>
            <w:tcBorders>
              <w:top w:val="nil"/>
              <w:left w:val="nil"/>
              <w:bottom w:val="nil"/>
              <w:right w:val="single" w:sz="4" w:space="0" w:color="auto"/>
            </w:tcBorders>
            <w:shd w:val="clear" w:color="000000" w:fill="FFFFFF"/>
            <w:noWrap/>
            <w:vAlign w:val="center"/>
            <w:hideMark/>
          </w:tcPr>
          <w:p w14:paraId="167FCF26"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(3,940)</w:t>
            </w:r>
          </w:p>
        </w:tc>
        <w:tc>
          <w:tcPr>
            <w:tcW w:w="1016" w:type="dxa"/>
            <w:tcBorders>
              <w:top w:val="nil"/>
              <w:left w:val="nil"/>
              <w:bottom w:val="nil"/>
              <w:right w:val="single" w:sz="4" w:space="0" w:color="auto"/>
            </w:tcBorders>
            <w:shd w:val="clear" w:color="000000" w:fill="FFFFFF"/>
            <w:noWrap/>
            <w:vAlign w:val="center"/>
            <w:hideMark/>
          </w:tcPr>
          <w:p w14:paraId="403AAF49"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(3,979)</w:t>
            </w:r>
          </w:p>
        </w:tc>
      </w:tr>
      <w:tr w:rsidR="00FF3F04" w:rsidRPr="00FF3F04" w14:paraId="4B8B0C1B" w14:textId="77777777" w:rsidTr="00FF3F04">
        <w:trPr>
          <w:trHeight w:val="300"/>
        </w:trPr>
        <w:tc>
          <w:tcPr>
            <w:tcW w:w="1076" w:type="dxa"/>
            <w:tcBorders>
              <w:top w:val="nil"/>
              <w:left w:val="single" w:sz="4" w:space="0" w:color="auto"/>
              <w:bottom w:val="nil"/>
              <w:right w:val="single" w:sz="4" w:space="0" w:color="auto"/>
            </w:tcBorders>
            <w:shd w:val="clear" w:color="000000" w:fill="FFFFFF"/>
            <w:noWrap/>
            <w:vAlign w:val="center"/>
            <w:hideMark/>
          </w:tcPr>
          <w:p w14:paraId="4A6C41D7"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(4,054)</w:t>
            </w:r>
          </w:p>
        </w:tc>
        <w:tc>
          <w:tcPr>
            <w:tcW w:w="3868" w:type="dxa"/>
            <w:tcBorders>
              <w:top w:val="nil"/>
              <w:left w:val="nil"/>
              <w:bottom w:val="nil"/>
              <w:right w:val="single" w:sz="4" w:space="0" w:color="auto"/>
            </w:tcBorders>
            <w:shd w:val="clear" w:color="000000" w:fill="FFFFFF"/>
            <w:noWrap/>
            <w:vAlign w:val="center"/>
            <w:hideMark/>
          </w:tcPr>
          <w:p w14:paraId="3626A342"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Ringfenced Officer Uplift Grant</w:t>
            </w:r>
          </w:p>
        </w:tc>
        <w:tc>
          <w:tcPr>
            <w:tcW w:w="1016" w:type="dxa"/>
            <w:tcBorders>
              <w:top w:val="nil"/>
              <w:left w:val="nil"/>
              <w:bottom w:val="nil"/>
              <w:right w:val="single" w:sz="4" w:space="0" w:color="auto"/>
            </w:tcBorders>
            <w:shd w:val="clear" w:color="000000" w:fill="FFFFFF"/>
            <w:noWrap/>
            <w:vAlign w:val="center"/>
            <w:hideMark/>
          </w:tcPr>
          <w:p w14:paraId="0351DFC4"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(3,338)</w:t>
            </w:r>
          </w:p>
        </w:tc>
        <w:tc>
          <w:tcPr>
            <w:tcW w:w="1016" w:type="dxa"/>
            <w:tcBorders>
              <w:top w:val="nil"/>
              <w:left w:val="nil"/>
              <w:bottom w:val="nil"/>
              <w:right w:val="single" w:sz="4" w:space="0" w:color="auto"/>
            </w:tcBorders>
            <w:shd w:val="clear" w:color="000000" w:fill="FFFFFF"/>
            <w:noWrap/>
            <w:vAlign w:val="center"/>
            <w:hideMark/>
          </w:tcPr>
          <w:p w14:paraId="77020BEF"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(3,338)</w:t>
            </w:r>
          </w:p>
        </w:tc>
        <w:tc>
          <w:tcPr>
            <w:tcW w:w="1016" w:type="dxa"/>
            <w:tcBorders>
              <w:top w:val="nil"/>
              <w:left w:val="nil"/>
              <w:bottom w:val="nil"/>
              <w:right w:val="single" w:sz="4" w:space="0" w:color="auto"/>
            </w:tcBorders>
            <w:shd w:val="clear" w:color="000000" w:fill="FFFFFF"/>
            <w:noWrap/>
            <w:vAlign w:val="center"/>
            <w:hideMark/>
          </w:tcPr>
          <w:p w14:paraId="2490D6B3"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(3,338)</w:t>
            </w:r>
          </w:p>
        </w:tc>
        <w:tc>
          <w:tcPr>
            <w:tcW w:w="1016" w:type="dxa"/>
            <w:tcBorders>
              <w:top w:val="nil"/>
              <w:left w:val="nil"/>
              <w:bottom w:val="nil"/>
              <w:right w:val="single" w:sz="4" w:space="0" w:color="auto"/>
            </w:tcBorders>
            <w:shd w:val="clear" w:color="000000" w:fill="FFFFFF"/>
            <w:noWrap/>
            <w:vAlign w:val="center"/>
            <w:hideMark/>
          </w:tcPr>
          <w:p w14:paraId="638959C8"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(3,338)</w:t>
            </w:r>
          </w:p>
        </w:tc>
        <w:tc>
          <w:tcPr>
            <w:tcW w:w="1016" w:type="dxa"/>
            <w:tcBorders>
              <w:top w:val="nil"/>
              <w:left w:val="nil"/>
              <w:bottom w:val="nil"/>
              <w:right w:val="single" w:sz="4" w:space="0" w:color="auto"/>
            </w:tcBorders>
            <w:shd w:val="clear" w:color="000000" w:fill="FFFFFF"/>
            <w:noWrap/>
            <w:vAlign w:val="center"/>
            <w:hideMark/>
          </w:tcPr>
          <w:p w14:paraId="274635CF"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(3,338)</w:t>
            </w:r>
          </w:p>
        </w:tc>
      </w:tr>
      <w:tr w:rsidR="00FF3F04" w:rsidRPr="00FF3F04" w14:paraId="5FD1E4B1" w14:textId="77777777" w:rsidTr="00FF3F04">
        <w:trPr>
          <w:trHeight w:val="300"/>
        </w:trPr>
        <w:tc>
          <w:tcPr>
            <w:tcW w:w="1076" w:type="dxa"/>
            <w:tcBorders>
              <w:top w:val="nil"/>
              <w:left w:val="single" w:sz="4" w:space="0" w:color="auto"/>
              <w:bottom w:val="nil"/>
              <w:right w:val="single" w:sz="4" w:space="0" w:color="auto"/>
            </w:tcBorders>
            <w:shd w:val="clear" w:color="000000" w:fill="FFFFFF"/>
            <w:noWrap/>
            <w:vAlign w:val="center"/>
            <w:hideMark/>
          </w:tcPr>
          <w:p w14:paraId="305C53B5"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(1,008)</w:t>
            </w:r>
          </w:p>
        </w:tc>
        <w:tc>
          <w:tcPr>
            <w:tcW w:w="3868" w:type="dxa"/>
            <w:tcBorders>
              <w:top w:val="nil"/>
              <w:left w:val="nil"/>
              <w:bottom w:val="nil"/>
              <w:right w:val="single" w:sz="4" w:space="0" w:color="auto"/>
            </w:tcBorders>
            <w:shd w:val="clear" w:color="000000" w:fill="FFFFFF"/>
            <w:noWrap/>
            <w:vAlign w:val="center"/>
            <w:hideMark/>
          </w:tcPr>
          <w:p w14:paraId="61040FCF"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Additional Officer Uplift Grant</w:t>
            </w:r>
          </w:p>
        </w:tc>
        <w:tc>
          <w:tcPr>
            <w:tcW w:w="1016" w:type="dxa"/>
            <w:tcBorders>
              <w:top w:val="nil"/>
              <w:left w:val="nil"/>
              <w:bottom w:val="nil"/>
              <w:right w:val="single" w:sz="4" w:space="0" w:color="auto"/>
            </w:tcBorders>
            <w:shd w:val="clear" w:color="000000" w:fill="FFFFFF"/>
            <w:noWrap/>
            <w:vAlign w:val="center"/>
            <w:hideMark/>
          </w:tcPr>
          <w:p w14:paraId="73DF55DB"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(1,633)</w:t>
            </w:r>
          </w:p>
        </w:tc>
        <w:tc>
          <w:tcPr>
            <w:tcW w:w="1016" w:type="dxa"/>
            <w:tcBorders>
              <w:top w:val="nil"/>
              <w:left w:val="nil"/>
              <w:bottom w:val="nil"/>
              <w:right w:val="single" w:sz="4" w:space="0" w:color="auto"/>
            </w:tcBorders>
            <w:shd w:val="clear" w:color="000000" w:fill="FFFFFF"/>
            <w:noWrap/>
            <w:vAlign w:val="center"/>
            <w:hideMark/>
          </w:tcPr>
          <w:p w14:paraId="59EDB4B5"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(1,633)</w:t>
            </w:r>
          </w:p>
        </w:tc>
        <w:tc>
          <w:tcPr>
            <w:tcW w:w="1016" w:type="dxa"/>
            <w:tcBorders>
              <w:top w:val="nil"/>
              <w:left w:val="nil"/>
              <w:bottom w:val="nil"/>
              <w:right w:val="single" w:sz="4" w:space="0" w:color="auto"/>
            </w:tcBorders>
            <w:shd w:val="clear" w:color="000000" w:fill="FFFFFF"/>
            <w:noWrap/>
            <w:vAlign w:val="center"/>
            <w:hideMark/>
          </w:tcPr>
          <w:p w14:paraId="0F3A713A"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(1,633)</w:t>
            </w:r>
          </w:p>
        </w:tc>
        <w:tc>
          <w:tcPr>
            <w:tcW w:w="1016" w:type="dxa"/>
            <w:tcBorders>
              <w:top w:val="nil"/>
              <w:left w:val="nil"/>
              <w:bottom w:val="nil"/>
              <w:right w:val="single" w:sz="4" w:space="0" w:color="auto"/>
            </w:tcBorders>
            <w:shd w:val="clear" w:color="000000" w:fill="FFFFFF"/>
            <w:noWrap/>
            <w:vAlign w:val="center"/>
            <w:hideMark/>
          </w:tcPr>
          <w:p w14:paraId="50168002"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(1,633)</w:t>
            </w:r>
          </w:p>
        </w:tc>
        <w:tc>
          <w:tcPr>
            <w:tcW w:w="1016" w:type="dxa"/>
            <w:tcBorders>
              <w:top w:val="nil"/>
              <w:left w:val="nil"/>
              <w:bottom w:val="nil"/>
              <w:right w:val="single" w:sz="4" w:space="0" w:color="auto"/>
            </w:tcBorders>
            <w:shd w:val="clear" w:color="000000" w:fill="FFFFFF"/>
            <w:noWrap/>
            <w:vAlign w:val="center"/>
            <w:hideMark/>
          </w:tcPr>
          <w:p w14:paraId="0A39A093"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(1,633)</w:t>
            </w:r>
          </w:p>
        </w:tc>
      </w:tr>
      <w:tr w:rsidR="00FF3F04" w:rsidRPr="00FF3F04" w14:paraId="1075DB72" w14:textId="77777777" w:rsidTr="00FF3F04">
        <w:trPr>
          <w:trHeight w:val="300"/>
        </w:trPr>
        <w:tc>
          <w:tcPr>
            <w:tcW w:w="1076" w:type="dxa"/>
            <w:tcBorders>
              <w:top w:val="nil"/>
              <w:left w:val="single" w:sz="4" w:space="0" w:color="auto"/>
              <w:bottom w:val="nil"/>
              <w:right w:val="single" w:sz="4" w:space="0" w:color="auto"/>
            </w:tcBorders>
            <w:shd w:val="clear" w:color="000000" w:fill="FFFFFF"/>
            <w:noWrap/>
            <w:vAlign w:val="center"/>
            <w:hideMark/>
          </w:tcPr>
          <w:p w14:paraId="123F4A79"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w:t>
            </w:r>
          </w:p>
        </w:tc>
        <w:tc>
          <w:tcPr>
            <w:tcW w:w="3868" w:type="dxa"/>
            <w:tcBorders>
              <w:top w:val="nil"/>
              <w:left w:val="nil"/>
              <w:bottom w:val="nil"/>
              <w:right w:val="single" w:sz="4" w:space="0" w:color="auto"/>
            </w:tcBorders>
            <w:shd w:val="clear" w:color="000000" w:fill="FFFFFF"/>
            <w:noWrap/>
            <w:vAlign w:val="center"/>
            <w:hideMark/>
          </w:tcPr>
          <w:p w14:paraId="2118B437"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National Insurance Reimbursement</w:t>
            </w:r>
          </w:p>
        </w:tc>
        <w:tc>
          <w:tcPr>
            <w:tcW w:w="1016" w:type="dxa"/>
            <w:tcBorders>
              <w:top w:val="nil"/>
              <w:left w:val="nil"/>
              <w:bottom w:val="nil"/>
              <w:right w:val="single" w:sz="4" w:space="0" w:color="auto"/>
            </w:tcBorders>
            <w:shd w:val="clear" w:color="000000" w:fill="FFFFFF"/>
            <w:noWrap/>
            <w:vAlign w:val="center"/>
            <w:hideMark/>
          </w:tcPr>
          <w:p w14:paraId="4BC6548F"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(2,500)</w:t>
            </w:r>
          </w:p>
        </w:tc>
        <w:tc>
          <w:tcPr>
            <w:tcW w:w="1016" w:type="dxa"/>
            <w:tcBorders>
              <w:top w:val="nil"/>
              <w:left w:val="nil"/>
              <w:bottom w:val="nil"/>
              <w:right w:val="single" w:sz="4" w:space="0" w:color="auto"/>
            </w:tcBorders>
            <w:shd w:val="clear" w:color="000000" w:fill="FFFFFF"/>
            <w:noWrap/>
            <w:vAlign w:val="center"/>
            <w:hideMark/>
          </w:tcPr>
          <w:p w14:paraId="12A6BCBB"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(2,525)</w:t>
            </w:r>
          </w:p>
        </w:tc>
        <w:tc>
          <w:tcPr>
            <w:tcW w:w="1016" w:type="dxa"/>
            <w:tcBorders>
              <w:top w:val="nil"/>
              <w:left w:val="nil"/>
              <w:bottom w:val="nil"/>
              <w:right w:val="single" w:sz="4" w:space="0" w:color="auto"/>
            </w:tcBorders>
            <w:shd w:val="clear" w:color="000000" w:fill="FFFFFF"/>
            <w:noWrap/>
            <w:vAlign w:val="center"/>
            <w:hideMark/>
          </w:tcPr>
          <w:p w14:paraId="21A3100D"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(2,550)</w:t>
            </w:r>
          </w:p>
        </w:tc>
        <w:tc>
          <w:tcPr>
            <w:tcW w:w="1016" w:type="dxa"/>
            <w:tcBorders>
              <w:top w:val="nil"/>
              <w:left w:val="nil"/>
              <w:bottom w:val="nil"/>
              <w:right w:val="single" w:sz="4" w:space="0" w:color="auto"/>
            </w:tcBorders>
            <w:shd w:val="clear" w:color="000000" w:fill="FFFFFF"/>
            <w:noWrap/>
            <w:vAlign w:val="center"/>
            <w:hideMark/>
          </w:tcPr>
          <w:p w14:paraId="07AB8C75"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(2,576)</w:t>
            </w:r>
          </w:p>
        </w:tc>
        <w:tc>
          <w:tcPr>
            <w:tcW w:w="1016" w:type="dxa"/>
            <w:tcBorders>
              <w:top w:val="nil"/>
              <w:left w:val="nil"/>
              <w:bottom w:val="nil"/>
              <w:right w:val="single" w:sz="4" w:space="0" w:color="auto"/>
            </w:tcBorders>
            <w:shd w:val="clear" w:color="000000" w:fill="FFFFFF"/>
            <w:noWrap/>
            <w:vAlign w:val="center"/>
            <w:hideMark/>
          </w:tcPr>
          <w:p w14:paraId="5B380DCA"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(2,602)</w:t>
            </w:r>
          </w:p>
        </w:tc>
      </w:tr>
      <w:tr w:rsidR="00FF3F04" w:rsidRPr="00FF3F04" w14:paraId="610371A7" w14:textId="77777777" w:rsidTr="00FF3F04">
        <w:trPr>
          <w:trHeight w:val="300"/>
        </w:trPr>
        <w:tc>
          <w:tcPr>
            <w:tcW w:w="1076" w:type="dxa"/>
            <w:tcBorders>
              <w:top w:val="nil"/>
              <w:left w:val="single" w:sz="4" w:space="0" w:color="auto"/>
              <w:bottom w:val="nil"/>
              <w:right w:val="single" w:sz="4" w:space="0" w:color="auto"/>
            </w:tcBorders>
            <w:shd w:val="clear" w:color="000000" w:fill="FFFFFF"/>
            <w:noWrap/>
            <w:vAlign w:val="center"/>
            <w:hideMark/>
          </w:tcPr>
          <w:p w14:paraId="14706ED2"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3868" w:type="dxa"/>
            <w:tcBorders>
              <w:top w:val="nil"/>
              <w:left w:val="nil"/>
              <w:bottom w:val="nil"/>
              <w:right w:val="single" w:sz="4" w:space="0" w:color="auto"/>
            </w:tcBorders>
            <w:shd w:val="clear" w:color="000000" w:fill="FFFFFF"/>
            <w:noWrap/>
            <w:vAlign w:val="center"/>
            <w:hideMark/>
          </w:tcPr>
          <w:p w14:paraId="38582FED"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Neighbourhood Grant (NEW)</w:t>
            </w:r>
          </w:p>
        </w:tc>
        <w:tc>
          <w:tcPr>
            <w:tcW w:w="1016" w:type="dxa"/>
            <w:tcBorders>
              <w:top w:val="nil"/>
              <w:left w:val="nil"/>
              <w:bottom w:val="nil"/>
              <w:right w:val="single" w:sz="4" w:space="0" w:color="auto"/>
            </w:tcBorders>
            <w:shd w:val="clear" w:color="000000" w:fill="FFFFFF"/>
            <w:noWrap/>
            <w:vAlign w:val="center"/>
            <w:hideMark/>
          </w:tcPr>
          <w:p w14:paraId="2A33756F"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(954)</w:t>
            </w:r>
          </w:p>
        </w:tc>
        <w:tc>
          <w:tcPr>
            <w:tcW w:w="1016" w:type="dxa"/>
            <w:tcBorders>
              <w:top w:val="nil"/>
              <w:left w:val="nil"/>
              <w:bottom w:val="nil"/>
              <w:right w:val="single" w:sz="4" w:space="0" w:color="auto"/>
            </w:tcBorders>
            <w:shd w:val="clear" w:color="000000" w:fill="FFFFFF"/>
            <w:noWrap/>
            <w:vAlign w:val="center"/>
            <w:hideMark/>
          </w:tcPr>
          <w:p w14:paraId="132CF11A"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(954)</w:t>
            </w:r>
          </w:p>
        </w:tc>
        <w:tc>
          <w:tcPr>
            <w:tcW w:w="1016" w:type="dxa"/>
            <w:tcBorders>
              <w:top w:val="nil"/>
              <w:left w:val="nil"/>
              <w:bottom w:val="nil"/>
              <w:right w:val="single" w:sz="4" w:space="0" w:color="auto"/>
            </w:tcBorders>
            <w:shd w:val="clear" w:color="000000" w:fill="FFFFFF"/>
            <w:noWrap/>
            <w:vAlign w:val="center"/>
            <w:hideMark/>
          </w:tcPr>
          <w:p w14:paraId="3E2A3AC0"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(954)</w:t>
            </w:r>
          </w:p>
        </w:tc>
        <w:tc>
          <w:tcPr>
            <w:tcW w:w="1016" w:type="dxa"/>
            <w:tcBorders>
              <w:top w:val="nil"/>
              <w:left w:val="nil"/>
              <w:bottom w:val="nil"/>
              <w:right w:val="single" w:sz="4" w:space="0" w:color="auto"/>
            </w:tcBorders>
            <w:shd w:val="clear" w:color="000000" w:fill="FFFFFF"/>
            <w:noWrap/>
            <w:vAlign w:val="center"/>
            <w:hideMark/>
          </w:tcPr>
          <w:p w14:paraId="751CBC73"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(954)</w:t>
            </w:r>
          </w:p>
        </w:tc>
        <w:tc>
          <w:tcPr>
            <w:tcW w:w="1016" w:type="dxa"/>
            <w:tcBorders>
              <w:top w:val="nil"/>
              <w:left w:val="nil"/>
              <w:bottom w:val="nil"/>
              <w:right w:val="single" w:sz="4" w:space="0" w:color="auto"/>
            </w:tcBorders>
            <w:shd w:val="clear" w:color="000000" w:fill="FFFFFF"/>
            <w:noWrap/>
            <w:vAlign w:val="center"/>
            <w:hideMark/>
          </w:tcPr>
          <w:p w14:paraId="6A768CC6"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(954)</w:t>
            </w:r>
          </w:p>
        </w:tc>
      </w:tr>
      <w:tr w:rsidR="00FF3F04" w:rsidRPr="00FF3F04" w14:paraId="546116A9" w14:textId="77777777" w:rsidTr="00FF3F04">
        <w:trPr>
          <w:trHeight w:val="300"/>
        </w:trPr>
        <w:tc>
          <w:tcPr>
            <w:tcW w:w="1076" w:type="dxa"/>
            <w:tcBorders>
              <w:top w:val="nil"/>
              <w:left w:val="single" w:sz="4" w:space="0" w:color="auto"/>
              <w:bottom w:val="nil"/>
              <w:right w:val="single" w:sz="4" w:space="0" w:color="auto"/>
            </w:tcBorders>
            <w:shd w:val="clear" w:color="000000" w:fill="FFFFFF"/>
            <w:noWrap/>
            <w:vAlign w:val="center"/>
            <w:hideMark/>
          </w:tcPr>
          <w:p w14:paraId="5C2BF8D2"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(79,115)</w:t>
            </w:r>
          </w:p>
        </w:tc>
        <w:tc>
          <w:tcPr>
            <w:tcW w:w="3868" w:type="dxa"/>
            <w:tcBorders>
              <w:top w:val="nil"/>
              <w:left w:val="nil"/>
              <w:bottom w:val="nil"/>
              <w:right w:val="single" w:sz="4" w:space="0" w:color="auto"/>
            </w:tcBorders>
            <w:shd w:val="clear" w:color="000000" w:fill="FFFFFF"/>
            <w:noWrap/>
            <w:vAlign w:val="center"/>
            <w:hideMark/>
          </w:tcPr>
          <w:p w14:paraId="1DF5725F"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Precept</w:t>
            </w:r>
          </w:p>
        </w:tc>
        <w:tc>
          <w:tcPr>
            <w:tcW w:w="1016" w:type="dxa"/>
            <w:tcBorders>
              <w:top w:val="nil"/>
              <w:left w:val="nil"/>
              <w:bottom w:val="nil"/>
              <w:right w:val="single" w:sz="4" w:space="0" w:color="auto"/>
            </w:tcBorders>
            <w:shd w:val="clear" w:color="000000" w:fill="FFFFFF"/>
            <w:noWrap/>
            <w:vAlign w:val="center"/>
            <w:hideMark/>
          </w:tcPr>
          <w:p w14:paraId="6C31776F"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(84,406)</w:t>
            </w:r>
          </w:p>
        </w:tc>
        <w:tc>
          <w:tcPr>
            <w:tcW w:w="1016" w:type="dxa"/>
            <w:tcBorders>
              <w:top w:val="nil"/>
              <w:left w:val="nil"/>
              <w:bottom w:val="nil"/>
              <w:right w:val="single" w:sz="4" w:space="0" w:color="auto"/>
            </w:tcBorders>
            <w:shd w:val="clear" w:color="000000" w:fill="FFFFFF"/>
            <w:noWrap/>
            <w:vAlign w:val="center"/>
            <w:hideMark/>
          </w:tcPr>
          <w:p w14:paraId="40BFBDC2"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(88,349)</w:t>
            </w:r>
          </w:p>
        </w:tc>
        <w:tc>
          <w:tcPr>
            <w:tcW w:w="1016" w:type="dxa"/>
            <w:tcBorders>
              <w:top w:val="nil"/>
              <w:left w:val="nil"/>
              <w:bottom w:val="nil"/>
              <w:right w:val="single" w:sz="4" w:space="0" w:color="auto"/>
            </w:tcBorders>
            <w:shd w:val="clear" w:color="000000" w:fill="FFFFFF"/>
            <w:noWrap/>
            <w:vAlign w:val="center"/>
            <w:hideMark/>
          </w:tcPr>
          <w:p w14:paraId="16DF8CA0"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(92,391)</w:t>
            </w:r>
          </w:p>
        </w:tc>
        <w:tc>
          <w:tcPr>
            <w:tcW w:w="1016" w:type="dxa"/>
            <w:tcBorders>
              <w:top w:val="nil"/>
              <w:left w:val="nil"/>
              <w:bottom w:val="nil"/>
              <w:right w:val="single" w:sz="4" w:space="0" w:color="auto"/>
            </w:tcBorders>
            <w:shd w:val="clear" w:color="000000" w:fill="FFFFFF"/>
            <w:noWrap/>
            <w:vAlign w:val="center"/>
            <w:hideMark/>
          </w:tcPr>
          <w:p w14:paraId="1922A51A"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(96,535)</w:t>
            </w:r>
          </w:p>
        </w:tc>
        <w:tc>
          <w:tcPr>
            <w:tcW w:w="1016" w:type="dxa"/>
            <w:tcBorders>
              <w:top w:val="nil"/>
              <w:left w:val="nil"/>
              <w:bottom w:val="nil"/>
              <w:right w:val="single" w:sz="4" w:space="0" w:color="auto"/>
            </w:tcBorders>
            <w:shd w:val="clear" w:color="000000" w:fill="FFFFFF"/>
            <w:noWrap/>
            <w:vAlign w:val="center"/>
            <w:hideMark/>
          </w:tcPr>
          <w:p w14:paraId="61249B27"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(100,782)</w:t>
            </w:r>
          </w:p>
        </w:tc>
      </w:tr>
      <w:tr w:rsidR="00FF3F04" w:rsidRPr="00FF3F04" w14:paraId="7718599F" w14:textId="77777777" w:rsidTr="00FF3F04">
        <w:trPr>
          <w:trHeight w:val="300"/>
        </w:trPr>
        <w:tc>
          <w:tcPr>
            <w:tcW w:w="1076" w:type="dxa"/>
            <w:tcBorders>
              <w:top w:val="nil"/>
              <w:left w:val="single" w:sz="4" w:space="0" w:color="auto"/>
              <w:bottom w:val="single" w:sz="4" w:space="0" w:color="auto"/>
              <w:right w:val="single" w:sz="4" w:space="0" w:color="auto"/>
            </w:tcBorders>
            <w:shd w:val="clear" w:color="000000" w:fill="FFFFFF"/>
            <w:noWrap/>
            <w:vAlign w:val="center"/>
            <w:hideMark/>
          </w:tcPr>
          <w:p w14:paraId="2BAF3606"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(1,259)</w:t>
            </w:r>
          </w:p>
        </w:tc>
        <w:tc>
          <w:tcPr>
            <w:tcW w:w="3868" w:type="dxa"/>
            <w:tcBorders>
              <w:top w:val="nil"/>
              <w:left w:val="nil"/>
              <w:bottom w:val="single" w:sz="4" w:space="0" w:color="auto"/>
              <w:right w:val="single" w:sz="4" w:space="0" w:color="auto"/>
            </w:tcBorders>
            <w:shd w:val="clear" w:color="000000" w:fill="FFFFFF"/>
            <w:noWrap/>
            <w:vAlign w:val="center"/>
            <w:hideMark/>
          </w:tcPr>
          <w:p w14:paraId="7BB85BD8"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Collection Fund Deficit/(Surplus)</w:t>
            </w:r>
          </w:p>
        </w:tc>
        <w:tc>
          <w:tcPr>
            <w:tcW w:w="1016" w:type="dxa"/>
            <w:tcBorders>
              <w:top w:val="nil"/>
              <w:left w:val="nil"/>
              <w:bottom w:val="single" w:sz="4" w:space="0" w:color="auto"/>
              <w:right w:val="single" w:sz="4" w:space="0" w:color="auto"/>
            </w:tcBorders>
            <w:shd w:val="clear" w:color="000000" w:fill="FFFFFF"/>
            <w:noWrap/>
            <w:vAlign w:val="center"/>
            <w:hideMark/>
          </w:tcPr>
          <w:p w14:paraId="6AA85B3D"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(851)</w:t>
            </w:r>
          </w:p>
        </w:tc>
        <w:tc>
          <w:tcPr>
            <w:tcW w:w="1016" w:type="dxa"/>
            <w:tcBorders>
              <w:top w:val="nil"/>
              <w:left w:val="nil"/>
              <w:bottom w:val="single" w:sz="4" w:space="0" w:color="auto"/>
              <w:right w:val="single" w:sz="4" w:space="0" w:color="auto"/>
            </w:tcBorders>
            <w:shd w:val="clear" w:color="000000" w:fill="FFFFFF"/>
            <w:noWrap/>
            <w:vAlign w:val="center"/>
            <w:hideMark/>
          </w:tcPr>
          <w:p w14:paraId="57C1110B"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(500)</w:t>
            </w:r>
          </w:p>
        </w:tc>
        <w:tc>
          <w:tcPr>
            <w:tcW w:w="1016" w:type="dxa"/>
            <w:tcBorders>
              <w:top w:val="nil"/>
              <w:left w:val="nil"/>
              <w:bottom w:val="single" w:sz="4" w:space="0" w:color="auto"/>
              <w:right w:val="single" w:sz="4" w:space="0" w:color="auto"/>
            </w:tcBorders>
            <w:shd w:val="clear" w:color="000000" w:fill="FFFFFF"/>
            <w:noWrap/>
            <w:vAlign w:val="center"/>
            <w:hideMark/>
          </w:tcPr>
          <w:p w14:paraId="24B7C3B1"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(500)</w:t>
            </w:r>
          </w:p>
        </w:tc>
        <w:tc>
          <w:tcPr>
            <w:tcW w:w="1016" w:type="dxa"/>
            <w:tcBorders>
              <w:top w:val="nil"/>
              <w:left w:val="nil"/>
              <w:bottom w:val="single" w:sz="4" w:space="0" w:color="auto"/>
              <w:right w:val="single" w:sz="4" w:space="0" w:color="auto"/>
            </w:tcBorders>
            <w:shd w:val="clear" w:color="000000" w:fill="FFFFFF"/>
            <w:noWrap/>
            <w:vAlign w:val="center"/>
            <w:hideMark/>
          </w:tcPr>
          <w:p w14:paraId="38DB17F8"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(500)</w:t>
            </w:r>
          </w:p>
        </w:tc>
        <w:tc>
          <w:tcPr>
            <w:tcW w:w="1016" w:type="dxa"/>
            <w:tcBorders>
              <w:top w:val="nil"/>
              <w:left w:val="nil"/>
              <w:bottom w:val="single" w:sz="4" w:space="0" w:color="auto"/>
              <w:right w:val="single" w:sz="4" w:space="0" w:color="auto"/>
            </w:tcBorders>
            <w:shd w:val="clear" w:color="000000" w:fill="FFFFFF"/>
            <w:noWrap/>
            <w:vAlign w:val="center"/>
            <w:hideMark/>
          </w:tcPr>
          <w:p w14:paraId="4833678D"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(500)</w:t>
            </w:r>
          </w:p>
        </w:tc>
      </w:tr>
      <w:tr w:rsidR="00FF3F04" w:rsidRPr="00FF3F04" w14:paraId="58D81519" w14:textId="77777777" w:rsidTr="00FF3F04">
        <w:trPr>
          <w:trHeight w:val="300"/>
        </w:trPr>
        <w:tc>
          <w:tcPr>
            <w:tcW w:w="1076" w:type="dxa"/>
            <w:tcBorders>
              <w:top w:val="nil"/>
              <w:left w:val="nil"/>
              <w:bottom w:val="nil"/>
              <w:right w:val="nil"/>
            </w:tcBorders>
            <w:shd w:val="clear" w:color="000000" w:fill="FFFFFF"/>
            <w:noWrap/>
            <w:vAlign w:val="center"/>
            <w:hideMark/>
          </w:tcPr>
          <w:p w14:paraId="7C331AF3"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3868" w:type="dxa"/>
            <w:tcBorders>
              <w:top w:val="nil"/>
              <w:left w:val="nil"/>
              <w:bottom w:val="nil"/>
              <w:right w:val="nil"/>
            </w:tcBorders>
            <w:shd w:val="clear" w:color="000000" w:fill="FFFFFF"/>
            <w:noWrap/>
            <w:vAlign w:val="center"/>
            <w:hideMark/>
          </w:tcPr>
          <w:p w14:paraId="4F9DD596"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nil"/>
              <w:left w:val="nil"/>
              <w:bottom w:val="nil"/>
              <w:right w:val="nil"/>
            </w:tcBorders>
            <w:shd w:val="clear" w:color="000000" w:fill="FFFFFF"/>
            <w:noWrap/>
            <w:vAlign w:val="center"/>
            <w:hideMark/>
          </w:tcPr>
          <w:p w14:paraId="7517B853"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nil"/>
              <w:left w:val="nil"/>
              <w:bottom w:val="nil"/>
              <w:right w:val="nil"/>
            </w:tcBorders>
            <w:shd w:val="clear" w:color="000000" w:fill="FFFFFF"/>
            <w:noWrap/>
            <w:vAlign w:val="center"/>
            <w:hideMark/>
          </w:tcPr>
          <w:p w14:paraId="2A074A61"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nil"/>
              <w:left w:val="nil"/>
              <w:bottom w:val="nil"/>
              <w:right w:val="nil"/>
            </w:tcBorders>
            <w:shd w:val="clear" w:color="000000" w:fill="FFFFFF"/>
            <w:noWrap/>
            <w:vAlign w:val="center"/>
            <w:hideMark/>
          </w:tcPr>
          <w:p w14:paraId="74BD3963"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nil"/>
              <w:left w:val="nil"/>
              <w:bottom w:val="nil"/>
              <w:right w:val="nil"/>
            </w:tcBorders>
            <w:shd w:val="clear" w:color="000000" w:fill="FFFFFF"/>
            <w:noWrap/>
            <w:vAlign w:val="center"/>
            <w:hideMark/>
          </w:tcPr>
          <w:p w14:paraId="1A4F761D"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nil"/>
              <w:left w:val="nil"/>
              <w:bottom w:val="nil"/>
              <w:right w:val="nil"/>
            </w:tcBorders>
            <w:shd w:val="clear" w:color="000000" w:fill="FFFFFF"/>
            <w:noWrap/>
            <w:vAlign w:val="center"/>
            <w:hideMark/>
          </w:tcPr>
          <w:p w14:paraId="757306C8"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r>
      <w:tr w:rsidR="00FF3F04" w:rsidRPr="00FF3F04" w14:paraId="5C727740" w14:textId="77777777" w:rsidTr="00FF3F04">
        <w:trPr>
          <w:trHeight w:val="300"/>
        </w:trPr>
        <w:tc>
          <w:tcPr>
            <w:tcW w:w="10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AE5664"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(182,968)</w:t>
            </w:r>
          </w:p>
        </w:tc>
        <w:tc>
          <w:tcPr>
            <w:tcW w:w="3868" w:type="dxa"/>
            <w:tcBorders>
              <w:top w:val="single" w:sz="4" w:space="0" w:color="auto"/>
              <w:left w:val="nil"/>
              <w:bottom w:val="single" w:sz="4" w:space="0" w:color="auto"/>
              <w:right w:val="single" w:sz="4" w:space="0" w:color="auto"/>
            </w:tcBorders>
            <w:shd w:val="clear" w:color="000000" w:fill="FFFFFF"/>
            <w:noWrap/>
            <w:vAlign w:val="center"/>
            <w:hideMark/>
          </w:tcPr>
          <w:p w14:paraId="5F353343" w14:textId="77777777" w:rsidR="00FF3F04" w:rsidRPr="00FF3F04" w:rsidRDefault="00FF3F04" w:rsidP="00FF3F04">
            <w:pPr>
              <w:spacing w:line="240" w:lineRule="auto"/>
              <w:rPr>
                <w:rFonts w:eastAsia="Times New Roman" w:cs="Calibri"/>
                <w:b/>
                <w:bCs/>
                <w:color w:val="000000"/>
                <w:sz w:val="20"/>
                <w:szCs w:val="20"/>
                <w:lang w:eastAsia="en-GB"/>
              </w:rPr>
            </w:pPr>
            <w:r w:rsidRPr="00FF3F04">
              <w:rPr>
                <w:rFonts w:eastAsia="Times New Roman" w:cs="Calibri"/>
                <w:b/>
                <w:bCs/>
                <w:color w:val="000000"/>
                <w:sz w:val="20"/>
                <w:szCs w:val="20"/>
                <w:lang w:eastAsia="en-GB"/>
              </w:rPr>
              <w:t>TOTAL FUNDING</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14:paraId="16FC71C6"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(194,193)</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14:paraId="6DA58A00"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(198,749)</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14:paraId="02AC1060"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(203,764)</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14:paraId="1DFCD56B"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(208,891)</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14:paraId="0794399A"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(214,131)</w:t>
            </w:r>
          </w:p>
        </w:tc>
      </w:tr>
      <w:tr w:rsidR="00FF3F04" w:rsidRPr="00FF3F04" w14:paraId="6F883FC2" w14:textId="77777777" w:rsidTr="00FF3F04">
        <w:trPr>
          <w:trHeight w:val="300"/>
        </w:trPr>
        <w:tc>
          <w:tcPr>
            <w:tcW w:w="1076" w:type="dxa"/>
            <w:tcBorders>
              <w:top w:val="nil"/>
              <w:left w:val="nil"/>
              <w:bottom w:val="nil"/>
              <w:right w:val="nil"/>
            </w:tcBorders>
            <w:shd w:val="clear" w:color="000000" w:fill="FFFFFF"/>
            <w:noWrap/>
            <w:vAlign w:val="center"/>
            <w:hideMark/>
          </w:tcPr>
          <w:p w14:paraId="2E55B5D5"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3868" w:type="dxa"/>
            <w:tcBorders>
              <w:top w:val="nil"/>
              <w:left w:val="nil"/>
              <w:bottom w:val="nil"/>
              <w:right w:val="nil"/>
            </w:tcBorders>
            <w:shd w:val="clear" w:color="000000" w:fill="FFFFFF"/>
            <w:noWrap/>
            <w:vAlign w:val="center"/>
            <w:hideMark/>
          </w:tcPr>
          <w:p w14:paraId="292D6F37"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nil"/>
              <w:left w:val="nil"/>
              <w:bottom w:val="nil"/>
              <w:right w:val="nil"/>
            </w:tcBorders>
            <w:shd w:val="clear" w:color="000000" w:fill="FFFFFF"/>
            <w:noWrap/>
            <w:vAlign w:val="center"/>
            <w:hideMark/>
          </w:tcPr>
          <w:p w14:paraId="4F106BB8"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nil"/>
              <w:left w:val="nil"/>
              <w:bottom w:val="nil"/>
              <w:right w:val="nil"/>
            </w:tcBorders>
            <w:shd w:val="clear" w:color="000000" w:fill="FFFFFF"/>
            <w:noWrap/>
            <w:vAlign w:val="center"/>
            <w:hideMark/>
          </w:tcPr>
          <w:p w14:paraId="44014A69"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nil"/>
              <w:left w:val="nil"/>
              <w:bottom w:val="nil"/>
              <w:right w:val="nil"/>
            </w:tcBorders>
            <w:shd w:val="clear" w:color="000000" w:fill="FFFFFF"/>
            <w:noWrap/>
            <w:vAlign w:val="center"/>
            <w:hideMark/>
          </w:tcPr>
          <w:p w14:paraId="00906C73"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nil"/>
              <w:left w:val="nil"/>
              <w:bottom w:val="nil"/>
              <w:right w:val="nil"/>
            </w:tcBorders>
            <w:shd w:val="clear" w:color="000000" w:fill="FFFFFF"/>
            <w:noWrap/>
            <w:vAlign w:val="center"/>
            <w:hideMark/>
          </w:tcPr>
          <w:p w14:paraId="3F9D2423"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nil"/>
              <w:left w:val="nil"/>
              <w:bottom w:val="nil"/>
              <w:right w:val="nil"/>
            </w:tcBorders>
            <w:shd w:val="clear" w:color="000000" w:fill="FFFFFF"/>
            <w:noWrap/>
            <w:vAlign w:val="center"/>
            <w:hideMark/>
          </w:tcPr>
          <w:p w14:paraId="0A801A93"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r>
      <w:tr w:rsidR="00FF3F04" w:rsidRPr="00FF3F04" w14:paraId="456D6BB8" w14:textId="77777777" w:rsidTr="00FF3F04">
        <w:trPr>
          <w:trHeight w:val="300"/>
        </w:trPr>
        <w:tc>
          <w:tcPr>
            <w:tcW w:w="10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02E4D2"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w:t>
            </w:r>
          </w:p>
        </w:tc>
        <w:tc>
          <w:tcPr>
            <w:tcW w:w="3868" w:type="dxa"/>
            <w:tcBorders>
              <w:top w:val="single" w:sz="4" w:space="0" w:color="auto"/>
              <w:left w:val="nil"/>
              <w:bottom w:val="single" w:sz="4" w:space="0" w:color="auto"/>
              <w:right w:val="single" w:sz="4" w:space="0" w:color="auto"/>
            </w:tcBorders>
            <w:shd w:val="clear" w:color="000000" w:fill="FFFFFF"/>
            <w:noWrap/>
            <w:vAlign w:val="center"/>
            <w:hideMark/>
          </w:tcPr>
          <w:p w14:paraId="5F112321" w14:textId="77777777" w:rsidR="00FF3F04" w:rsidRPr="00FF3F04" w:rsidRDefault="00FF3F04" w:rsidP="00FF3F04">
            <w:pPr>
              <w:spacing w:line="240" w:lineRule="auto"/>
              <w:rPr>
                <w:rFonts w:eastAsia="Times New Roman" w:cs="Calibri"/>
                <w:b/>
                <w:bCs/>
                <w:color w:val="000000"/>
                <w:sz w:val="20"/>
                <w:szCs w:val="20"/>
                <w:lang w:eastAsia="en-GB"/>
              </w:rPr>
            </w:pPr>
            <w:r w:rsidRPr="00FF3F04">
              <w:rPr>
                <w:rFonts w:eastAsia="Times New Roman" w:cs="Calibri"/>
                <w:b/>
                <w:bCs/>
                <w:color w:val="000000"/>
                <w:sz w:val="20"/>
                <w:szCs w:val="20"/>
                <w:lang w:eastAsia="en-GB"/>
              </w:rPr>
              <w:t>FUNDING (SURPLUS) / DEFICIT</w:t>
            </w:r>
          </w:p>
        </w:tc>
        <w:tc>
          <w:tcPr>
            <w:tcW w:w="1016" w:type="dxa"/>
            <w:tcBorders>
              <w:top w:val="single" w:sz="4" w:space="0" w:color="auto"/>
              <w:left w:val="nil"/>
              <w:bottom w:val="single" w:sz="4" w:space="0" w:color="auto"/>
              <w:right w:val="single" w:sz="4" w:space="0" w:color="auto"/>
            </w:tcBorders>
            <w:shd w:val="clear" w:color="000000" w:fill="DDEBF7"/>
            <w:noWrap/>
            <w:vAlign w:val="center"/>
            <w:hideMark/>
          </w:tcPr>
          <w:p w14:paraId="2F7D96D6" w14:textId="2E10041E" w:rsidR="00FF3F04" w:rsidRPr="00FF3F04" w:rsidRDefault="00714120" w:rsidP="00FF3F04">
            <w:pPr>
              <w:spacing w:line="240" w:lineRule="auto"/>
              <w:jc w:val="right"/>
              <w:rPr>
                <w:rFonts w:eastAsia="Times New Roman" w:cs="Calibri"/>
                <w:b/>
                <w:bCs/>
                <w:color w:val="000000"/>
                <w:sz w:val="20"/>
                <w:szCs w:val="20"/>
                <w:lang w:eastAsia="en-GB"/>
              </w:rPr>
            </w:pPr>
            <w:r>
              <w:rPr>
                <w:rFonts w:eastAsia="Times New Roman" w:cs="Calibri"/>
                <w:b/>
                <w:bCs/>
                <w:color w:val="000000"/>
                <w:sz w:val="20"/>
                <w:szCs w:val="20"/>
                <w:lang w:eastAsia="en-GB"/>
              </w:rPr>
              <w:t>-</w:t>
            </w:r>
          </w:p>
        </w:tc>
        <w:tc>
          <w:tcPr>
            <w:tcW w:w="1016" w:type="dxa"/>
            <w:tcBorders>
              <w:top w:val="single" w:sz="4" w:space="0" w:color="auto"/>
              <w:left w:val="nil"/>
              <w:bottom w:val="single" w:sz="4" w:space="0" w:color="auto"/>
              <w:right w:val="single" w:sz="4" w:space="0" w:color="auto"/>
            </w:tcBorders>
            <w:shd w:val="clear" w:color="000000" w:fill="DDEBF7"/>
            <w:noWrap/>
            <w:vAlign w:val="center"/>
            <w:hideMark/>
          </w:tcPr>
          <w:p w14:paraId="00104E29"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2,484</w:t>
            </w:r>
          </w:p>
        </w:tc>
        <w:tc>
          <w:tcPr>
            <w:tcW w:w="1016" w:type="dxa"/>
            <w:tcBorders>
              <w:top w:val="single" w:sz="4" w:space="0" w:color="auto"/>
              <w:left w:val="nil"/>
              <w:bottom w:val="single" w:sz="4" w:space="0" w:color="auto"/>
              <w:right w:val="single" w:sz="4" w:space="0" w:color="auto"/>
            </w:tcBorders>
            <w:shd w:val="clear" w:color="000000" w:fill="DDEBF7"/>
            <w:noWrap/>
            <w:vAlign w:val="center"/>
            <w:hideMark/>
          </w:tcPr>
          <w:p w14:paraId="0C933A23"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3,832</w:t>
            </w:r>
          </w:p>
        </w:tc>
        <w:tc>
          <w:tcPr>
            <w:tcW w:w="1016" w:type="dxa"/>
            <w:tcBorders>
              <w:top w:val="single" w:sz="4" w:space="0" w:color="auto"/>
              <w:left w:val="nil"/>
              <w:bottom w:val="single" w:sz="4" w:space="0" w:color="auto"/>
              <w:right w:val="single" w:sz="4" w:space="0" w:color="auto"/>
            </w:tcBorders>
            <w:shd w:val="clear" w:color="000000" w:fill="DDEBF7"/>
            <w:noWrap/>
            <w:vAlign w:val="center"/>
            <w:hideMark/>
          </w:tcPr>
          <w:p w14:paraId="072A0FE2"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2,138</w:t>
            </w:r>
          </w:p>
        </w:tc>
        <w:tc>
          <w:tcPr>
            <w:tcW w:w="1016" w:type="dxa"/>
            <w:tcBorders>
              <w:top w:val="single" w:sz="4" w:space="0" w:color="auto"/>
              <w:left w:val="nil"/>
              <w:bottom w:val="single" w:sz="4" w:space="0" w:color="auto"/>
              <w:right w:val="single" w:sz="4" w:space="0" w:color="auto"/>
            </w:tcBorders>
            <w:shd w:val="clear" w:color="000000" w:fill="DDEBF7"/>
            <w:noWrap/>
            <w:vAlign w:val="center"/>
            <w:hideMark/>
          </w:tcPr>
          <w:p w14:paraId="73B016F3" w14:textId="77777777" w:rsidR="00FF3F04" w:rsidRPr="00FF3F04" w:rsidRDefault="00FF3F04" w:rsidP="00FF3F04">
            <w:pPr>
              <w:spacing w:line="240" w:lineRule="auto"/>
              <w:jc w:val="right"/>
              <w:rPr>
                <w:rFonts w:eastAsia="Times New Roman" w:cs="Calibri"/>
                <w:b/>
                <w:bCs/>
                <w:color w:val="000000"/>
                <w:sz w:val="20"/>
                <w:szCs w:val="20"/>
                <w:lang w:eastAsia="en-GB"/>
              </w:rPr>
            </w:pPr>
            <w:r w:rsidRPr="00FF3F04">
              <w:rPr>
                <w:rFonts w:eastAsia="Times New Roman" w:cs="Calibri"/>
                <w:b/>
                <w:bCs/>
                <w:color w:val="000000"/>
                <w:sz w:val="20"/>
                <w:szCs w:val="20"/>
                <w:lang w:eastAsia="en-GB"/>
              </w:rPr>
              <w:t>1,413</w:t>
            </w:r>
          </w:p>
        </w:tc>
      </w:tr>
      <w:tr w:rsidR="00FF3F04" w:rsidRPr="00FF3F04" w14:paraId="55C1D63A" w14:textId="77777777" w:rsidTr="00FF3F04">
        <w:trPr>
          <w:trHeight w:val="435"/>
        </w:trPr>
        <w:tc>
          <w:tcPr>
            <w:tcW w:w="1076" w:type="dxa"/>
            <w:tcBorders>
              <w:top w:val="nil"/>
              <w:left w:val="nil"/>
              <w:bottom w:val="single" w:sz="4" w:space="0" w:color="auto"/>
              <w:right w:val="nil"/>
            </w:tcBorders>
            <w:shd w:val="clear" w:color="000000" w:fill="FFFFFF"/>
            <w:noWrap/>
            <w:vAlign w:val="center"/>
            <w:hideMark/>
          </w:tcPr>
          <w:p w14:paraId="11CA5AD2"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3868" w:type="dxa"/>
            <w:tcBorders>
              <w:top w:val="nil"/>
              <w:left w:val="nil"/>
              <w:bottom w:val="nil"/>
              <w:right w:val="nil"/>
            </w:tcBorders>
            <w:shd w:val="clear" w:color="000000" w:fill="FFFFFF"/>
            <w:noWrap/>
            <w:vAlign w:val="center"/>
            <w:hideMark/>
          </w:tcPr>
          <w:p w14:paraId="1B0AF020" w14:textId="77777777" w:rsidR="00FF3F04" w:rsidRPr="00FF3F04" w:rsidRDefault="00FF3F04" w:rsidP="00FF3F04">
            <w:pPr>
              <w:spacing w:line="240" w:lineRule="auto"/>
              <w:rPr>
                <w:rFonts w:eastAsia="Times New Roman" w:cs="Calibri"/>
                <w:b/>
                <w:bCs/>
                <w:color w:val="000000"/>
                <w:sz w:val="20"/>
                <w:szCs w:val="20"/>
                <w:lang w:eastAsia="en-GB"/>
              </w:rPr>
            </w:pPr>
            <w:r w:rsidRPr="00FF3F04">
              <w:rPr>
                <w:rFonts w:eastAsia="Times New Roman" w:cs="Calibri"/>
                <w:b/>
                <w:bCs/>
                <w:color w:val="000000"/>
                <w:sz w:val="20"/>
                <w:szCs w:val="20"/>
                <w:lang w:eastAsia="en-GB"/>
              </w:rPr>
              <w:t>PRECEPT</w:t>
            </w:r>
          </w:p>
        </w:tc>
        <w:tc>
          <w:tcPr>
            <w:tcW w:w="1016" w:type="dxa"/>
            <w:tcBorders>
              <w:top w:val="nil"/>
              <w:left w:val="nil"/>
              <w:bottom w:val="single" w:sz="4" w:space="0" w:color="auto"/>
              <w:right w:val="nil"/>
            </w:tcBorders>
            <w:shd w:val="clear" w:color="000000" w:fill="FFFFFF"/>
            <w:noWrap/>
            <w:vAlign w:val="center"/>
            <w:hideMark/>
          </w:tcPr>
          <w:p w14:paraId="0DAABA32"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nil"/>
              <w:left w:val="nil"/>
              <w:bottom w:val="single" w:sz="4" w:space="0" w:color="auto"/>
              <w:right w:val="nil"/>
            </w:tcBorders>
            <w:shd w:val="clear" w:color="000000" w:fill="FFFFFF"/>
            <w:noWrap/>
            <w:vAlign w:val="center"/>
            <w:hideMark/>
          </w:tcPr>
          <w:p w14:paraId="69B5B6FA"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nil"/>
              <w:left w:val="nil"/>
              <w:bottom w:val="single" w:sz="4" w:space="0" w:color="auto"/>
              <w:right w:val="nil"/>
            </w:tcBorders>
            <w:shd w:val="clear" w:color="000000" w:fill="FFFFFF"/>
            <w:noWrap/>
            <w:vAlign w:val="center"/>
            <w:hideMark/>
          </w:tcPr>
          <w:p w14:paraId="7B39721A"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nil"/>
              <w:left w:val="nil"/>
              <w:bottom w:val="single" w:sz="4" w:space="0" w:color="auto"/>
              <w:right w:val="nil"/>
            </w:tcBorders>
            <w:shd w:val="clear" w:color="000000" w:fill="FFFFFF"/>
            <w:noWrap/>
            <w:vAlign w:val="center"/>
            <w:hideMark/>
          </w:tcPr>
          <w:p w14:paraId="65DB551E"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nil"/>
              <w:left w:val="nil"/>
              <w:bottom w:val="single" w:sz="4" w:space="0" w:color="auto"/>
              <w:right w:val="nil"/>
            </w:tcBorders>
            <w:shd w:val="clear" w:color="000000" w:fill="FFFFFF"/>
            <w:noWrap/>
            <w:vAlign w:val="center"/>
            <w:hideMark/>
          </w:tcPr>
          <w:p w14:paraId="2A5D3B8A"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r>
      <w:tr w:rsidR="00FF3F04" w:rsidRPr="00FF3F04" w14:paraId="7265E95E" w14:textId="77777777" w:rsidTr="00FF3F04">
        <w:trPr>
          <w:trHeight w:val="300"/>
        </w:trPr>
        <w:tc>
          <w:tcPr>
            <w:tcW w:w="10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4458A6"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£306.04</w:t>
            </w:r>
          </w:p>
        </w:tc>
        <w:tc>
          <w:tcPr>
            <w:tcW w:w="3868" w:type="dxa"/>
            <w:tcBorders>
              <w:top w:val="single" w:sz="4" w:space="0" w:color="auto"/>
              <w:left w:val="nil"/>
              <w:bottom w:val="single" w:sz="4" w:space="0" w:color="auto"/>
              <w:right w:val="single" w:sz="4" w:space="0" w:color="auto"/>
            </w:tcBorders>
            <w:shd w:val="clear" w:color="000000" w:fill="FFFFFF"/>
            <w:noWrap/>
            <w:vAlign w:val="center"/>
            <w:hideMark/>
          </w:tcPr>
          <w:p w14:paraId="41098928"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Band D Council Tax</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14:paraId="25DFADDB"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£320.04</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14:paraId="111D7ABC"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£330.04</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14:paraId="32FA3F69"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£340.04</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14:paraId="455F7310"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£350.04</w:t>
            </w:r>
          </w:p>
        </w:tc>
        <w:tc>
          <w:tcPr>
            <w:tcW w:w="1016" w:type="dxa"/>
            <w:tcBorders>
              <w:top w:val="single" w:sz="4" w:space="0" w:color="auto"/>
              <w:left w:val="nil"/>
              <w:bottom w:val="single" w:sz="4" w:space="0" w:color="auto"/>
              <w:right w:val="single" w:sz="4" w:space="0" w:color="auto"/>
            </w:tcBorders>
            <w:shd w:val="clear" w:color="000000" w:fill="FFFFFF"/>
            <w:noWrap/>
            <w:vAlign w:val="center"/>
            <w:hideMark/>
          </w:tcPr>
          <w:p w14:paraId="79CE176F"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£360.04</w:t>
            </w:r>
          </w:p>
        </w:tc>
      </w:tr>
      <w:tr w:rsidR="00FF3F04" w:rsidRPr="00FF3F04" w14:paraId="65EB10EA" w14:textId="77777777" w:rsidTr="00FF3F04">
        <w:trPr>
          <w:trHeight w:val="300"/>
        </w:trPr>
        <w:tc>
          <w:tcPr>
            <w:tcW w:w="1076" w:type="dxa"/>
            <w:tcBorders>
              <w:top w:val="nil"/>
              <w:left w:val="single" w:sz="4" w:space="0" w:color="auto"/>
              <w:bottom w:val="single" w:sz="4" w:space="0" w:color="auto"/>
              <w:right w:val="single" w:sz="4" w:space="0" w:color="auto"/>
            </w:tcBorders>
            <w:shd w:val="clear" w:color="000000" w:fill="FFFFFF"/>
            <w:noWrap/>
            <w:vAlign w:val="center"/>
            <w:hideMark/>
          </w:tcPr>
          <w:p w14:paraId="4AB6B8A7"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258,512</w:t>
            </w:r>
          </w:p>
        </w:tc>
        <w:tc>
          <w:tcPr>
            <w:tcW w:w="3868" w:type="dxa"/>
            <w:tcBorders>
              <w:top w:val="nil"/>
              <w:left w:val="nil"/>
              <w:bottom w:val="single" w:sz="4" w:space="0" w:color="auto"/>
              <w:right w:val="single" w:sz="4" w:space="0" w:color="auto"/>
            </w:tcBorders>
            <w:shd w:val="clear" w:color="000000" w:fill="FFFFFF"/>
            <w:noWrap/>
            <w:vAlign w:val="center"/>
            <w:hideMark/>
          </w:tcPr>
          <w:p w14:paraId="5ED6C219"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Tax Base</w:t>
            </w:r>
          </w:p>
        </w:tc>
        <w:tc>
          <w:tcPr>
            <w:tcW w:w="1016" w:type="dxa"/>
            <w:tcBorders>
              <w:top w:val="nil"/>
              <w:left w:val="nil"/>
              <w:bottom w:val="single" w:sz="4" w:space="0" w:color="auto"/>
              <w:right w:val="single" w:sz="4" w:space="0" w:color="auto"/>
            </w:tcBorders>
            <w:shd w:val="clear" w:color="000000" w:fill="FFFFFF"/>
            <w:noWrap/>
            <w:vAlign w:val="center"/>
            <w:hideMark/>
          </w:tcPr>
          <w:p w14:paraId="6FE11458"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263,735</w:t>
            </w:r>
          </w:p>
        </w:tc>
        <w:tc>
          <w:tcPr>
            <w:tcW w:w="1016" w:type="dxa"/>
            <w:tcBorders>
              <w:top w:val="nil"/>
              <w:left w:val="nil"/>
              <w:bottom w:val="single" w:sz="4" w:space="0" w:color="auto"/>
              <w:right w:val="single" w:sz="4" w:space="0" w:color="auto"/>
            </w:tcBorders>
            <w:shd w:val="clear" w:color="000000" w:fill="FFFFFF"/>
            <w:noWrap/>
            <w:vAlign w:val="center"/>
            <w:hideMark/>
          </w:tcPr>
          <w:p w14:paraId="28D656F3"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267,691</w:t>
            </w:r>
          </w:p>
        </w:tc>
        <w:tc>
          <w:tcPr>
            <w:tcW w:w="1016" w:type="dxa"/>
            <w:tcBorders>
              <w:top w:val="nil"/>
              <w:left w:val="nil"/>
              <w:bottom w:val="single" w:sz="4" w:space="0" w:color="auto"/>
              <w:right w:val="single" w:sz="4" w:space="0" w:color="auto"/>
            </w:tcBorders>
            <w:shd w:val="clear" w:color="000000" w:fill="FFFFFF"/>
            <w:noWrap/>
            <w:vAlign w:val="center"/>
            <w:hideMark/>
          </w:tcPr>
          <w:p w14:paraId="41D2802B"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271,707</w:t>
            </w:r>
          </w:p>
        </w:tc>
        <w:tc>
          <w:tcPr>
            <w:tcW w:w="1016" w:type="dxa"/>
            <w:tcBorders>
              <w:top w:val="nil"/>
              <w:left w:val="nil"/>
              <w:bottom w:val="single" w:sz="4" w:space="0" w:color="auto"/>
              <w:right w:val="single" w:sz="4" w:space="0" w:color="auto"/>
            </w:tcBorders>
            <w:shd w:val="clear" w:color="000000" w:fill="FFFFFF"/>
            <w:noWrap/>
            <w:vAlign w:val="center"/>
            <w:hideMark/>
          </w:tcPr>
          <w:p w14:paraId="438BCDEF"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275,782</w:t>
            </w:r>
          </w:p>
        </w:tc>
        <w:tc>
          <w:tcPr>
            <w:tcW w:w="1016" w:type="dxa"/>
            <w:tcBorders>
              <w:top w:val="nil"/>
              <w:left w:val="nil"/>
              <w:bottom w:val="single" w:sz="4" w:space="0" w:color="auto"/>
              <w:right w:val="single" w:sz="4" w:space="0" w:color="auto"/>
            </w:tcBorders>
            <w:shd w:val="clear" w:color="000000" w:fill="FFFFFF"/>
            <w:noWrap/>
            <w:vAlign w:val="center"/>
            <w:hideMark/>
          </w:tcPr>
          <w:p w14:paraId="65681B45"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279,919</w:t>
            </w:r>
          </w:p>
        </w:tc>
      </w:tr>
      <w:tr w:rsidR="00FF3F04" w:rsidRPr="00FF3F04" w14:paraId="670FA354" w14:textId="77777777" w:rsidTr="00FF3F04">
        <w:trPr>
          <w:trHeight w:val="300"/>
        </w:trPr>
        <w:tc>
          <w:tcPr>
            <w:tcW w:w="1076" w:type="dxa"/>
            <w:tcBorders>
              <w:top w:val="nil"/>
              <w:left w:val="nil"/>
              <w:bottom w:val="nil"/>
              <w:right w:val="nil"/>
            </w:tcBorders>
            <w:shd w:val="clear" w:color="000000" w:fill="FFFFFF"/>
            <w:noWrap/>
            <w:vAlign w:val="center"/>
            <w:hideMark/>
          </w:tcPr>
          <w:p w14:paraId="05F4BB9A"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3868" w:type="dxa"/>
            <w:tcBorders>
              <w:top w:val="nil"/>
              <w:left w:val="nil"/>
              <w:bottom w:val="nil"/>
              <w:right w:val="nil"/>
            </w:tcBorders>
            <w:shd w:val="clear" w:color="000000" w:fill="FFFFFF"/>
            <w:noWrap/>
            <w:vAlign w:val="center"/>
            <w:hideMark/>
          </w:tcPr>
          <w:p w14:paraId="18CDA737"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nil"/>
              <w:left w:val="nil"/>
              <w:bottom w:val="nil"/>
              <w:right w:val="nil"/>
            </w:tcBorders>
            <w:shd w:val="clear" w:color="000000" w:fill="FFFFFF"/>
            <w:noWrap/>
            <w:vAlign w:val="center"/>
            <w:hideMark/>
          </w:tcPr>
          <w:p w14:paraId="24949929"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nil"/>
              <w:left w:val="nil"/>
              <w:bottom w:val="nil"/>
              <w:right w:val="nil"/>
            </w:tcBorders>
            <w:shd w:val="clear" w:color="000000" w:fill="FFFFFF"/>
            <w:noWrap/>
            <w:vAlign w:val="center"/>
            <w:hideMark/>
          </w:tcPr>
          <w:p w14:paraId="73C48BDD"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nil"/>
              <w:left w:val="nil"/>
              <w:bottom w:val="nil"/>
              <w:right w:val="nil"/>
            </w:tcBorders>
            <w:shd w:val="clear" w:color="000000" w:fill="FFFFFF"/>
            <w:noWrap/>
            <w:vAlign w:val="center"/>
            <w:hideMark/>
          </w:tcPr>
          <w:p w14:paraId="5636928C"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nil"/>
              <w:left w:val="nil"/>
              <w:bottom w:val="nil"/>
              <w:right w:val="nil"/>
            </w:tcBorders>
            <w:shd w:val="clear" w:color="000000" w:fill="FFFFFF"/>
            <w:noWrap/>
            <w:vAlign w:val="center"/>
            <w:hideMark/>
          </w:tcPr>
          <w:p w14:paraId="06A0E90B"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nil"/>
              <w:left w:val="nil"/>
              <w:bottom w:val="nil"/>
              <w:right w:val="nil"/>
            </w:tcBorders>
            <w:shd w:val="clear" w:color="000000" w:fill="FFFFFF"/>
            <w:noWrap/>
            <w:vAlign w:val="center"/>
            <w:hideMark/>
          </w:tcPr>
          <w:p w14:paraId="6618F8DA"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r>
      <w:tr w:rsidR="00FF3F04" w:rsidRPr="00FF3F04" w14:paraId="1C44D64F" w14:textId="77777777" w:rsidTr="00FF3F04">
        <w:trPr>
          <w:trHeight w:val="300"/>
        </w:trPr>
        <w:tc>
          <w:tcPr>
            <w:tcW w:w="1076" w:type="dxa"/>
            <w:tcBorders>
              <w:top w:val="nil"/>
              <w:left w:val="nil"/>
              <w:bottom w:val="nil"/>
              <w:right w:val="nil"/>
            </w:tcBorders>
            <w:shd w:val="clear" w:color="000000" w:fill="FFFFFF"/>
            <w:noWrap/>
            <w:vAlign w:val="center"/>
            <w:hideMark/>
          </w:tcPr>
          <w:p w14:paraId="5DF9A914"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3868" w:type="dxa"/>
            <w:tcBorders>
              <w:top w:val="nil"/>
              <w:left w:val="nil"/>
              <w:bottom w:val="nil"/>
              <w:right w:val="nil"/>
            </w:tcBorders>
            <w:shd w:val="clear" w:color="000000" w:fill="FFFFFF"/>
            <w:noWrap/>
            <w:vAlign w:val="center"/>
            <w:hideMark/>
          </w:tcPr>
          <w:p w14:paraId="4DD83CC1" w14:textId="77777777" w:rsidR="00FF3F04" w:rsidRPr="00FF3F04" w:rsidRDefault="00FF3F04" w:rsidP="00FF3F04">
            <w:pPr>
              <w:spacing w:line="240" w:lineRule="auto"/>
              <w:rPr>
                <w:rFonts w:eastAsia="Times New Roman" w:cs="Calibri"/>
                <w:b/>
                <w:bCs/>
                <w:color w:val="000000"/>
                <w:sz w:val="20"/>
                <w:szCs w:val="20"/>
                <w:lang w:eastAsia="en-GB"/>
              </w:rPr>
            </w:pPr>
            <w:r w:rsidRPr="00FF3F04">
              <w:rPr>
                <w:rFonts w:eastAsia="Times New Roman" w:cs="Calibri"/>
                <w:b/>
                <w:bCs/>
                <w:color w:val="000000"/>
                <w:sz w:val="20"/>
                <w:szCs w:val="20"/>
                <w:lang w:eastAsia="en-GB"/>
              </w:rPr>
              <w:t>ASSUMPTIONS</w:t>
            </w:r>
          </w:p>
        </w:tc>
        <w:tc>
          <w:tcPr>
            <w:tcW w:w="1016" w:type="dxa"/>
            <w:tcBorders>
              <w:top w:val="nil"/>
              <w:left w:val="nil"/>
              <w:bottom w:val="nil"/>
              <w:right w:val="nil"/>
            </w:tcBorders>
            <w:shd w:val="clear" w:color="000000" w:fill="FFFFFF"/>
            <w:noWrap/>
            <w:vAlign w:val="center"/>
            <w:hideMark/>
          </w:tcPr>
          <w:p w14:paraId="7B9FA5CE"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nil"/>
              <w:left w:val="nil"/>
              <w:bottom w:val="nil"/>
              <w:right w:val="nil"/>
            </w:tcBorders>
            <w:shd w:val="clear" w:color="000000" w:fill="FFFFFF"/>
            <w:noWrap/>
            <w:vAlign w:val="center"/>
            <w:hideMark/>
          </w:tcPr>
          <w:p w14:paraId="36A8CD0B"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nil"/>
              <w:left w:val="nil"/>
              <w:bottom w:val="nil"/>
              <w:right w:val="nil"/>
            </w:tcBorders>
            <w:shd w:val="clear" w:color="000000" w:fill="FFFFFF"/>
            <w:noWrap/>
            <w:vAlign w:val="center"/>
            <w:hideMark/>
          </w:tcPr>
          <w:p w14:paraId="04CEE68E"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nil"/>
              <w:left w:val="nil"/>
              <w:bottom w:val="nil"/>
              <w:right w:val="nil"/>
            </w:tcBorders>
            <w:shd w:val="clear" w:color="000000" w:fill="FFFFFF"/>
            <w:noWrap/>
            <w:vAlign w:val="center"/>
            <w:hideMark/>
          </w:tcPr>
          <w:p w14:paraId="106F9AF9"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1016" w:type="dxa"/>
            <w:tcBorders>
              <w:top w:val="nil"/>
              <w:left w:val="nil"/>
              <w:bottom w:val="nil"/>
              <w:right w:val="nil"/>
            </w:tcBorders>
            <w:shd w:val="clear" w:color="000000" w:fill="FFFFFF"/>
            <w:noWrap/>
            <w:vAlign w:val="center"/>
            <w:hideMark/>
          </w:tcPr>
          <w:p w14:paraId="2498FD94"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r>
      <w:tr w:rsidR="00FF3F04" w:rsidRPr="00FF3F04" w14:paraId="63ECCADD" w14:textId="77777777" w:rsidTr="00FF3F04">
        <w:trPr>
          <w:trHeight w:val="300"/>
        </w:trPr>
        <w:tc>
          <w:tcPr>
            <w:tcW w:w="1076" w:type="dxa"/>
            <w:tcBorders>
              <w:top w:val="nil"/>
              <w:left w:val="nil"/>
              <w:bottom w:val="nil"/>
              <w:right w:val="nil"/>
            </w:tcBorders>
            <w:shd w:val="clear" w:color="000000" w:fill="FFFFFF"/>
            <w:noWrap/>
            <w:vAlign w:val="center"/>
            <w:hideMark/>
          </w:tcPr>
          <w:p w14:paraId="17DE4960"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3868" w:type="dxa"/>
            <w:tcBorders>
              <w:top w:val="single" w:sz="4" w:space="0" w:color="auto"/>
              <w:left w:val="single" w:sz="4" w:space="0" w:color="auto"/>
              <w:bottom w:val="nil"/>
              <w:right w:val="single" w:sz="4" w:space="0" w:color="auto"/>
            </w:tcBorders>
            <w:shd w:val="clear" w:color="000000" w:fill="FFFFFF"/>
            <w:noWrap/>
            <w:vAlign w:val="center"/>
            <w:hideMark/>
          </w:tcPr>
          <w:p w14:paraId="45B1B5F3"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Core Police Grant</w:t>
            </w:r>
          </w:p>
        </w:tc>
        <w:tc>
          <w:tcPr>
            <w:tcW w:w="1016" w:type="dxa"/>
            <w:tcBorders>
              <w:top w:val="single" w:sz="4" w:space="0" w:color="auto"/>
              <w:left w:val="nil"/>
              <w:bottom w:val="nil"/>
              <w:right w:val="single" w:sz="4" w:space="0" w:color="auto"/>
            </w:tcBorders>
            <w:shd w:val="clear" w:color="000000" w:fill="FFFFFF"/>
            <w:noWrap/>
            <w:vAlign w:val="center"/>
            <w:hideMark/>
          </w:tcPr>
          <w:p w14:paraId="4D9E0F75"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3.72%</w:t>
            </w:r>
          </w:p>
        </w:tc>
        <w:tc>
          <w:tcPr>
            <w:tcW w:w="1016" w:type="dxa"/>
            <w:tcBorders>
              <w:top w:val="single" w:sz="4" w:space="0" w:color="auto"/>
              <w:left w:val="nil"/>
              <w:bottom w:val="nil"/>
              <w:right w:val="single" w:sz="4" w:space="0" w:color="auto"/>
            </w:tcBorders>
            <w:shd w:val="clear" w:color="000000" w:fill="FFFFFF"/>
            <w:noWrap/>
            <w:vAlign w:val="center"/>
            <w:hideMark/>
          </w:tcPr>
          <w:p w14:paraId="43C3CFB9"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1.00%</w:t>
            </w:r>
          </w:p>
        </w:tc>
        <w:tc>
          <w:tcPr>
            <w:tcW w:w="1016" w:type="dxa"/>
            <w:tcBorders>
              <w:top w:val="single" w:sz="4" w:space="0" w:color="auto"/>
              <w:left w:val="nil"/>
              <w:bottom w:val="nil"/>
              <w:right w:val="single" w:sz="4" w:space="0" w:color="auto"/>
            </w:tcBorders>
            <w:shd w:val="clear" w:color="000000" w:fill="FFFFFF"/>
            <w:noWrap/>
            <w:vAlign w:val="center"/>
            <w:hideMark/>
          </w:tcPr>
          <w:p w14:paraId="4A04CC57"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1.00%</w:t>
            </w:r>
          </w:p>
        </w:tc>
        <w:tc>
          <w:tcPr>
            <w:tcW w:w="1016" w:type="dxa"/>
            <w:tcBorders>
              <w:top w:val="single" w:sz="4" w:space="0" w:color="auto"/>
              <w:left w:val="nil"/>
              <w:bottom w:val="nil"/>
              <w:right w:val="single" w:sz="4" w:space="0" w:color="auto"/>
            </w:tcBorders>
            <w:shd w:val="clear" w:color="000000" w:fill="FFFFFF"/>
            <w:noWrap/>
            <w:vAlign w:val="center"/>
            <w:hideMark/>
          </w:tcPr>
          <w:p w14:paraId="3520012B"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1.00%</w:t>
            </w:r>
          </w:p>
        </w:tc>
        <w:tc>
          <w:tcPr>
            <w:tcW w:w="1016" w:type="dxa"/>
            <w:tcBorders>
              <w:top w:val="single" w:sz="4" w:space="0" w:color="auto"/>
              <w:left w:val="nil"/>
              <w:bottom w:val="nil"/>
              <w:right w:val="single" w:sz="4" w:space="0" w:color="auto"/>
            </w:tcBorders>
            <w:shd w:val="clear" w:color="000000" w:fill="FFFFFF"/>
            <w:noWrap/>
            <w:vAlign w:val="center"/>
            <w:hideMark/>
          </w:tcPr>
          <w:p w14:paraId="27D9A71D"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1.00%</w:t>
            </w:r>
          </w:p>
        </w:tc>
      </w:tr>
      <w:tr w:rsidR="00FF3F04" w:rsidRPr="00FF3F04" w14:paraId="23CFAFA1" w14:textId="77777777" w:rsidTr="00FF3F04">
        <w:trPr>
          <w:trHeight w:val="300"/>
        </w:trPr>
        <w:tc>
          <w:tcPr>
            <w:tcW w:w="1076" w:type="dxa"/>
            <w:tcBorders>
              <w:top w:val="nil"/>
              <w:left w:val="nil"/>
              <w:bottom w:val="nil"/>
              <w:right w:val="nil"/>
            </w:tcBorders>
            <w:shd w:val="clear" w:color="000000" w:fill="FFFFFF"/>
            <w:noWrap/>
            <w:vAlign w:val="center"/>
            <w:hideMark/>
          </w:tcPr>
          <w:p w14:paraId="0E2F7D7E"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3868" w:type="dxa"/>
            <w:tcBorders>
              <w:top w:val="nil"/>
              <w:left w:val="single" w:sz="4" w:space="0" w:color="auto"/>
              <w:bottom w:val="nil"/>
              <w:right w:val="single" w:sz="4" w:space="0" w:color="auto"/>
            </w:tcBorders>
            <w:shd w:val="clear" w:color="000000" w:fill="FFFFFF"/>
            <w:noWrap/>
            <w:vAlign w:val="center"/>
            <w:hideMark/>
          </w:tcPr>
          <w:p w14:paraId="4EEE1241"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Precept (%)</w:t>
            </w:r>
          </w:p>
        </w:tc>
        <w:tc>
          <w:tcPr>
            <w:tcW w:w="1016" w:type="dxa"/>
            <w:tcBorders>
              <w:top w:val="nil"/>
              <w:left w:val="nil"/>
              <w:bottom w:val="nil"/>
              <w:right w:val="single" w:sz="4" w:space="0" w:color="auto"/>
            </w:tcBorders>
            <w:shd w:val="clear" w:color="000000" w:fill="FFFFFF"/>
            <w:noWrap/>
            <w:vAlign w:val="center"/>
            <w:hideMark/>
          </w:tcPr>
          <w:p w14:paraId="1E3F2C65"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4.57%</w:t>
            </w:r>
          </w:p>
        </w:tc>
        <w:tc>
          <w:tcPr>
            <w:tcW w:w="1016" w:type="dxa"/>
            <w:tcBorders>
              <w:top w:val="nil"/>
              <w:left w:val="nil"/>
              <w:bottom w:val="nil"/>
              <w:right w:val="single" w:sz="4" w:space="0" w:color="auto"/>
            </w:tcBorders>
            <w:shd w:val="clear" w:color="000000" w:fill="FFFFFF"/>
            <w:noWrap/>
            <w:vAlign w:val="center"/>
            <w:hideMark/>
          </w:tcPr>
          <w:p w14:paraId="7896DDEE"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3.12%</w:t>
            </w:r>
          </w:p>
        </w:tc>
        <w:tc>
          <w:tcPr>
            <w:tcW w:w="1016" w:type="dxa"/>
            <w:tcBorders>
              <w:top w:val="nil"/>
              <w:left w:val="nil"/>
              <w:bottom w:val="nil"/>
              <w:right w:val="single" w:sz="4" w:space="0" w:color="auto"/>
            </w:tcBorders>
            <w:shd w:val="clear" w:color="000000" w:fill="FFFFFF"/>
            <w:noWrap/>
            <w:vAlign w:val="center"/>
            <w:hideMark/>
          </w:tcPr>
          <w:p w14:paraId="4ECCD8FD"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3.03%</w:t>
            </w:r>
          </w:p>
        </w:tc>
        <w:tc>
          <w:tcPr>
            <w:tcW w:w="1016" w:type="dxa"/>
            <w:tcBorders>
              <w:top w:val="nil"/>
              <w:left w:val="nil"/>
              <w:bottom w:val="nil"/>
              <w:right w:val="single" w:sz="4" w:space="0" w:color="auto"/>
            </w:tcBorders>
            <w:shd w:val="clear" w:color="000000" w:fill="FFFFFF"/>
            <w:noWrap/>
            <w:vAlign w:val="center"/>
            <w:hideMark/>
          </w:tcPr>
          <w:p w14:paraId="23AD408C"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2.94%</w:t>
            </w:r>
          </w:p>
        </w:tc>
        <w:tc>
          <w:tcPr>
            <w:tcW w:w="1016" w:type="dxa"/>
            <w:tcBorders>
              <w:top w:val="nil"/>
              <w:left w:val="nil"/>
              <w:bottom w:val="nil"/>
              <w:right w:val="single" w:sz="4" w:space="0" w:color="auto"/>
            </w:tcBorders>
            <w:shd w:val="clear" w:color="000000" w:fill="FFFFFF"/>
            <w:noWrap/>
            <w:vAlign w:val="center"/>
            <w:hideMark/>
          </w:tcPr>
          <w:p w14:paraId="4891FE25"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2.86%</w:t>
            </w:r>
          </w:p>
        </w:tc>
      </w:tr>
      <w:tr w:rsidR="00FF3F04" w:rsidRPr="00FF3F04" w14:paraId="44456741" w14:textId="77777777" w:rsidTr="00FF3F04">
        <w:trPr>
          <w:trHeight w:val="300"/>
        </w:trPr>
        <w:tc>
          <w:tcPr>
            <w:tcW w:w="1076" w:type="dxa"/>
            <w:tcBorders>
              <w:top w:val="nil"/>
              <w:left w:val="nil"/>
              <w:bottom w:val="nil"/>
              <w:right w:val="nil"/>
            </w:tcBorders>
            <w:shd w:val="clear" w:color="000000" w:fill="FFFFFF"/>
            <w:noWrap/>
            <w:vAlign w:val="center"/>
            <w:hideMark/>
          </w:tcPr>
          <w:p w14:paraId="71917353"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3868" w:type="dxa"/>
            <w:tcBorders>
              <w:top w:val="nil"/>
              <w:left w:val="single" w:sz="4" w:space="0" w:color="auto"/>
              <w:bottom w:val="nil"/>
              <w:right w:val="single" w:sz="4" w:space="0" w:color="auto"/>
            </w:tcBorders>
            <w:shd w:val="clear" w:color="000000" w:fill="FFFFFF"/>
            <w:noWrap/>
            <w:vAlign w:val="center"/>
            <w:hideMark/>
          </w:tcPr>
          <w:p w14:paraId="74022E10"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Precept (£)</w:t>
            </w:r>
          </w:p>
        </w:tc>
        <w:tc>
          <w:tcPr>
            <w:tcW w:w="1016" w:type="dxa"/>
            <w:tcBorders>
              <w:top w:val="nil"/>
              <w:left w:val="nil"/>
              <w:bottom w:val="nil"/>
              <w:right w:val="single" w:sz="4" w:space="0" w:color="auto"/>
            </w:tcBorders>
            <w:shd w:val="clear" w:color="000000" w:fill="FFFFFF"/>
            <w:noWrap/>
            <w:vAlign w:val="center"/>
            <w:hideMark/>
          </w:tcPr>
          <w:p w14:paraId="12ADFFD8"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£14.00</w:t>
            </w:r>
          </w:p>
        </w:tc>
        <w:tc>
          <w:tcPr>
            <w:tcW w:w="1016" w:type="dxa"/>
            <w:tcBorders>
              <w:top w:val="nil"/>
              <w:left w:val="nil"/>
              <w:bottom w:val="nil"/>
              <w:right w:val="single" w:sz="4" w:space="0" w:color="auto"/>
            </w:tcBorders>
            <w:shd w:val="clear" w:color="000000" w:fill="FFFFFF"/>
            <w:noWrap/>
            <w:vAlign w:val="center"/>
            <w:hideMark/>
          </w:tcPr>
          <w:p w14:paraId="383CC7D4"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£10.00</w:t>
            </w:r>
          </w:p>
        </w:tc>
        <w:tc>
          <w:tcPr>
            <w:tcW w:w="1016" w:type="dxa"/>
            <w:tcBorders>
              <w:top w:val="nil"/>
              <w:left w:val="nil"/>
              <w:bottom w:val="nil"/>
              <w:right w:val="single" w:sz="4" w:space="0" w:color="auto"/>
            </w:tcBorders>
            <w:shd w:val="clear" w:color="000000" w:fill="FFFFFF"/>
            <w:noWrap/>
            <w:vAlign w:val="center"/>
            <w:hideMark/>
          </w:tcPr>
          <w:p w14:paraId="0ECAD900"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£10.00</w:t>
            </w:r>
          </w:p>
        </w:tc>
        <w:tc>
          <w:tcPr>
            <w:tcW w:w="1016" w:type="dxa"/>
            <w:tcBorders>
              <w:top w:val="nil"/>
              <w:left w:val="nil"/>
              <w:bottom w:val="nil"/>
              <w:right w:val="single" w:sz="4" w:space="0" w:color="auto"/>
            </w:tcBorders>
            <w:shd w:val="clear" w:color="000000" w:fill="FFFFFF"/>
            <w:noWrap/>
            <w:vAlign w:val="center"/>
            <w:hideMark/>
          </w:tcPr>
          <w:p w14:paraId="16F38555"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£10.00</w:t>
            </w:r>
          </w:p>
        </w:tc>
        <w:tc>
          <w:tcPr>
            <w:tcW w:w="1016" w:type="dxa"/>
            <w:tcBorders>
              <w:top w:val="nil"/>
              <w:left w:val="nil"/>
              <w:bottom w:val="nil"/>
              <w:right w:val="single" w:sz="4" w:space="0" w:color="auto"/>
            </w:tcBorders>
            <w:shd w:val="clear" w:color="000000" w:fill="FFFFFF"/>
            <w:noWrap/>
            <w:vAlign w:val="center"/>
            <w:hideMark/>
          </w:tcPr>
          <w:p w14:paraId="174EC76D"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£10.00</w:t>
            </w:r>
          </w:p>
        </w:tc>
      </w:tr>
      <w:tr w:rsidR="00FF3F04" w:rsidRPr="00FF3F04" w14:paraId="4115789E" w14:textId="77777777" w:rsidTr="00FF3F04">
        <w:trPr>
          <w:trHeight w:val="300"/>
        </w:trPr>
        <w:tc>
          <w:tcPr>
            <w:tcW w:w="1076" w:type="dxa"/>
            <w:tcBorders>
              <w:top w:val="nil"/>
              <w:left w:val="nil"/>
              <w:bottom w:val="nil"/>
              <w:right w:val="nil"/>
            </w:tcBorders>
            <w:shd w:val="clear" w:color="000000" w:fill="FFFFFF"/>
            <w:noWrap/>
            <w:vAlign w:val="center"/>
            <w:hideMark/>
          </w:tcPr>
          <w:p w14:paraId="35970D78"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3868" w:type="dxa"/>
            <w:tcBorders>
              <w:top w:val="nil"/>
              <w:left w:val="single" w:sz="4" w:space="0" w:color="auto"/>
              <w:bottom w:val="nil"/>
              <w:right w:val="single" w:sz="4" w:space="0" w:color="auto"/>
            </w:tcBorders>
            <w:shd w:val="clear" w:color="000000" w:fill="FFFFFF"/>
            <w:noWrap/>
            <w:vAlign w:val="center"/>
            <w:hideMark/>
          </w:tcPr>
          <w:p w14:paraId="7EEC7ACC"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Tax Base Change - Increase/(Decrease)</w:t>
            </w:r>
          </w:p>
        </w:tc>
        <w:tc>
          <w:tcPr>
            <w:tcW w:w="1016" w:type="dxa"/>
            <w:tcBorders>
              <w:top w:val="nil"/>
              <w:left w:val="nil"/>
              <w:bottom w:val="nil"/>
              <w:right w:val="single" w:sz="4" w:space="0" w:color="auto"/>
            </w:tcBorders>
            <w:shd w:val="clear" w:color="000000" w:fill="FFFFFF"/>
            <w:noWrap/>
            <w:vAlign w:val="center"/>
            <w:hideMark/>
          </w:tcPr>
          <w:p w14:paraId="512FEBE1"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2.02%</w:t>
            </w:r>
          </w:p>
        </w:tc>
        <w:tc>
          <w:tcPr>
            <w:tcW w:w="1016" w:type="dxa"/>
            <w:tcBorders>
              <w:top w:val="nil"/>
              <w:left w:val="nil"/>
              <w:bottom w:val="nil"/>
              <w:right w:val="single" w:sz="4" w:space="0" w:color="auto"/>
            </w:tcBorders>
            <w:shd w:val="clear" w:color="000000" w:fill="FFFFFF"/>
            <w:noWrap/>
            <w:vAlign w:val="center"/>
            <w:hideMark/>
          </w:tcPr>
          <w:p w14:paraId="3678F5AC"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1.50%</w:t>
            </w:r>
          </w:p>
        </w:tc>
        <w:tc>
          <w:tcPr>
            <w:tcW w:w="1016" w:type="dxa"/>
            <w:tcBorders>
              <w:top w:val="nil"/>
              <w:left w:val="nil"/>
              <w:bottom w:val="nil"/>
              <w:right w:val="single" w:sz="4" w:space="0" w:color="auto"/>
            </w:tcBorders>
            <w:shd w:val="clear" w:color="000000" w:fill="FFFFFF"/>
            <w:noWrap/>
            <w:vAlign w:val="center"/>
            <w:hideMark/>
          </w:tcPr>
          <w:p w14:paraId="5975A6A4"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1.50%</w:t>
            </w:r>
          </w:p>
        </w:tc>
        <w:tc>
          <w:tcPr>
            <w:tcW w:w="1016" w:type="dxa"/>
            <w:tcBorders>
              <w:top w:val="nil"/>
              <w:left w:val="nil"/>
              <w:bottom w:val="nil"/>
              <w:right w:val="single" w:sz="4" w:space="0" w:color="auto"/>
            </w:tcBorders>
            <w:shd w:val="clear" w:color="000000" w:fill="FFFFFF"/>
            <w:noWrap/>
            <w:vAlign w:val="center"/>
            <w:hideMark/>
          </w:tcPr>
          <w:p w14:paraId="1186D5A5"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1.50%</w:t>
            </w:r>
          </w:p>
        </w:tc>
        <w:tc>
          <w:tcPr>
            <w:tcW w:w="1016" w:type="dxa"/>
            <w:tcBorders>
              <w:top w:val="nil"/>
              <w:left w:val="nil"/>
              <w:bottom w:val="nil"/>
              <w:right w:val="single" w:sz="4" w:space="0" w:color="auto"/>
            </w:tcBorders>
            <w:shd w:val="clear" w:color="000000" w:fill="FFFFFF"/>
            <w:noWrap/>
            <w:vAlign w:val="center"/>
            <w:hideMark/>
          </w:tcPr>
          <w:p w14:paraId="7CBEDC47"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1.50%</w:t>
            </w:r>
          </w:p>
        </w:tc>
      </w:tr>
      <w:tr w:rsidR="00FF3F04" w:rsidRPr="00FF3F04" w14:paraId="1179E6E2" w14:textId="77777777" w:rsidTr="00FF3F04">
        <w:trPr>
          <w:trHeight w:val="300"/>
        </w:trPr>
        <w:tc>
          <w:tcPr>
            <w:tcW w:w="1076" w:type="dxa"/>
            <w:tcBorders>
              <w:top w:val="nil"/>
              <w:left w:val="nil"/>
              <w:bottom w:val="nil"/>
              <w:right w:val="nil"/>
            </w:tcBorders>
            <w:shd w:val="clear" w:color="000000" w:fill="FFFFFF"/>
            <w:noWrap/>
            <w:vAlign w:val="center"/>
            <w:hideMark/>
          </w:tcPr>
          <w:p w14:paraId="6FC123BB"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 </w:t>
            </w:r>
          </w:p>
        </w:tc>
        <w:tc>
          <w:tcPr>
            <w:tcW w:w="3868" w:type="dxa"/>
            <w:tcBorders>
              <w:top w:val="nil"/>
              <w:left w:val="single" w:sz="4" w:space="0" w:color="auto"/>
              <w:bottom w:val="single" w:sz="4" w:space="0" w:color="auto"/>
              <w:right w:val="single" w:sz="4" w:space="0" w:color="auto"/>
            </w:tcBorders>
            <w:shd w:val="clear" w:color="000000" w:fill="FFFFFF"/>
            <w:noWrap/>
            <w:vAlign w:val="center"/>
            <w:hideMark/>
          </w:tcPr>
          <w:p w14:paraId="5F84B112" w14:textId="77777777" w:rsidR="00FF3F04" w:rsidRPr="00FF3F04" w:rsidRDefault="00FF3F04" w:rsidP="00FF3F04">
            <w:pPr>
              <w:spacing w:line="240" w:lineRule="auto"/>
              <w:rPr>
                <w:rFonts w:eastAsia="Times New Roman" w:cs="Calibri"/>
                <w:color w:val="000000"/>
                <w:sz w:val="20"/>
                <w:szCs w:val="20"/>
                <w:lang w:eastAsia="en-GB"/>
              </w:rPr>
            </w:pPr>
            <w:r w:rsidRPr="00FF3F04">
              <w:rPr>
                <w:rFonts w:eastAsia="Times New Roman" w:cs="Calibri"/>
                <w:color w:val="000000"/>
                <w:sz w:val="20"/>
                <w:szCs w:val="20"/>
                <w:lang w:eastAsia="en-GB"/>
              </w:rPr>
              <w:t>Pay Awards</w:t>
            </w:r>
          </w:p>
        </w:tc>
        <w:tc>
          <w:tcPr>
            <w:tcW w:w="1016" w:type="dxa"/>
            <w:tcBorders>
              <w:top w:val="nil"/>
              <w:left w:val="nil"/>
              <w:bottom w:val="single" w:sz="4" w:space="0" w:color="auto"/>
              <w:right w:val="single" w:sz="4" w:space="0" w:color="auto"/>
            </w:tcBorders>
            <w:shd w:val="clear" w:color="000000" w:fill="FFFFFF"/>
            <w:noWrap/>
            <w:vAlign w:val="center"/>
            <w:hideMark/>
          </w:tcPr>
          <w:p w14:paraId="0089EE5D" w14:textId="6D0A6056"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2.</w:t>
            </w:r>
            <w:r w:rsidR="006855E9">
              <w:rPr>
                <w:rFonts w:eastAsia="Times New Roman" w:cs="Calibri"/>
                <w:color w:val="000000"/>
                <w:sz w:val="20"/>
                <w:szCs w:val="20"/>
                <w:lang w:eastAsia="en-GB"/>
              </w:rPr>
              <w:t>00</w:t>
            </w:r>
            <w:r w:rsidRPr="00FF3F04">
              <w:rPr>
                <w:rFonts w:eastAsia="Times New Roman" w:cs="Calibri"/>
                <w:color w:val="000000"/>
                <w:sz w:val="20"/>
                <w:szCs w:val="20"/>
                <w:lang w:eastAsia="en-GB"/>
              </w:rPr>
              <w:t>%</w:t>
            </w:r>
          </w:p>
        </w:tc>
        <w:tc>
          <w:tcPr>
            <w:tcW w:w="1016" w:type="dxa"/>
            <w:tcBorders>
              <w:top w:val="nil"/>
              <w:left w:val="nil"/>
              <w:bottom w:val="single" w:sz="4" w:space="0" w:color="auto"/>
              <w:right w:val="single" w:sz="4" w:space="0" w:color="auto"/>
            </w:tcBorders>
            <w:shd w:val="clear" w:color="000000" w:fill="FFFFFF"/>
            <w:noWrap/>
            <w:vAlign w:val="center"/>
            <w:hideMark/>
          </w:tcPr>
          <w:p w14:paraId="468A0BB3"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2.00%</w:t>
            </w:r>
          </w:p>
        </w:tc>
        <w:tc>
          <w:tcPr>
            <w:tcW w:w="1016" w:type="dxa"/>
            <w:tcBorders>
              <w:top w:val="nil"/>
              <w:left w:val="nil"/>
              <w:bottom w:val="single" w:sz="4" w:space="0" w:color="auto"/>
              <w:right w:val="single" w:sz="4" w:space="0" w:color="auto"/>
            </w:tcBorders>
            <w:shd w:val="clear" w:color="000000" w:fill="FFFFFF"/>
            <w:noWrap/>
            <w:vAlign w:val="center"/>
            <w:hideMark/>
          </w:tcPr>
          <w:p w14:paraId="38EFA86C"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2.00%</w:t>
            </w:r>
          </w:p>
        </w:tc>
        <w:tc>
          <w:tcPr>
            <w:tcW w:w="1016" w:type="dxa"/>
            <w:tcBorders>
              <w:top w:val="nil"/>
              <w:left w:val="nil"/>
              <w:bottom w:val="single" w:sz="4" w:space="0" w:color="auto"/>
              <w:right w:val="single" w:sz="4" w:space="0" w:color="auto"/>
            </w:tcBorders>
            <w:shd w:val="clear" w:color="000000" w:fill="FFFFFF"/>
            <w:noWrap/>
            <w:vAlign w:val="center"/>
            <w:hideMark/>
          </w:tcPr>
          <w:p w14:paraId="5D1D06BB"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1.00%</w:t>
            </w:r>
          </w:p>
        </w:tc>
        <w:tc>
          <w:tcPr>
            <w:tcW w:w="1016" w:type="dxa"/>
            <w:tcBorders>
              <w:top w:val="nil"/>
              <w:left w:val="nil"/>
              <w:bottom w:val="single" w:sz="4" w:space="0" w:color="auto"/>
              <w:right w:val="single" w:sz="4" w:space="0" w:color="auto"/>
            </w:tcBorders>
            <w:shd w:val="clear" w:color="000000" w:fill="FFFFFF"/>
            <w:noWrap/>
            <w:vAlign w:val="center"/>
            <w:hideMark/>
          </w:tcPr>
          <w:p w14:paraId="3D98296C" w14:textId="77777777" w:rsidR="00FF3F04" w:rsidRPr="00FF3F04" w:rsidRDefault="00FF3F04" w:rsidP="00FF3F04">
            <w:pPr>
              <w:spacing w:line="240" w:lineRule="auto"/>
              <w:jc w:val="right"/>
              <w:rPr>
                <w:rFonts w:eastAsia="Times New Roman" w:cs="Calibri"/>
                <w:color w:val="000000"/>
                <w:sz w:val="20"/>
                <w:szCs w:val="20"/>
                <w:lang w:eastAsia="en-GB"/>
              </w:rPr>
            </w:pPr>
            <w:r w:rsidRPr="00FF3F04">
              <w:rPr>
                <w:rFonts w:eastAsia="Times New Roman" w:cs="Calibri"/>
                <w:color w:val="000000"/>
                <w:sz w:val="20"/>
                <w:szCs w:val="20"/>
                <w:lang w:eastAsia="en-GB"/>
              </w:rPr>
              <w:t>1.00%</w:t>
            </w:r>
          </w:p>
        </w:tc>
      </w:tr>
    </w:tbl>
    <w:p w14:paraId="227B98F9" w14:textId="77777777" w:rsidR="006E1DBD" w:rsidRPr="00A81E04" w:rsidRDefault="006E1DBD" w:rsidP="00133FCA">
      <w:pPr>
        <w:pStyle w:val="Header"/>
        <w:ind w:right="-990"/>
        <w:rPr>
          <w:rFonts w:ascii="Arial" w:hAnsi="Arial" w:cs="Arial"/>
          <w:b/>
          <w:i/>
          <w:iCs/>
          <w:sz w:val="16"/>
          <w:szCs w:val="16"/>
          <w:highlight w:val="yellow"/>
        </w:rPr>
      </w:pPr>
    </w:p>
    <w:p w14:paraId="1E5019A4" w14:textId="4EC2CE92" w:rsidR="00523DF7" w:rsidRPr="00604C03" w:rsidRDefault="00523DF7" w:rsidP="00133FCA">
      <w:pPr>
        <w:pStyle w:val="Header"/>
        <w:ind w:right="-990"/>
        <w:rPr>
          <w:rFonts w:ascii="Arial" w:hAnsi="Arial" w:cs="Arial"/>
          <w:bCs/>
          <w:i/>
          <w:iCs/>
          <w:sz w:val="20"/>
          <w:szCs w:val="20"/>
        </w:rPr>
      </w:pPr>
      <w:r w:rsidRPr="00604C03">
        <w:rPr>
          <w:rFonts w:ascii="Arial" w:hAnsi="Arial" w:cs="Arial"/>
          <w:bCs/>
          <w:i/>
          <w:iCs/>
          <w:sz w:val="20"/>
          <w:szCs w:val="20"/>
        </w:rPr>
        <w:t>Note: Figures may not sum due to rounding</w:t>
      </w:r>
    </w:p>
    <w:p w14:paraId="05E9A6BF" w14:textId="6FAEA462" w:rsidR="000D1925" w:rsidRPr="00A81E04" w:rsidRDefault="000D1925" w:rsidP="0003142E">
      <w:pPr>
        <w:spacing w:line="240" w:lineRule="auto"/>
        <w:rPr>
          <w:rFonts w:ascii="Arial" w:hAnsi="Arial" w:cs="Arial"/>
          <w:b/>
          <w:i/>
          <w:iCs/>
          <w:sz w:val="16"/>
          <w:szCs w:val="16"/>
          <w:highlight w:val="yellow"/>
        </w:rPr>
      </w:pPr>
      <w:r w:rsidRPr="00A81E04">
        <w:rPr>
          <w:rFonts w:ascii="Arial" w:hAnsi="Arial" w:cs="Arial"/>
          <w:b/>
          <w:i/>
          <w:iCs/>
          <w:sz w:val="16"/>
          <w:szCs w:val="16"/>
          <w:highlight w:val="yellow"/>
        </w:rPr>
        <w:br w:type="page"/>
      </w:r>
    </w:p>
    <w:p w14:paraId="2C24C7F8" w14:textId="681A1A6F" w:rsidR="000D1925" w:rsidRPr="00C42C32" w:rsidRDefault="009B315F" w:rsidP="00E54031">
      <w:pPr>
        <w:pStyle w:val="PanelHeading"/>
      </w:pPr>
      <w:r w:rsidRPr="00C42C32">
        <w:lastRenderedPageBreak/>
        <w:t>APPENDIX C</w:t>
      </w:r>
    </w:p>
    <w:p w14:paraId="3242CDE3" w14:textId="549C331E" w:rsidR="000D1925" w:rsidRPr="00C42C32" w:rsidRDefault="000D1925" w:rsidP="00E54031">
      <w:pPr>
        <w:pStyle w:val="PanelHeading"/>
      </w:pPr>
      <w:bookmarkStart w:id="48" w:name="_Hlk188269742"/>
      <w:r w:rsidRPr="00C42C32">
        <w:t>Section</w:t>
      </w:r>
      <w:r w:rsidR="00F7017D" w:rsidRPr="00C42C32">
        <w:t xml:space="preserve"> </w:t>
      </w:r>
      <w:r w:rsidRPr="00C42C32">
        <w:t xml:space="preserve">25 Report of the </w:t>
      </w:r>
      <w:r w:rsidR="00F21CDC" w:rsidRPr="00C42C32">
        <w:t xml:space="preserve">PFCC </w:t>
      </w:r>
      <w:r w:rsidRPr="00C42C32">
        <w:t xml:space="preserve">Section 151 Chief Finance Officer </w:t>
      </w:r>
    </w:p>
    <w:p w14:paraId="44040708" w14:textId="61E79B5D" w:rsidR="00357925" w:rsidRPr="00C42C32" w:rsidRDefault="00357925" w:rsidP="00357925">
      <w:pPr>
        <w:spacing w:line="240" w:lineRule="auto"/>
        <w:jc w:val="both"/>
        <w:rPr>
          <w:rFonts w:asciiTheme="minorHAnsi" w:hAnsiTheme="minorHAnsi" w:cs="Arial"/>
          <w:i/>
          <w:sz w:val="24"/>
          <w:szCs w:val="24"/>
        </w:rPr>
      </w:pPr>
      <w:bookmarkStart w:id="49" w:name="_Hlk156834332"/>
      <w:bookmarkEnd w:id="48"/>
      <w:r w:rsidRPr="00C42C32">
        <w:rPr>
          <w:rFonts w:asciiTheme="minorHAnsi" w:hAnsiTheme="minorHAnsi" w:cs="Arial"/>
          <w:i/>
          <w:sz w:val="24"/>
          <w:szCs w:val="24"/>
        </w:rPr>
        <w:t>“</w:t>
      </w:r>
      <w:r w:rsidR="005B4FDE" w:rsidRPr="00C42C32">
        <w:rPr>
          <w:rFonts w:asciiTheme="minorHAnsi" w:hAnsiTheme="minorHAnsi" w:cs="Arial"/>
          <w:i/>
          <w:sz w:val="24"/>
          <w:szCs w:val="24"/>
        </w:rPr>
        <w:t>I have worked</w:t>
      </w:r>
      <w:r w:rsidRPr="00C42C32">
        <w:rPr>
          <w:rFonts w:asciiTheme="minorHAnsi" w:hAnsiTheme="minorHAnsi" w:cs="Arial"/>
          <w:i/>
          <w:sz w:val="24"/>
          <w:szCs w:val="24"/>
        </w:rPr>
        <w:t xml:space="preserve"> closely with the Force </w:t>
      </w:r>
      <w:r w:rsidR="00C42C32" w:rsidRPr="00C42C32">
        <w:rPr>
          <w:rFonts w:asciiTheme="minorHAnsi" w:hAnsiTheme="minorHAnsi" w:cs="Arial"/>
          <w:i/>
          <w:sz w:val="24"/>
          <w:szCs w:val="24"/>
        </w:rPr>
        <w:t>s</w:t>
      </w:r>
      <w:r w:rsidRPr="00C42C32">
        <w:rPr>
          <w:rFonts w:asciiTheme="minorHAnsi" w:hAnsiTheme="minorHAnsi" w:cs="Arial"/>
          <w:i/>
          <w:sz w:val="24"/>
          <w:szCs w:val="24"/>
        </w:rPr>
        <w:t>151 Officer and the Joint Finance</w:t>
      </w:r>
      <w:r w:rsidR="00E54031" w:rsidRPr="00C42C32">
        <w:rPr>
          <w:rFonts w:asciiTheme="minorHAnsi" w:hAnsiTheme="minorHAnsi" w:cs="Arial"/>
          <w:i/>
          <w:sz w:val="24"/>
          <w:szCs w:val="24"/>
        </w:rPr>
        <w:t xml:space="preserve"> Team</w:t>
      </w:r>
      <w:r w:rsidR="005B4FDE" w:rsidRPr="00C42C32">
        <w:rPr>
          <w:rFonts w:asciiTheme="minorHAnsi" w:hAnsiTheme="minorHAnsi" w:cs="Arial"/>
          <w:i/>
          <w:sz w:val="24"/>
          <w:szCs w:val="24"/>
        </w:rPr>
        <w:t xml:space="preserve"> and</w:t>
      </w:r>
      <w:r w:rsidRPr="00C42C32">
        <w:rPr>
          <w:rFonts w:asciiTheme="minorHAnsi" w:hAnsiTheme="minorHAnsi" w:cs="Arial"/>
          <w:i/>
          <w:sz w:val="24"/>
          <w:szCs w:val="24"/>
        </w:rPr>
        <w:t xml:space="preserve"> have been assured by </w:t>
      </w:r>
      <w:r w:rsidR="005B4FDE" w:rsidRPr="00C42C32">
        <w:rPr>
          <w:rFonts w:asciiTheme="minorHAnsi" w:hAnsiTheme="minorHAnsi" w:cs="Arial"/>
          <w:i/>
          <w:sz w:val="24"/>
          <w:szCs w:val="24"/>
        </w:rPr>
        <w:t>their robust and diligent approach to the 202</w:t>
      </w:r>
      <w:r w:rsidR="00C42C32" w:rsidRPr="00C42C32">
        <w:rPr>
          <w:rFonts w:asciiTheme="minorHAnsi" w:hAnsiTheme="minorHAnsi" w:cs="Arial"/>
          <w:i/>
          <w:sz w:val="24"/>
          <w:szCs w:val="24"/>
        </w:rPr>
        <w:t>5</w:t>
      </w:r>
      <w:r w:rsidR="005B4FDE" w:rsidRPr="00C42C32">
        <w:rPr>
          <w:rFonts w:asciiTheme="minorHAnsi" w:hAnsiTheme="minorHAnsi" w:cs="Arial"/>
          <w:i/>
          <w:sz w:val="24"/>
          <w:szCs w:val="24"/>
        </w:rPr>
        <w:t>/2</w:t>
      </w:r>
      <w:r w:rsidR="00C42C32" w:rsidRPr="00C42C32">
        <w:rPr>
          <w:rFonts w:asciiTheme="minorHAnsi" w:hAnsiTheme="minorHAnsi" w:cs="Arial"/>
          <w:i/>
          <w:sz w:val="24"/>
          <w:szCs w:val="24"/>
        </w:rPr>
        <w:t>6</w:t>
      </w:r>
      <w:r w:rsidR="005B4FDE" w:rsidRPr="00C42C32">
        <w:rPr>
          <w:rFonts w:asciiTheme="minorHAnsi" w:hAnsiTheme="minorHAnsi" w:cs="Arial"/>
          <w:i/>
          <w:sz w:val="24"/>
          <w:szCs w:val="24"/>
        </w:rPr>
        <w:t xml:space="preserve"> budget setting process.  </w:t>
      </w:r>
      <w:r w:rsidRPr="00C42C32">
        <w:rPr>
          <w:rFonts w:asciiTheme="minorHAnsi" w:hAnsiTheme="minorHAnsi" w:cs="Arial"/>
          <w:i/>
          <w:sz w:val="24"/>
          <w:szCs w:val="24"/>
        </w:rPr>
        <w:t>I am grateful for their hard work, scrutiny and challenge throughout</w:t>
      </w:r>
      <w:r w:rsidR="005B4FDE" w:rsidRPr="00C42C32">
        <w:rPr>
          <w:rFonts w:asciiTheme="minorHAnsi" w:hAnsiTheme="minorHAnsi" w:cs="Arial"/>
          <w:i/>
          <w:sz w:val="24"/>
          <w:szCs w:val="24"/>
        </w:rPr>
        <w:t>,</w:t>
      </w:r>
      <w:r w:rsidRPr="00C42C32">
        <w:rPr>
          <w:rFonts w:asciiTheme="minorHAnsi" w:hAnsiTheme="minorHAnsi" w:cs="Arial"/>
          <w:i/>
          <w:sz w:val="24"/>
          <w:szCs w:val="24"/>
        </w:rPr>
        <w:t xml:space="preserve"> and am </w:t>
      </w:r>
      <w:r w:rsidR="005B4FDE" w:rsidRPr="00C42C32">
        <w:rPr>
          <w:rFonts w:asciiTheme="minorHAnsi" w:hAnsiTheme="minorHAnsi" w:cs="Arial"/>
          <w:i/>
          <w:sz w:val="24"/>
          <w:szCs w:val="24"/>
        </w:rPr>
        <w:t>impressed</w:t>
      </w:r>
      <w:r w:rsidRPr="00C42C32">
        <w:rPr>
          <w:rFonts w:asciiTheme="minorHAnsi" w:hAnsiTheme="minorHAnsi" w:cs="Arial"/>
          <w:i/>
          <w:sz w:val="24"/>
          <w:szCs w:val="24"/>
        </w:rPr>
        <w:t xml:space="preserve"> by how they continue to take </w:t>
      </w:r>
      <w:r w:rsidR="005B4FDE" w:rsidRPr="00C42C32">
        <w:rPr>
          <w:rFonts w:asciiTheme="minorHAnsi" w:hAnsiTheme="minorHAnsi" w:cs="Arial"/>
          <w:i/>
          <w:sz w:val="24"/>
          <w:szCs w:val="24"/>
        </w:rPr>
        <w:t>ownership</w:t>
      </w:r>
      <w:r w:rsidRPr="00C42C32">
        <w:rPr>
          <w:rFonts w:asciiTheme="minorHAnsi" w:hAnsiTheme="minorHAnsi" w:cs="Arial"/>
          <w:i/>
          <w:sz w:val="24"/>
          <w:szCs w:val="24"/>
        </w:rPr>
        <w:t xml:space="preserve"> and make improvements every year.</w:t>
      </w:r>
    </w:p>
    <w:p w14:paraId="698EA621" w14:textId="77777777" w:rsidR="00357925" w:rsidRPr="00C42C32" w:rsidRDefault="00357925" w:rsidP="00357925">
      <w:pPr>
        <w:spacing w:line="240" w:lineRule="auto"/>
        <w:jc w:val="both"/>
        <w:rPr>
          <w:rFonts w:asciiTheme="minorHAnsi" w:hAnsiTheme="minorHAnsi" w:cs="Arial"/>
          <w:i/>
          <w:sz w:val="24"/>
          <w:szCs w:val="24"/>
        </w:rPr>
      </w:pPr>
    </w:p>
    <w:p w14:paraId="4C2C9143" w14:textId="64B40187" w:rsidR="00357925" w:rsidRPr="00C42C32" w:rsidRDefault="00357925" w:rsidP="00357925">
      <w:pPr>
        <w:spacing w:line="240" w:lineRule="auto"/>
        <w:jc w:val="both"/>
        <w:rPr>
          <w:rFonts w:asciiTheme="minorHAnsi" w:hAnsiTheme="minorHAnsi" w:cs="Arial"/>
          <w:i/>
          <w:sz w:val="24"/>
          <w:szCs w:val="24"/>
        </w:rPr>
      </w:pPr>
      <w:r w:rsidRPr="00C42C32">
        <w:rPr>
          <w:rFonts w:asciiTheme="minorHAnsi" w:hAnsiTheme="minorHAnsi" w:cs="Arial"/>
          <w:i/>
          <w:sz w:val="24"/>
          <w:szCs w:val="24"/>
        </w:rPr>
        <w:t xml:space="preserve">I have been fully briefed on the progress of the budget by </w:t>
      </w:r>
      <w:r w:rsidR="005B4FDE" w:rsidRPr="00C42C32">
        <w:rPr>
          <w:rFonts w:asciiTheme="minorHAnsi" w:hAnsiTheme="minorHAnsi" w:cs="Arial"/>
          <w:i/>
          <w:sz w:val="24"/>
          <w:szCs w:val="24"/>
        </w:rPr>
        <w:t>colleagues</w:t>
      </w:r>
      <w:r w:rsidRPr="00C42C32">
        <w:rPr>
          <w:rFonts w:asciiTheme="minorHAnsi" w:hAnsiTheme="minorHAnsi" w:cs="Arial"/>
          <w:i/>
          <w:sz w:val="24"/>
          <w:szCs w:val="24"/>
        </w:rPr>
        <w:t xml:space="preserve"> prior to and throughout the budget process and development of the capital programme, ensuring I have been party to all key assumptions and decisions. </w:t>
      </w:r>
      <w:r w:rsidR="005B4FDE" w:rsidRPr="00C42C32">
        <w:rPr>
          <w:rFonts w:asciiTheme="minorHAnsi" w:hAnsiTheme="minorHAnsi" w:cs="Arial"/>
          <w:i/>
          <w:sz w:val="24"/>
          <w:szCs w:val="24"/>
        </w:rPr>
        <w:t xml:space="preserve"> </w:t>
      </w:r>
      <w:r w:rsidRPr="00C42C32">
        <w:rPr>
          <w:rFonts w:asciiTheme="minorHAnsi" w:hAnsiTheme="minorHAnsi" w:cs="Arial"/>
          <w:i/>
          <w:sz w:val="24"/>
          <w:szCs w:val="24"/>
        </w:rPr>
        <w:t xml:space="preserve">Prudent </w:t>
      </w:r>
      <w:r w:rsidR="005B4FDE" w:rsidRPr="00C42C32">
        <w:rPr>
          <w:rFonts w:asciiTheme="minorHAnsi" w:hAnsiTheme="minorHAnsi" w:cs="Arial"/>
          <w:i/>
          <w:sz w:val="24"/>
          <w:szCs w:val="24"/>
        </w:rPr>
        <w:t xml:space="preserve">evidence-based </w:t>
      </w:r>
      <w:r w:rsidRPr="00C42C32">
        <w:rPr>
          <w:rFonts w:asciiTheme="minorHAnsi" w:hAnsiTheme="minorHAnsi" w:cs="Arial"/>
          <w:i/>
          <w:sz w:val="24"/>
          <w:szCs w:val="24"/>
        </w:rPr>
        <w:t xml:space="preserve">estimates and assumptions included have been based on professional estimates, peer knowledge and </w:t>
      </w:r>
      <w:r w:rsidR="005B4FDE" w:rsidRPr="00C42C32">
        <w:rPr>
          <w:rFonts w:asciiTheme="minorHAnsi" w:hAnsiTheme="minorHAnsi" w:cs="Arial"/>
          <w:i/>
          <w:sz w:val="24"/>
          <w:szCs w:val="24"/>
        </w:rPr>
        <w:t>benchmarking.</w:t>
      </w:r>
      <w:r w:rsidRPr="00C42C32">
        <w:rPr>
          <w:rFonts w:asciiTheme="minorHAnsi" w:hAnsiTheme="minorHAnsi" w:cs="Arial"/>
          <w:i/>
          <w:sz w:val="24"/>
          <w:szCs w:val="24"/>
        </w:rPr>
        <w:t xml:space="preserve"> </w:t>
      </w:r>
      <w:r w:rsidR="005B4FDE" w:rsidRPr="00C42C32">
        <w:rPr>
          <w:rFonts w:asciiTheme="minorHAnsi" w:hAnsiTheme="minorHAnsi" w:cs="Arial"/>
          <w:i/>
          <w:sz w:val="24"/>
          <w:szCs w:val="24"/>
        </w:rPr>
        <w:t xml:space="preserve"> </w:t>
      </w:r>
      <w:r w:rsidRPr="00C42C32">
        <w:rPr>
          <w:rFonts w:asciiTheme="minorHAnsi" w:hAnsiTheme="minorHAnsi" w:cs="Arial"/>
          <w:i/>
          <w:sz w:val="24"/>
          <w:szCs w:val="24"/>
        </w:rPr>
        <w:t xml:space="preserve">Where possible, I have aligned these with national </w:t>
      </w:r>
      <w:r w:rsidR="00CA56D7">
        <w:rPr>
          <w:rFonts w:asciiTheme="minorHAnsi" w:hAnsiTheme="minorHAnsi" w:cs="Arial"/>
          <w:i/>
          <w:sz w:val="24"/>
          <w:szCs w:val="24"/>
        </w:rPr>
        <w:t>f</w:t>
      </w:r>
      <w:r w:rsidRPr="00C42C32">
        <w:rPr>
          <w:rFonts w:asciiTheme="minorHAnsi" w:hAnsiTheme="minorHAnsi" w:cs="Arial"/>
          <w:i/>
          <w:sz w:val="24"/>
          <w:szCs w:val="24"/>
        </w:rPr>
        <w:t xml:space="preserve">ire, </w:t>
      </w:r>
      <w:r w:rsidR="00CA56D7">
        <w:rPr>
          <w:rFonts w:asciiTheme="minorHAnsi" w:hAnsiTheme="minorHAnsi" w:cs="Arial"/>
          <w:i/>
          <w:sz w:val="24"/>
          <w:szCs w:val="24"/>
        </w:rPr>
        <w:t>p</w:t>
      </w:r>
      <w:r w:rsidRPr="00C42C32">
        <w:rPr>
          <w:rFonts w:asciiTheme="minorHAnsi" w:hAnsiTheme="minorHAnsi" w:cs="Arial"/>
          <w:i/>
          <w:sz w:val="24"/>
          <w:szCs w:val="24"/>
        </w:rPr>
        <w:t>olice</w:t>
      </w:r>
      <w:r w:rsidR="00656A64" w:rsidRPr="00C42C32">
        <w:rPr>
          <w:rFonts w:asciiTheme="minorHAnsi" w:hAnsiTheme="minorHAnsi" w:cs="Arial"/>
          <w:i/>
          <w:sz w:val="24"/>
          <w:szCs w:val="24"/>
        </w:rPr>
        <w:t>,</w:t>
      </w:r>
      <w:r w:rsidRPr="00C42C32">
        <w:rPr>
          <w:rFonts w:asciiTheme="minorHAnsi" w:hAnsiTheme="minorHAnsi" w:cs="Arial"/>
          <w:i/>
          <w:sz w:val="24"/>
          <w:szCs w:val="24"/>
        </w:rPr>
        <w:t xml:space="preserve"> </w:t>
      </w:r>
      <w:r w:rsidR="00656A64" w:rsidRPr="00C42C32">
        <w:rPr>
          <w:rFonts w:asciiTheme="minorHAnsi" w:hAnsiTheme="minorHAnsi" w:cs="Arial"/>
          <w:i/>
          <w:sz w:val="24"/>
          <w:szCs w:val="24"/>
        </w:rPr>
        <w:t>l</w:t>
      </w:r>
      <w:r w:rsidRPr="00C42C32">
        <w:rPr>
          <w:rFonts w:asciiTheme="minorHAnsi" w:hAnsiTheme="minorHAnsi" w:cs="Arial"/>
          <w:i/>
          <w:sz w:val="24"/>
          <w:szCs w:val="24"/>
        </w:rPr>
        <w:t xml:space="preserve">ocal </w:t>
      </w:r>
      <w:r w:rsidR="00656A64" w:rsidRPr="00C42C32">
        <w:rPr>
          <w:rFonts w:asciiTheme="minorHAnsi" w:hAnsiTheme="minorHAnsi" w:cs="Arial"/>
          <w:i/>
          <w:sz w:val="24"/>
          <w:szCs w:val="24"/>
        </w:rPr>
        <w:t xml:space="preserve">authority </w:t>
      </w:r>
      <w:r w:rsidRPr="00C42C32">
        <w:rPr>
          <w:rFonts w:asciiTheme="minorHAnsi" w:hAnsiTheme="minorHAnsi" w:cs="Arial"/>
          <w:i/>
          <w:sz w:val="24"/>
          <w:szCs w:val="24"/>
        </w:rPr>
        <w:t>and</w:t>
      </w:r>
      <w:r w:rsidR="00280E6A" w:rsidRPr="00C42C32">
        <w:rPr>
          <w:rFonts w:asciiTheme="minorHAnsi" w:hAnsiTheme="minorHAnsi" w:cs="Arial"/>
          <w:i/>
          <w:sz w:val="24"/>
          <w:szCs w:val="24"/>
        </w:rPr>
        <w:t xml:space="preserve"> national</w:t>
      </w:r>
      <w:r w:rsidRPr="00C42C32">
        <w:rPr>
          <w:rFonts w:asciiTheme="minorHAnsi" w:hAnsiTheme="minorHAnsi" w:cs="Arial"/>
          <w:i/>
          <w:sz w:val="24"/>
          <w:szCs w:val="24"/>
        </w:rPr>
        <w:t xml:space="preserve"> technical</w:t>
      </w:r>
      <w:r w:rsidR="00280E6A" w:rsidRPr="00C42C32">
        <w:rPr>
          <w:rFonts w:asciiTheme="minorHAnsi" w:hAnsiTheme="minorHAnsi" w:cs="Arial"/>
          <w:i/>
          <w:sz w:val="24"/>
          <w:szCs w:val="24"/>
        </w:rPr>
        <w:t xml:space="preserve"> team</w:t>
      </w:r>
      <w:r w:rsidRPr="00C42C32">
        <w:rPr>
          <w:rFonts w:asciiTheme="minorHAnsi" w:hAnsiTheme="minorHAnsi" w:cs="Arial"/>
          <w:i/>
          <w:sz w:val="24"/>
          <w:szCs w:val="24"/>
        </w:rPr>
        <w:t xml:space="preserve"> </w:t>
      </w:r>
      <w:r w:rsidR="00280E6A" w:rsidRPr="00C42C32">
        <w:rPr>
          <w:rFonts w:asciiTheme="minorHAnsi" w:hAnsiTheme="minorHAnsi" w:cs="Arial"/>
          <w:i/>
          <w:sz w:val="24"/>
          <w:szCs w:val="24"/>
        </w:rPr>
        <w:t>c</w:t>
      </w:r>
      <w:r w:rsidRPr="00C42C32">
        <w:rPr>
          <w:rFonts w:asciiTheme="minorHAnsi" w:hAnsiTheme="minorHAnsi" w:cs="Arial"/>
          <w:i/>
          <w:sz w:val="24"/>
          <w:szCs w:val="24"/>
        </w:rPr>
        <w:t xml:space="preserve">olleagues. </w:t>
      </w:r>
    </w:p>
    <w:p w14:paraId="0A60DE89" w14:textId="77777777" w:rsidR="005857F1" w:rsidRPr="00C42C32" w:rsidRDefault="005857F1" w:rsidP="00357925">
      <w:pPr>
        <w:spacing w:line="240" w:lineRule="auto"/>
        <w:jc w:val="both"/>
        <w:rPr>
          <w:rFonts w:asciiTheme="minorHAnsi" w:hAnsiTheme="minorHAnsi" w:cs="Arial"/>
          <w:i/>
          <w:sz w:val="24"/>
          <w:szCs w:val="24"/>
        </w:rPr>
      </w:pPr>
    </w:p>
    <w:p w14:paraId="09F2D5E2" w14:textId="68AB96AB" w:rsidR="00357925" w:rsidRPr="00C42C32" w:rsidRDefault="005857F1" w:rsidP="0003142E">
      <w:pPr>
        <w:spacing w:line="240" w:lineRule="auto"/>
        <w:jc w:val="both"/>
        <w:rPr>
          <w:rFonts w:asciiTheme="minorHAnsi" w:hAnsiTheme="minorHAnsi" w:cstheme="minorHAnsi"/>
          <w:i/>
          <w:sz w:val="24"/>
          <w:szCs w:val="24"/>
        </w:rPr>
      </w:pPr>
      <w:r w:rsidRPr="00C42C32">
        <w:rPr>
          <w:rFonts w:asciiTheme="minorHAnsi" w:hAnsiTheme="minorHAnsi" w:cstheme="minorHAnsi"/>
          <w:i/>
          <w:sz w:val="24"/>
          <w:szCs w:val="24"/>
        </w:rPr>
        <w:t xml:space="preserve">I have reviewed the detailed calculations in arriving at the budget requirement and Council Tax precept and find these to be robust. </w:t>
      </w:r>
      <w:r w:rsidR="00C42C32">
        <w:rPr>
          <w:rFonts w:asciiTheme="minorHAnsi" w:hAnsiTheme="minorHAnsi" w:cstheme="minorHAnsi"/>
          <w:i/>
          <w:sz w:val="24"/>
          <w:szCs w:val="24"/>
        </w:rPr>
        <w:t xml:space="preserve"> </w:t>
      </w:r>
      <w:r w:rsidRPr="00C42C32">
        <w:rPr>
          <w:rFonts w:asciiTheme="minorHAnsi" w:hAnsiTheme="minorHAnsi" w:cstheme="minorHAnsi"/>
          <w:i/>
          <w:sz w:val="24"/>
          <w:szCs w:val="24"/>
        </w:rPr>
        <w:t xml:space="preserve">I also have sought and received authorisations from billing authorities in relation to taxbase and Council Tax surplus/deficits and I am grateful to all partners for their support in doing so.  </w:t>
      </w:r>
    </w:p>
    <w:p w14:paraId="3012E8BE" w14:textId="77777777" w:rsidR="005857F1" w:rsidRPr="00C42C32" w:rsidRDefault="005857F1" w:rsidP="0003142E">
      <w:pPr>
        <w:spacing w:line="240" w:lineRule="auto"/>
        <w:jc w:val="both"/>
        <w:rPr>
          <w:rFonts w:asciiTheme="minorHAnsi" w:hAnsiTheme="minorHAnsi" w:cstheme="minorHAnsi"/>
          <w:b/>
          <w:sz w:val="24"/>
          <w:szCs w:val="24"/>
          <w:u w:val="single"/>
        </w:rPr>
      </w:pPr>
    </w:p>
    <w:p w14:paraId="47E13F54" w14:textId="1613C83C" w:rsidR="000D1925" w:rsidRPr="00E7492D" w:rsidRDefault="000D1925" w:rsidP="0003142E">
      <w:pPr>
        <w:spacing w:line="240" w:lineRule="auto"/>
        <w:jc w:val="both"/>
        <w:rPr>
          <w:rFonts w:asciiTheme="minorHAnsi" w:hAnsiTheme="minorHAnsi" w:cstheme="minorHAnsi"/>
          <w:i/>
          <w:sz w:val="24"/>
          <w:szCs w:val="24"/>
        </w:rPr>
      </w:pPr>
      <w:r w:rsidRPr="00E7492D">
        <w:rPr>
          <w:rFonts w:asciiTheme="minorHAnsi" w:hAnsiTheme="minorHAnsi" w:cstheme="minorHAnsi"/>
          <w:i/>
          <w:sz w:val="24"/>
          <w:szCs w:val="24"/>
        </w:rPr>
        <w:t>The PFCC’s precept intention of £1</w:t>
      </w:r>
      <w:r w:rsidR="00E7492D" w:rsidRPr="00E7492D">
        <w:rPr>
          <w:rFonts w:asciiTheme="minorHAnsi" w:hAnsiTheme="minorHAnsi" w:cstheme="minorHAnsi"/>
          <w:i/>
          <w:sz w:val="24"/>
          <w:szCs w:val="24"/>
        </w:rPr>
        <w:t>4</w:t>
      </w:r>
      <w:r w:rsidRPr="00E7492D">
        <w:rPr>
          <w:rFonts w:asciiTheme="minorHAnsi" w:hAnsiTheme="minorHAnsi" w:cstheme="minorHAnsi"/>
          <w:i/>
          <w:sz w:val="24"/>
          <w:szCs w:val="24"/>
        </w:rPr>
        <w:t xml:space="preserve"> takes into account public consultation alongside prudent assumptions based on the best information available, the MTFP and the reserves position</w:t>
      </w:r>
      <w:r w:rsidR="00656A64" w:rsidRPr="00E7492D">
        <w:rPr>
          <w:rFonts w:asciiTheme="minorHAnsi" w:hAnsiTheme="minorHAnsi" w:cstheme="minorHAnsi"/>
          <w:i/>
          <w:sz w:val="24"/>
          <w:szCs w:val="24"/>
        </w:rPr>
        <w:t>,</w:t>
      </w:r>
      <w:r w:rsidRPr="00E7492D">
        <w:rPr>
          <w:rFonts w:asciiTheme="minorHAnsi" w:hAnsiTheme="minorHAnsi" w:cstheme="minorHAnsi"/>
          <w:i/>
          <w:sz w:val="24"/>
          <w:szCs w:val="24"/>
        </w:rPr>
        <w:t xml:space="preserve"> and still enables an element to be ring</w:t>
      </w:r>
      <w:r w:rsidR="00280E6A" w:rsidRPr="00E7492D">
        <w:rPr>
          <w:rFonts w:asciiTheme="minorHAnsi" w:hAnsiTheme="minorHAnsi" w:cstheme="minorHAnsi"/>
          <w:i/>
          <w:sz w:val="24"/>
          <w:szCs w:val="24"/>
        </w:rPr>
        <w:t>-</w:t>
      </w:r>
      <w:r w:rsidRPr="00E7492D">
        <w:rPr>
          <w:rFonts w:asciiTheme="minorHAnsi" w:hAnsiTheme="minorHAnsi" w:cstheme="minorHAnsi"/>
          <w:i/>
          <w:sz w:val="24"/>
          <w:szCs w:val="24"/>
        </w:rPr>
        <w:t>fenced for investment</w:t>
      </w:r>
      <w:r w:rsidR="00F7017D" w:rsidRPr="00E7492D">
        <w:rPr>
          <w:rFonts w:asciiTheme="minorHAnsi" w:hAnsiTheme="minorHAnsi" w:cstheme="minorHAnsi"/>
          <w:i/>
          <w:sz w:val="24"/>
          <w:szCs w:val="24"/>
        </w:rPr>
        <w:t>.</w:t>
      </w:r>
    </w:p>
    <w:bookmarkEnd w:id="49"/>
    <w:p w14:paraId="27474665" w14:textId="77777777" w:rsidR="000D1925" w:rsidRPr="00E7492D" w:rsidRDefault="000D1925" w:rsidP="0003142E">
      <w:pPr>
        <w:spacing w:line="240" w:lineRule="auto"/>
        <w:jc w:val="both"/>
        <w:rPr>
          <w:rFonts w:asciiTheme="minorHAnsi" w:hAnsiTheme="minorHAnsi" w:cstheme="minorHAnsi"/>
          <w:i/>
          <w:sz w:val="24"/>
          <w:szCs w:val="24"/>
        </w:rPr>
      </w:pPr>
    </w:p>
    <w:p w14:paraId="7464521A" w14:textId="67A0CE16" w:rsidR="000D1925" w:rsidRPr="00E7492D" w:rsidRDefault="000D1925" w:rsidP="0003142E">
      <w:pPr>
        <w:spacing w:line="240" w:lineRule="auto"/>
        <w:jc w:val="both"/>
        <w:rPr>
          <w:rFonts w:asciiTheme="minorHAnsi" w:hAnsiTheme="minorHAnsi" w:cstheme="minorHAnsi"/>
          <w:i/>
          <w:sz w:val="24"/>
          <w:szCs w:val="24"/>
        </w:rPr>
      </w:pPr>
      <w:r w:rsidRPr="00E7492D">
        <w:rPr>
          <w:rFonts w:asciiTheme="minorHAnsi" w:hAnsiTheme="minorHAnsi" w:cstheme="minorHAnsi"/>
          <w:i/>
          <w:sz w:val="24"/>
          <w:szCs w:val="24"/>
        </w:rPr>
        <w:t xml:space="preserve">The </w:t>
      </w:r>
      <w:r w:rsidR="00696B85" w:rsidRPr="00E7492D">
        <w:rPr>
          <w:rFonts w:asciiTheme="minorHAnsi" w:hAnsiTheme="minorHAnsi" w:cstheme="minorHAnsi"/>
          <w:i/>
          <w:sz w:val="24"/>
          <w:szCs w:val="24"/>
        </w:rPr>
        <w:t xml:space="preserve">Chief Constable </w:t>
      </w:r>
      <w:r w:rsidRPr="00E7492D">
        <w:rPr>
          <w:rFonts w:asciiTheme="minorHAnsi" w:hAnsiTheme="minorHAnsi" w:cstheme="minorHAnsi"/>
          <w:i/>
          <w:sz w:val="24"/>
          <w:szCs w:val="24"/>
        </w:rPr>
        <w:t xml:space="preserve">and his team have been fully involved in the budget discussions and have discussed revenue and capital requirements for </w:t>
      </w:r>
      <w:r w:rsidR="00220144" w:rsidRPr="00E7492D">
        <w:rPr>
          <w:rFonts w:asciiTheme="minorHAnsi" w:hAnsiTheme="minorHAnsi" w:cstheme="minorHAnsi"/>
          <w:i/>
          <w:sz w:val="24"/>
          <w:szCs w:val="24"/>
        </w:rPr>
        <w:t>202</w:t>
      </w:r>
      <w:r w:rsidR="00E7492D" w:rsidRPr="00E7492D">
        <w:rPr>
          <w:rFonts w:asciiTheme="minorHAnsi" w:hAnsiTheme="minorHAnsi" w:cstheme="minorHAnsi"/>
          <w:i/>
          <w:sz w:val="24"/>
          <w:szCs w:val="24"/>
        </w:rPr>
        <w:t>5</w:t>
      </w:r>
      <w:r w:rsidR="00220144" w:rsidRPr="00E7492D">
        <w:rPr>
          <w:rFonts w:asciiTheme="minorHAnsi" w:hAnsiTheme="minorHAnsi" w:cstheme="minorHAnsi"/>
          <w:i/>
          <w:sz w:val="24"/>
          <w:szCs w:val="24"/>
        </w:rPr>
        <w:t>/2</w:t>
      </w:r>
      <w:r w:rsidR="00E7492D" w:rsidRPr="00E7492D">
        <w:rPr>
          <w:rFonts w:asciiTheme="minorHAnsi" w:hAnsiTheme="minorHAnsi" w:cstheme="minorHAnsi"/>
          <w:i/>
          <w:sz w:val="24"/>
          <w:szCs w:val="24"/>
        </w:rPr>
        <w:t>6</w:t>
      </w:r>
      <w:r w:rsidRPr="00E7492D">
        <w:rPr>
          <w:rFonts w:asciiTheme="minorHAnsi" w:hAnsiTheme="minorHAnsi" w:cstheme="minorHAnsi"/>
          <w:i/>
          <w:sz w:val="24"/>
          <w:szCs w:val="24"/>
        </w:rPr>
        <w:t xml:space="preserve"> and future years with the PFCC. </w:t>
      </w:r>
    </w:p>
    <w:p w14:paraId="47AE9F3D" w14:textId="77777777" w:rsidR="000D1925" w:rsidRPr="00E7492D" w:rsidRDefault="000D1925" w:rsidP="0003142E">
      <w:pPr>
        <w:spacing w:line="240" w:lineRule="auto"/>
        <w:jc w:val="both"/>
        <w:rPr>
          <w:rFonts w:asciiTheme="minorHAnsi" w:hAnsiTheme="minorHAnsi" w:cstheme="minorHAnsi"/>
          <w:i/>
          <w:sz w:val="24"/>
          <w:szCs w:val="24"/>
        </w:rPr>
      </w:pPr>
    </w:p>
    <w:p w14:paraId="1C6B3D2D" w14:textId="4CFCD7B8" w:rsidR="000D1925" w:rsidRPr="00E7492D" w:rsidRDefault="000D1925" w:rsidP="0003142E">
      <w:pPr>
        <w:spacing w:line="240" w:lineRule="auto"/>
        <w:jc w:val="both"/>
        <w:rPr>
          <w:rFonts w:asciiTheme="minorHAnsi" w:hAnsiTheme="minorHAnsi" w:cstheme="minorHAnsi"/>
          <w:i/>
          <w:sz w:val="24"/>
          <w:szCs w:val="24"/>
        </w:rPr>
      </w:pPr>
      <w:r w:rsidRPr="00E7492D">
        <w:rPr>
          <w:rFonts w:asciiTheme="minorHAnsi" w:hAnsiTheme="minorHAnsi" w:cstheme="minorHAnsi"/>
          <w:i/>
          <w:sz w:val="24"/>
          <w:szCs w:val="24"/>
        </w:rPr>
        <w:t xml:space="preserve">The budget for </w:t>
      </w:r>
      <w:r w:rsidR="00220144" w:rsidRPr="00E7492D">
        <w:rPr>
          <w:rFonts w:asciiTheme="minorHAnsi" w:hAnsiTheme="minorHAnsi" w:cstheme="minorHAnsi"/>
          <w:i/>
          <w:sz w:val="24"/>
          <w:szCs w:val="24"/>
        </w:rPr>
        <w:t>202</w:t>
      </w:r>
      <w:r w:rsidR="00E7492D" w:rsidRPr="00E7492D">
        <w:rPr>
          <w:rFonts w:asciiTheme="minorHAnsi" w:hAnsiTheme="minorHAnsi" w:cstheme="minorHAnsi"/>
          <w:i/>
          <w:sz w:val="24"/>
          <w:szCs w:val="24"/>
        </w:rPr>
        <w:t>5</w:t>
      </w:r>
      <w:r w:rsidR="00220144" w:rsidRPr="00E7492D">
        <w:rPr>
          <w:rFonts w:asciiTheme="minorHAnsi" w:hAnsiTheme="minorHAnsi" w:cstheme="minorHAnsi"/>
          <w:i/>
          <w:sz w:val="24"/>
          <w:szCs w:val="24"/>
        </w:rPr>
        <w:t>/2</w:t>
      </w:r>
      <w:r w:rsidR="00E7492D" w:rsidRPr="00E7492D">
        <w:rPr>
          <w:rFonts w:asciiTheme="minorHAnsi" w:hAnsiTheme="minorHAnsi" w:cstheme="minorHAnsi"/>
          <w:i/>
          <w:sz w:val="24"/>
          <w:szCs w:val="24"/>
        </w:rPr>
        <w:t>6</w:t>
      </w:r>
      <w:r w:rsidRPr="00E7492D">
        <w:rPr>
          <w:rFonts w:asciiTheme="minorHAnsi" w:hAnsiTheme="minorHAnsi" w:cstheme="minorHAnsi"/>
          <w:i/>
          <w:sz w:val="24"/>
          <w:szCs w:val="24"/>
        </w:rPr>
        <w:t xml:space="preserve"> has been </w:t>
      </w:r>
      <w:r w:rsidR="00656A64" w:rsidRPr="00E7492D">
        <w:rPr>
          <w:rFonts w:asciiTheme="minorHAnsi" w:hAnsiTheme="minorHAnsi" w:cstheme="minorHAnsi"/>
          <w:i/>
          <w:sz w:val="24"/>
          <w:szCs w:val="24"/>
        </w:rPr>
        <w:t xml:space="preserve">created through </w:t>
      </w:r>
      <w:r w:rsidRPr="00E7492D">
        <w:rPr>
          <w:rFonts w:asciiTheme="minorHAnsi" w:hAnsiTheme="minorHAnsi" w:cstheme="minorHAnsi"/>
          <w:i/>
          <w:sz w:val="24"/>
          <w:szCs w:val="24"/>
        </w:rPr>
        <w:t xml:space="preserve">a zero-based budget approach and only previously agreed growth, contractual commitments or unavoidable pressures have been built in. </w:t>
      </w:r>
      <w:r w:rsidR="00280E6A" w:rsidRPr="00E7492D">
        <w:rPr>
          <w:rFonts w:asciiTheme="minorHAnsi" w:hAnsiTheme="minorHAnsi" w:cstheme="minorHAnsi"/>
          <w:i/>
          <w:sz w:val="24"/>
          <w:szCs w:val="24"/>
        </w:rPr>
        <w:t xml:space="preserve"> </w:t>
      </w:r>
      <w:r w:rsidRPr="00E7492D">
        <w:rPr>
          <w:rFonts w:asciiTheme="minorHAnsi" w:hAnsiTheme="minorHAnsi" w:cstheme="minorHAnsi"/>
          <w:i/>
          <w:sz w:val="24"/>
          <w:szCs w:val="24"/>
        </w:rPr>
        <w:t>It is a structured and consistent process and I have received</w:t>
      </w:r>
      <w:r w:rsidR="00280E6A" w:rsidRPr="00E7492D">
        <w:rPr>
          <w:rFonts w:asciiTheme="minorHAnsi" w:hAnsiTheme="minorHAnsi" w:cstheme="minorHAnsi"/>
          <w:i/>
          <w:sz w:val="24"/>
          <w:szCs w:val="24"/>
        </w:rPr>
        <w:t xml:space="preserve"> informative</w:t>
      </w:r>
      <w:r w:rsidRPr="00E7492D">
        <w:rPr>
          <w:rFonts w:asciiTheme="minorHAnsi" w:hAnsiTheme="minorHAnsi" w:cstheme="minorHAnsi"/>
          <w:i/>
          <w:sz w:val="24"/>
          <w:szCs w:val="24"/>
        </w:rPr>
        <w:t xml:space="preserve"> responses to queries and/or points of clarification. </w:t>
      </w:r>
      <w:r w:rsidR="00280E6A" w:rsidRPr="00E7492D">
        <w:rPr>
          <w:rFonts w:asciiTheme="minorHAnsi" w:hAnsiTheme="minorHAnsi" w:cstheme="minorHAnsi"/>
          <w:i/>
          <w:sz w:val="24"/>
          <w:szCs w:val="24"/>
        </w:rPr>
        <w:t xml:space="preserve"> </w:t>
      </w:r>
      <w:r w:rsidRPr="00E7492D">
        <w:rPr>
          <w:rFonts w:asciiTheme="minorHAnsi" w:hAnsiTheme="minorHAnsi" w:cstheme="minorHAnsi"/>
          <w:i/>
          <w:sz w:val="24"/>
          <w:szCs w:val="24"/>
        </w:rPr>
        <w:t>Where I have sought changes, they have been incorporated.</w:t>
      </w:r>
    </w:p>
    <w:p w14:paraId="3A58B619" w14:textId="77777777" w:rsidR="000D1925" w:rsidRPr="00E7492D" w:rsidRDefault="000D1925" w:rsidP="00E7492D">
      <w:pPr>
        <w:spacing w:line="240" w:lineRule="auto"/>
        <w:jc w:val="both"/>
        <w:rPr>
          <w:rFonts w:asciiTheme="minorHAnsi" w:hAnsiTheme="minorHAnsi" w:cstheme="minorHAnsi"/>
          <w:i/>
          <w:sz w:val="24"/>
          <w:szCs w:val="24"/>
        </w:rPr>
      </w:pPr>
    </w:p>
    <w:p w14:paraId="784EBC9D" w14:textId="71614610" w:rsidR="000D1925" w:rsidRPr="00E7492D" w:rsidRDefault="00B4779C" w:rsidP="0003142E">
      <w:pPr>
        <w:spacing w:line="240" w:lineRule="auto"/>
        <w:ind w:hanging="540"/>
        <w:jc w:val="both"/>
        <w:rPr>
          <w:rFonts w:asciiTheme="minorHAnsi" w:hAnsiTheme="minorHAnsi" w:cstheme="minorHAnsi"/>
          <w:i/>
          <w:sz w:val="24"/>
          <w:szCs w:val="24"/>
        </w:rPr>
      </w:pPr>
      <w:r w:rsidRPr="00E7492D">
        <w:rPr>
          <w:rFonts w:asciiTheme="minorHAnsi" w:hAnsiTheme="minorHAnsi" w:cstheme="minorHAnsi"/>
          <w:i/>
          <w:sz w:val="24"/>
          <w:szCs w:val="24"/>
        </w:rPr>
        <w:tab/>
      </w:r>
      <w:r w:rsidR="00357925" w:rsidRPr="00E7492D">
        <w:rPr>
          <w:rFonts w:asciiTheme="minorHAnsi" w:hAnsiTheme="minorHAnsi" w:cstheme="minorHAnsi"/>
          <w:i/>
          <w:sz w:val="24"/>
          <w:szCs w:val="24"/>
        </w:rPr>
        <w:t>As par</w:t>
      </w:r>
      <w:r w:rsidRPr="00E7492D">
        <w:rPr>
          <w:rFonts w:asciiTheme="minorHAnsi" w:hAnsiTheme="minorHAnsi" w:cstheme="minorHAnsi"/>
          <w:i/>
          <w:sz w:val="24"/>
          <w:szCs w:val="24"/>
        </w:rPr>
        <w:t>t</w:t>
      </w:r>
      <w:r w:rsidR="00357925" w:rsidRPr="00E7492D">
        <w:rPr>
          <w:rFonts w:asciiTheme="minorHAnsi" w:hAnsiTheme="minorHAnsi" w:cstheme="minorHAnsi"/>
          <w:i/>
          <w:sz w:val="24"/>
          <w:szCs w:val="24"/>
        </w:rPr>
        <w:t xml:space="preserve"> of the budget proposals, the </w:t>
      </w:r>
      <w:r w:rsidRPr="00E7492D">
        <w:rPr>
          <w:rFonts w:asciiTheme="minorHAnsi" w:hAnsiTheme="minorHAnsi" w:cstheme="minorHAnsi"/>
          <w:i/>
          <w:sz w:val="24"/>
          <w:szCs w:val="24"/>
        </w:rPr>
        <w:t>P</w:t>
      </w:r>
      <w:r w:rsidR="00357925" w:rsidRPr="00E7492D">
        <w:rPr>
          <w:rFonts w:asciiTheme="minorHAnsi" w:hAnsiTheme="minorHAnsi" w:cstheme="minorHAnsi"/>
          <w:i/>
          <w:sz w:val="24"/>
          <w:szCs w:val="24"/>
        </w:rPr>
        <w:t xml:space="preserve">FCC has agreed to investment proposals put forward by the </w:t>
      </w:r>
      <w:r w:rsidR="00696B85" w:rsidRPr="00E7492D">
        <w:rPr>
          <w:rFonts w:asciiTheme="minorHAnsi" w:hAnsiTheme="minorHAnsi" w:cstheme="minorHAnsi"/>
          <w:i/>
          <w:sz w:val="24"/>
          <w:szCs w:val="24"/>
        </w:rPr>
        <w:t>Chief Con</w:t>
      </w:r>
      <w:r w:rsidR="00E32160" w:rsidRPr="00E7492D">
        <w:rPr>
          <w:rFonts w:asciiTheme="minorHAnsi" w:hAnsiTheme="minorHAnsi" w:cstheme="minorHAnsi"/>
          <w:i/>
          <w:sz w:val="24"/>
          <w:szCs w:val="24"/>
        </w:rPr>
        <w:t>s</w:t>
      </w:r>
      <w:r w:rsidR="00696B85" w:rsidRPr="00E7492D">
        <w:rPr>
          <w:rFonts w:asciiTheme="minorHAnsi" w:hAnsiTheme="minorHAnsi" w:cstheme="minorHAnsi"/>
          <w:i/>
          <w:sz w:val="24"/>
          <w:szCs w:val="24"/>
        </w:rPr>
        <w:t>table</w:t>
      </w:r>
      <w:r w:rsidR="00357925" w:rsidRPr="00E7492D">
        <w:rPr>
          <w:rFonts w:asciiTheme="minorHAnsi" w:hAnsiTheme="minorHAnsi" w:cstheme="minorHAnsi"/>
          <w:i/>
          <w:sz w:val="24"/>
          <w:szCs w:val="24"/>
        </w:rPr>
        <w:t>.</w:t>
      </w:r>
      <w:r w:rsidR="00280E6A" w:rsidRPr="00E7492D">
        <w:rPr>
          <w:rFonts w:asciiTheme="minorHAnsi" w:hAnsiTheme="minorHAnsi" w:cstheme="minorHAnsi"/>
          <w:i/>
          <w:sz w:val="24"/>
          <w:szCs w:val="24"/>
        </w:rPr>
        <w:t xml:space="preserve"> </w:t>
      </w:r>
      <w:r w:rsidR="00357925" w:rsidRPr="00E7492D">
        <w:rPr>
          <w:rFonts w:asciiTheme="minorHAnsi" w:hAnsiTheme="minorHAnsi" w:cstheme="minorHAnsi"/>
          <w:i/>
          <w:sz w:val="24"/>
          <w:szCs w:val="24"/>
        </w:rPr>
        <w:t xml:space="preserve"> I will support</w:t>
      </w:r>
      <w:r w:rsidRPr="00E7492D">
        <w:rPr>
          <w:rFonts w:asciiTheme="minorHAnsi" w:hAnsiTheme="minorHAnsi" w:cstheme="minorHAnsi"/>
          <w:i/>
          <w:sz w:val="24"/>
          <w:szCs w:val="24"/>
        </w:rPr>
        <w:t xml:space="preserve"> </w:t>
      </w:r>
      <w:r w:rsidR="00357925" w:rsidRPr="00E7492D">
        <w:rPr>
          <w:rFonts w:asciiTheme="minorHAnsi" w:hAnsiTheme="minorHAnsi" w:cstheme="minorHAnsi"/>
          <w:i/>
          <w:sz w:val="24"/>
          <w:szCs w:val="24"/>
        </w:rPr>
        <w:t>t</w:t>
      </w:r>
      <w:r w:rsidRPr="00E7492D">
        <w:rPr>
          <w:rFonts w:asciiTheme="minorHAnsi" w:hAnsiTheme="minorHAnsi" w:cstheme="minorHAnsi"/>
          <w:i/>
          <w:sz w:val="24"/>
          <w:szCs w:val="24"/>
        </w:rPr>
        <w:t>h</w:t>
      </w:r>
      <w:r w:rsidR="00357925" w:rsidRPr="00E7492D">
        <w:rPr>
          <w:rFonts w:asciiTheme="minorHAnsi" w:hAnsiTheme="minorHAnsi" w:cstheme="minorHAnsi"/>
          <w:i/>
          <w:sz w:val="24"/>
          <w:szCs w:val="24"/>
        </w:rPr>
        <w:t xml:space="preserve">e PFCC in monitoring these agreed investments to ensure they are delivered in accordance with the timescales and </w:t>
      </w:r>
      <w:r w:rsidRPr="00E7492D">
        <w:rPr>
          <w:rFonts w:asciiTheme="minorHAnsi" w:hAnsiTheme="minorHAnsi" w:cstheme="minorHAnsi"/>
          <w:i/>
          <w:sz w:val="24"/>
          <w:szCs w:val="24"/>
        </w:rPr>
        <w:t>financial envelopes agreed.</w:t>
      </w:r>
    </w:p>
    <w:p w14:paraId="7FA6C393" w14:textId="77777777" w:rsidR="000D1925" w:rsidRPr="00E7492D" w:rsidRDefault="000D1925" w:rsidP="0003142E">
      <w:pPr>
        <w:spacing w:line="240" w:lineRule="auto"/>
        <w:ind w:hanging="540"/>
        <w:jc w:val="both"/>
        <w:rPr>
          <w:rFonts w:asciiTheme="minorHAnsi" w:hAnsiTheme="minorHAnsi" w:cstheme="minorHAnsi"/>
          <w:i/>
          <w:sz w:val="24"/>
          <w:szCs w:val="24"/>
        </w:rPr>
      </w:pPr>
    </w:p>
    <w:p w14:paraId="3BA9D803" w14:textId="0DCAAF8B" w:rsidR="000D1925" w:rsidRPr="00E7492D" w:rsidRDefault="000D1925" w:rsidP="0003142E">
      <w:pPr>
        <w:spacing w:line="240" w:lineRule="auto"/>
        <w:ind w:hanging="540"/>
        <w:jc w:val="both"/>
        <w:rPr>
          <w:rFonts w:asciiTheme="minorHAnsi" w:hAnsiTheme="minorHAnsi" w:cstheme="minorHAnsi"/>
          <w:i/>
          <w:sz w:val="24"/>
          <w:szCs w:val="24"/>
        </w:rPr>
      </w:pPr>
      <w:r w:rsidRPr="00E7492D">
        <w:rPr>
          <w:rFonts w:asciiTheme="minorHAnsi" w:hAnsiTheme="minorHAnsi" w:cstheme="minorHAnsi"/>
          <w:i/>
          <w:sz w:val="24"/>
          <w:szCs w:val="24"/>
        </w:rPr>
        <w:tab/>
      </w:r>
      <w:bookmarkStart w:id="50" w:name="_Hlk187333323"/>
      <w:r w:rsidRPr="00E7492D">
        <w:rPr>
          <w:rFonts w:asciiTheme="minorHAnsi" w:hAnsiTheme="minorHAnsi" w:cstheme="minorHAnsi"/>
          <w:i/>
          <w:sz w:val="24"/>
          <w:szCs w:val="24"/>
        </w:rPr>
        <w:t xml:space="preserve">In preparing the MTFP, working with the Force </w:t>
      </w:r>
      <w:r w:rsidR="00E7492D" w:rsidRPr="00E7492D">
        <w:rPr>
          <w:rFonts w:asciiTheme="minorHAnsi" w:hAnsiTheme="minorHAnsi" w:cstheme="minorHAnsi"/>
          <w:i/>
          <w:sz w:val="24"/>
          <w:szCs w:val="24"/>
        </w:rPr>
        <w:t>s</w:t>
      </w:r>
      <w:r w:rsidRPr="00E7492D">
        <w:rPr>
          <w:rFonts w:asciiTheme="minorHAnsi" w:hAnsiTheme="minorHAnsi" w:cstheme="minorHAnsi"/>
          <w:i/>
          <w:sz w:val="24"/>
          <w:szCs w:val="24"/>
        </w:rPr>
        <w:t>151 Officer</w:t>
      </w:r>
      <w:r w:rsidR="00656A64" w:rsidRPr="00E7492D">
        <w:rPr>
          <w:rFonts w:asciiTheme="minorHAnsi" w:hAnsiTheme="minorHAnsi" w:cstheme="minorHAnsi"/>
          <w:i/>
          <w:sz w:val="24"/>
          <w:szCs w:val="24"/>
        </w:rPr>
        <w:t>,</w:t>
      </w:r>
      <w:r w:rsidRPr="00E7492D">
        <w:rPr>
          <w:rFonts w:asciiTheme="minorHAnsi" w:hAnsiTheme="minorHAnsi" w:cstheme="minorHAnsi"/>
          <w:i/>
          <w:sz w:val="24"/>
          <w:szCs w:val="24"/>
        </w:rPr>
        <w:t xml:space="preserve"> we modelled scenarios across council taxbase assumptions and precept increases ranging from </w:t>
      </w:r>
      <w:r w:rsidR="00E7492D" w:rsidRPr="00E7492D">
        <w:rPr>
          <w:rFonts w:asciiTheme="minorHAnsi" w:hAnsiTheme="minorHAnsi" w:cstheme="minorHAnsi"/>
          <w:i/>
          <w:sz w:val="24"/>
          <w:szCs w:val="24"/>
        </w:rPr>
        <w:t>£5</w:t>
      </w:r>
      <w:r w:rsidRPr="00E7492D">
        <w:rPr>
          <w:rFonts w:asciiTheme="minorHAnsi" w:hAnsiTheme="minorHAnsi" w:cstheme="minorHAnsi"/>
          <w:i/>
          <w:sz w:val="24"/>
          <w:szCs w:val="24"/>
        </w:rPr>
        <w:t xml:space="preserve"> to £</w:t>
      </w:r>
      <w:r w:rsidR="00E7492D" w:rsidRPr="00E7492D">
        <w:rPr>
          <w:rFonts w:asciiTheme="minorHAnsi" w:hAnsiTheme="minorHAnsi" w:cstheme="minorHAnsi"/>
          <w:i/>
          <w:sz w:val="24"/>
          <w:szCs w:val="24"/>
        </w:rPr>
        <w:t>20</w:t>
      </w:r>
      <w:r w:rsidRPr="00E7492D">
        <w:rPr>
          <w:rFonts w:asciiTheme="minorHAnsi" w:hAnsiTheme="minorHAnsi" w:cstheme="minorHAnsi"/>
          <w:i/>
          <w:sz w:val="24"/>
          <w:szCs w:val="24"/>
        </w:rPr>
        <w:t xml:space="preserve"> to help inform the PFCC considerations in determining h</w:t>
      </w:r>
      <w:r w:rsidR="000727DB">
        <w:rPr>
          <w:rFonts w:asciiTheme="minorHAnsi" w:hAnsiTheme="minorHAnsi" w:cstheme="minorHAnsi"/>
          <w:i/>
          <w:sz w:val="24"/>
          <w:szCs w:val="24"/>
        </w:rPr>
        <w:t>er</w:t>
      </w:r>
      <w:r w:rsidRPr="00E7492D">
        <w:rPr>
          <w:rFonts w:asciiTheme="minorHAnsi" w:hAnsiTheme="minorHAnsi" w:cstheme="minorHAnsi"/>
          <w:i/>
          <w:sz w:val="24"/>
          <w:szCs w:val="24"/>
        </w:rPr>
        <w:t xml:space="preserve"> precept proposal for </w:t>
      </w:r>
      <w:r w:rsidR="00220144" w:rsidRPr="00E7492D">
        <w:rPr>
          <w:rFonts w:asciiTheme="minorHAnsi" w:hAnsiTheme="minorHAnsi" w:cstheme="minorHAnsi"/>
          <w:i/>
          <w:sz w:val="24"/>
          <w:szCs w:val="24"/>
        </w:rPr>
        <w:t>202</w:t>
      </w:r>
      <w:r w:rsidR="00E7492D" w:rsidRPr="00E7492D">
        <w:rPr>
          <w:rFonts w:asciiTheme="minorHAnsi" w:hAnsiTheme="minorHAnsi" w:cstheme="minorHAnsi"/>
          <w:i/>
          <w:sz w:val="24"/>
          <w:szCs w:val="24"/>
        </w:rPr>
        <w:t>5</w:t>
      </w:r>
      <w:r w:rsidR="00220144" w:rsidRPr="00E7492D">
        <w:rPr>
          <w:rFonts w:asciiTheme="minorHAnsi" w:hAnsiTheme="minorHAnsi" w:cstheme="minorHAnsi"/>
          <w:i/>
          <w:sz w:val="24"/>
          <w:szCs w:val="24"/>
        </w:rPr>
        <w:t>/2</w:t>
      </w:r>
      <w:r w:rsidR="00E7492D" w:rsidRPr="00E7492D">
        <w:rPr>
          <w:rFonts w:asciiTheme="minorHAnsi" w:hAnsiTheme="minorHAnsi" w:cstheme="minorHAnsi"/>
          <w:i/>
          <w:sz w:val="24"/>
          <w:szCs w:val="24"/>
        </w:rPr>
        <w:t>6</w:t>
      </w:r>
      <w:r w:rsidRPr="00E7492D">
        <w:rPr>
          <w:rFonts w:asciiTheme="minorHAnsi" w:hAnsiTheme="minorHAnsi" w:cstheme="minorHAnsi"/>
          <w:i/>
          <w:sz w:val="24"/>
          <w:szCs w:val="24"/>
        </w:rPr>
        <w:t xml:space="preserve">. </w:t>
      </w:r>
      <w:r w:rsidR="00280E6A" w:rsidRPr="00E7492D">
        <w:rPr>
          <w:rFonts w:asciiTheme="minorHAnsi" w:hAnsiTheme="minorHAnsi" w:cstheme="minorHAnsi"/>
          <w:i/>
          <w:sz w:val="24"/>
          <w:szCs w:val="24"/>
        </w:rPr>
        <w:t xml:space="preserve"> </w:t>
      </w:r>
      <w:r w:rsidRPr="00E7492D">
        <w:rPr>
          <w:rFonts w:asciiTheme="minorHAnsi" w:hAnsiTheme="minorHAnsi" w:cstheme="minorHAnsi"/>
          <w:i/>
          <w:sz w:val="24"/>
          <w:szCs w:val="24"/>
        </w:rPr>
        <w:t>As the information from the settlement and taxbase became clearer, we continued to review and refine the MTFP.</w:t>
      </w:r>
      <w:bookmarkEnd w:id="50"/>
    </w:p>
    <w:p w14:paraId="32B1B999" w14:textId="6729EE68" w:rsidR="0003142E" w:rsidRPr="00E7492D" w:rsidRDefault="0003142E" w:rsidP="0003142E">
      <w:pPr>
        <w:spacing w:line="240" w:lineRule="auto"/>
        <w:ind w:hanging="540"/>
        <w:jc w:val="both"/>
        <w:rPr>
          <w:rFonts w:asciiTheme="minorHAnsi" w:hAnsiTheme="minorHAnsi" w:cstheme="minorHAnsi"/>
          <w:i/>
          <w:sz w:val="24"/>
          <w:szCs w:val="24"/>
        </w:rPr>
      </w:pPr>
    </w:p>
    <w:p w14:paraId="4EAC0517" w14:textId="13DDAEA0" w:rsidR="0003142E" w:rsidRPr="00E7492D" w:rsidRDefault="0003142E" w:rsidP="0003142E">
      <w:pPr>
        <w:spacing w:line="240" w:lineRule="auto"/>
        <w:ind w:hanging="540"/>
        <w:jc w:val="both"/>
        <w:rPr>
          <w:rFonts w:asciiTheme="minorHAnsi" w:hAnsiTheme="minorHAnsi" w:cstheme="minorHAnsi"/>
          <w:i/>
          <w:sz w:val="24"/>
          <w:szCs w:val="24"/>
        </w:rPr>
      </w:pPr>
      <w:r w:rsidRPr="00E7492D">
        <w:rPr>
          <w:rFonts w:asciiTheme="minorHAnsi" w:hAnsiTheme="minorHAnsi" w:cstheme="minorHAnsi"/>
          <w:i/>
          <w:sz w:val="24"/>
          <w:szCs w:val="24"/>
        </w:rPr>
        <w:tab/>
        <w:t xml:space="preserve">Whilst Police grant allocations </w:t>
      </w:r>
      <w:r w:rsidR="00E7492D" w:rsidRPr="00E7492D">
        <w:rPr>
          <w:rFonts w:asciiTheme="minorHAnsi" w:hAnsiTheme="minorHAnsi" w:cstheme="minorHAnsi"/>
          <w:i/>
          <w:sz w:val="24"/>
          <w:szCs w:val="24"/>
        </w:rPr>
        <w:t>do include new funding</w:t>
      </w:r>
      <w:r w:rsidR="00B4779C" w:rsidRPr="00E7492D">
        <w:rPr>
          <w:rFonts w:asciiTheme="minorHAnsi" w:hAnsiTheme="minorHAnsi" w:cstheme="minorHAnsi"/>
          <w:i/>
          <w:sz w:val="24"/>
          <w:szCs w:val="24"/>
        </w:rPr>
        <w:t xml:space="preserve">, they </w:t>
      </w:r>
      <w:r w:rsidR="00280E6A" w:rsidRPr="00E7492D">
        <w:rPr>
          <w:rFonts w:asciiTheme="minorHAnsi" w:hAnsiTheme="minorHAnsi" w:cstheme="minorHAnsi"/>
          <w:i/>
          <w:sz w:val="24"/>
          <w:szCs w:val="24"/>
        </w:rPr>
        <w:t xml:space="preserve">still </w:t>
      </w:r>
      <w:r w:rsidR="00B4779C" w:rsidRPr="00E7492D">
        <w:rPr>
          <w:rFonts w:asciiTheme="minorHAnsi" w:hAnsiTheme="minorHAnsi" w:cstheme="minorHAnsi"/>
          <w:i/>
          <w:sz w:val="24"/>
          <w:szCs w:val="24"/>
        </w:rPr>
        <w:t xml:space="preserve">do not reflect the pressures of inflation </w:t>
      </w:r>
      <w:r w:rsidR="00E7492D" w:rsidRPr="00E7492D">
        <w:rPr>
          <w:rFonts w:asciiTheme="minorHAnsi" w:hAnsiTheme="minorHAnsi" w:cstheme="minorHAnsi"/>
          <w:i/>
          <w:sz w:val="24"/>
          <w:szCs w:val="24"/>
        </w:rPr>
        <w:t>levels</w:t>
      </w:r>
      <w:r w:rsidR="00B4779C" w:rsidRPr="00E7492D">
        <w:rPr>
          <w:rFonts w:asciiTheme="minorHAnsi" w:hAnsiTheme="minorHAnsi" w:cstheme="minorHAnsi"/>
          <w:i/>
          <w:sz w:val="24"/>
          <w:szCs w:val="24"/>
        </w:rPr>
        <w:t xml:space="preserve"> experienced </w:t>
      </w:r>
      <w:r w:rsidR="00E7492D" w:rsidRPr="00E7492D">
        <w:rPr>
          <w:rFonts w:asciiTheme="minorHAnsi" w:hAnsiTheme="minorHAnsi" w:cstheme="minorHAnsi"/>
          <w:i/>
          <w:sz w:val="24"/>
          <w:szCs w:val="24"/>
        </w:rPr>
        <w:t>in recent years</w:t>
      </w:r>
      <w:r w:rsidR="00B4779C" w:rsidRPr="00E7492D">
        <w:rPr>
          <w:rFonts w:asciiTheme="minorHAnsi" w:hAnsiTheme="minorHAnsi" w:cstheme="minorHAnsi"/>
          <w:i/>
          <w:sz w:val="24"/>
          <w:szCs w:val="24"/>
        </w:rPr>
        <w:t xml:space="preserve"> and</w:t>
      </w:r>
      <w:r w:rsidR="00E7492D" w:rsidRPr="00E7492D">
        <w:rPr>
          <w:rFonts w:asciiTheme="minorHAnsi" w:hAnsiTheme="minorHAnsi" w:cstheme="minorHAnsi"/>
          <w:i/>
          <w:sz w:val="24"/>
          <w:szCs w:val="24"/>
        </w:rPr>
        <w:t xml:space="preserve"> do not fully cover the cost of pay awards and national insurance increases.</w:t>
      </w:r>
      <w:r w:rsidR="00280E6A" w:rsidRPr="00E7492D">
        <w:rPr>
          <w:rFonts w:asciiTheme="minorHAnsi" w:hAnsiTheme="minorHAnsi" w:cstheme="minorHAnsi"/>
          <w:i/>
          <w:sz w:val="24"/>
          <w:szCs w:val="24"/>
        </w:rPr>
        <w:t xml:space="preserve"> </w:t>
      </w:r>
      <w:r w:rsidR="00E7492D" w:rsidRPr="00E7492D">
        <w:rPr>
          <w:rFonts w:asciiTheme="minorHAnsi" w:hAnsiTheme="minorHAnsi" w:cstheme="minorHAnsi"/>
          <w:i/>
          <w:sz w:val="24"/>
          <w:szCs w:val="24"/>
        </w:rPr>
        <w:t xml:space="preserve"> A</w:t>
      </w:r>
      <w:r w:rsidR="00280E6A" w:rsidRPr="00E7492D">
        <w:rPr>
          <w:rFonts w:asciiTheme="minorHAnsi" w:hAnsiTheme="minorHAnsi" w:cstheme="minorHAnsi"/>
          <w:i/>
          <w:sz w:val="24"/>
          <w:szCs w:val="24"/>
        </w:rPr>
        <w:t xml:space="preserve">s </w:t>
      </w:r>
      <w:r w:rsidR="00B4779C" w:rsidRPr="00E7492D">
        <w:rPr>
          <w:rFonts w:asciiTheme="minorHAnsi" w:hAnsiTheme="minorHAnsi" w:cstheme="minorHAnsi"/>
          <w:i/>
          <w:sz w:val="24"/>
          <w:szCs w:val="24"/>
        </w:rPr>
        <w:t xml:space="preserve">indicative funding information is </w:t>
      </w:r>
      <w:r w:rsidR="00E7492D" w:rsidRPr="00E7492D">
        <w:rPr>
          <w:rFonts w:asciiTheme="minorHAnsi" w:hAnsiTheme="minorHAnsi" w:cstheme="minorHAnsi"/>
          <w:i/>
          <w:sz w:val="24"/>
          <w:szCs w:val="24"/>
        </w:rPr>
        <w:t xml:space="preserve">not yet </w:t>
      </w:r>
      <w:r w:rsidR="00B4779C" w:rsidRPr="00E7492D">
        <w:rPr>
          <w:rFonts w:asciiTheme="minorHAnsi" w:hAnsiTheme="minorHAnsi" w:cstheme="minorHAnsi"/>
          <w:i/>
          <w:sz w:val="24"/>
          <w:szCs w:val="24"/>
        </w:rPr>
        <w:t xml:space="preserve">available </w:t>
      </w:r>
      <w:r w:rsidR="00280E6A" w:rsidRPr="00E7492D">
        <w:rPr>
          <w:rFonts w:asciiTheme="minorHAnsi" w:hAnsiTheme="minorHAnsi" w:cstheme="minorHAnsi"/>
          <w:i/>
          <w:sz w:val="24"/>
          <w:szCs w:val="24"/>
        </w:rPr>
        <w:t xml:space="preserve">beyond </w:t>
      </w:r>
      <w:r w:rsidR="00B4779C" w:rsidRPr="00E7492D">
        <w:rPr>
          <w:rFonts w:asciiTheme="minorHAnsi" w:hAnsiTheme="minorHAnsi" w:cstheme="minorHAnsi"/>
          <w:i/>
          <w:sz w:val="24"/>
          <w:szCs w:val="24"/>
        </w:rPr>
        <w:t>202</w:t>
      </w:r>
      <w:r w:rsidR="00E7492D" w:rsidRPr="00E7492D">
        <w:rPr>
          <w:rFonts w:asciiTheme="minorHAnsi" w:hAnsiTheme="minorHAnsi" w:cstheme="minorHAnsi"/>
          <w:i/>
          <w:sz w:val="24"/>
          <w:szCs w:val="24"/>
        </w:rPr>
        <w:t>5</w:t>
      </w:r>
      <w:r w:rsidR="00B4779C" w:rsidRPr="00E7492D">
        <w:rPr>
          <w:rFonts w:asciiTheme="minorHAnsi" w:hAnsiTheme="minorHAnsi" w:cstheme="minorHAnsi"/>
          <w:i/>
          <w:sz w:val="24"/>
          <w:szCs w:val="24"/>
        </w:rPr>
        <w:t>/2</w:t>
      </w:r>
      <w:r w:rsidR="00E7492D" w:rsidRPr="00E7492D">
        <w:rPr>
          <w:rFonts w:asciiTheme="minorHAnsi" w:hAnsiTheme="minorHAnsi" w:cstheme="minorHAnsi"/>
          <w:i/>
          <w:sz w:val="24"/>
          <w:szCs w:val="24"/>
        </w:rPr>
        <w:t>6</w:t>
      </w:r>
      <w:r w:rsidR="00B4779C" w:rsidRPr="00E7492D">
        <w:rPr>
          <w:rFonts w:asciiTheme="minorHAnsi" w:hAnsiTheme="minorHAnsi" w:cstheme="minorHAnsi"/>
          <w:i/>
          <w:sz w:val="24"/>
          <w:szCs w:val="24"/>
        </w:rPr>
        <w:t xml:space="preserve">, </w:t>
      </w:r>
      <w:r w:rsidR="00280E6A" w:rsidRPr="00E7492D">
        <w:rPr>
          <w:rFonts w:asciiTheme="minorHAnsi" w:hAnsiTheme="minorHAnsi" w:cstheme="minorHAnsi"/>
          <w:i/>
          <w:sz w:val="24"/>
          <w:szCs w:val="24"/>
        </w:rPr>
        <w:t>there is a high level of uncertainty around affordability of the current MTFP in the future</w:t>
      </w:r>
      <w:r w:rsidR="00E7492D" w:rsidRPr="00E7492D">
        <w:rPr>
          <w:rFonts w:asciiTheme="minorHAnsi" w:hAnsiTheme="minorHAnsi" w:cstheme="minorHAnsi"/>
          <w:i/>
          <w:sz w:val="24"/>
          <w:szCs w:val="24"/>
        </w:rPr>
        <w:t>, albeit the Chancellor has given assurances that such information will be provided in the coming months.</w:t>
      </w:r>
    </w:p>
    <w:p w14:paraId="7DD0BD6F" w14:textId="129C0839" w:rsidR="000D1925" w:rsidRPr="00E7492D" w:rsidRDefault="000D1925" w:rsidP="0003142E">
      <w:pPr>
        <w:spacing w:line="240" w:lineRule="auto"/>
        <w:ind w:hanging="540"/>
        <w:jc w:val="both"/>
        <w:rPr>
          <w:rFonts w:asciiTheme="minorHAnsi" w:hAnsiTheme="minorHAnsi" w:cstheme="minorHAnsi"/>
          <w:i/>
          <w:sz w:val="24"/>
          <w:szCs w:val="24"/>
        </w:rPr>
      </w:pPr>
    </w:p>
    <w:p w14:paraId="422B065D" w14:textId="5E792DE6" w:rsidR="00B4779C" w:rsidRPr="00E7492D" w:rsidRDefault="00B4779C" w:rsidP="00B4779C">
      <w:pPr>
        <w:spacing w:line="240" w:lineRule="auto"/>
        <w:jc w:val="both"/>
        <w:rPr>
          <w:rFonts w:asciiTheme="minorHAnsi" w:hAnsiTheme="minorHAnsi" w:cs="Arial"/>
          <w:i/>
          <w:sz w:val="24"/>
          <w:szCs w:val="24"/>
        </w:rPr>
      </w:pPr>
      <w:r w:rsidRPr="00E7492D">
        <w:rPr>
          <w:rFonts w:asciiTheme="minorHAnsi" w:hAnsiTheme="minorHAnsi" w:cs="Arial"/>
          <w:i/>
          <w:sz w:val="24"/>
          <w:szCs w:val="24"/>
        </w:rPr>
        <w:t>It is my recommendation that financially</w:t>
      </w:r>
      <w:r w:rsidR="00656A64" w:rsidRPr="00E7492D">
        <w:rPr>
          <w:rFonts w:asciiTheme="minorHAnsi" w:hAnsiTheme="minorHAnsi" w:cs="Arial"/>
          <w:i/>
          <w:sz w:val="24"/>
          <w:szCs w:val="24"/>
        </w:rPr>
        <w:t>,</w:t>
      </w:r>
      <w:r w:rsidRPr="00E7492D">
        <w:rPr>
          <w:rFonts w:asciiTheme="minorHAnsi" w:hAnsiTheme="minorHAnsi" w:cs="Arial"/>
          <w:i/>
          <w:sz w:val="24"/>
          <w:szCs w:val="24"/>
        </w:rPr>
        <w:t xml:space="preserve"> it is essential to take forward the £1</w:t>
      </w:r>
      <w:r w:rsidR="00E7492D" w:rsidRPr="00E7492D">
        <w:rPr>
          <w:rFonts w:asciiTheme="minorHAnsi" w:hAnsiTheme="minorHAnsi" w:cs="Arial"/>
          <w:i/>
          <w:sz w:val="24"/>
          <w:szCs w:val="24"/>
        </w:rPr>
        <w:t>4</w:t>
      </w:r>
      <w:r w:rsidRPr="00E7492D">
        <w:rPr>
          <w:rFonts w:asciiTheme="minorHAnsi" w:hAnsiTheme="minorHAnsi" w:cs="Arial"/>
          <w:i/>
          <w:sz w:val="24"/>
          <w:szCs w:val="24"/>
        </w:rPr>
        <w:t xml:space="preserve"> precept flexibility afforded to Northamptonshire for 202</w:t>
      </w:r>
      <w:r w:rsidR="00E7492D" w:rsidRPr="00E7492D">
        <w:rPr>
          <w:rFonts w:asciiTheme="minorHAnsi" w:hAnsiTheme="minorHAnsi" w:cs="Arial"/>
          <w:i/>
          <w:sz w:val="24"/>
          <w:szCs w:val="24"/>
        </w:rPr>
        <w:t>5</w:t>
      </w:r>
      <w:r w:rsidRPr="00E7492D">
        <w:rPr>
          <w:rFonts w:asciiTheme="minorHAnsi" w:hAnsiTheme="minorHAnsi" w:cs="Arial"/>
          <w:i/>
          <w:sz w:val="24"/>
          <w:szCs w:val="24"/>
        </w:rPr>
        <w:t>/2</w:t>
      </w:r>
      <w:r w:rsidR="00E7492D" w:rsidRPr="00E7492D">
        <w:rPr>
          <w:rFonts w:asciiTheme="minorHAnsi" w:hAnsiTheme="minorHAnsi" w:cs="Arial"/>
          <w:i/>
          <w:sz w:val="24"/>
          <w:szCs w:val="24"/>
        </w:rPr>
        <w:t>6</w:t>
      </w:r>
      <w:r w:rsidRPr="00E7492D">
        <w:rPr>
          <w:rFonts w:asciiTheme="minorHAnsi" w:hAnsiTheme="minorHAnsi" w:cs="Arial"/>
          <w:i/>
          <w:sz w:val="24"/>
          <w:szCs w:val="24"/>
        </w:rPr>
        <w:t xml:space="preserve">. </w:t>
      </w:r>
      <w:r w:rsidR="00280E6A" w:rsidRPr="00E7492D">
        <w:rPr>
          <w:rFonts w:asciiTheme="minorHAnsi" w:hAnsiTheme="minorHAnsi" w:cs="Arial"/>
          <w:i/>
          <w:sz w:val="24"/>
          <w:szCs w:val="24"/>
        </w:rPr>
        <w:t xml:space="preserve"> </w:t>
      </w:r>
      <w:r w:rsidRPr="00E7492D">
        <w:rPr>
          <w:rFonts w:asciiTheme="minorHAnsi" w:hAnsiTheme="minorHAnsi" w:cs="Arial"/>
          <w:i/>
          <w:sz w:val="24"/>
          <w:szCs w:val="24"/>
        </w:rPr>
        <w:t xml:space="preserve">This will be built into the base budget and help provide </w:t>
      </w:r>
      <w:r w:rsidR="00280E6A" w:rsidRPr="00E7492D">
        <w:rPr>
          <w:rFonts w:asciiTheme="minorHAnsi" w:hAnsiTheme="minorHAnsi" w:cs="Arial"/>
          <w:i/>
          <w:sz w:val="24"/>
          <w:szCs w:val="24"/>
        </w:rPr>
        <w:t>the most</w:t>
      </w:r>
      <w:r w:rsidRPr="00E7492D">
        <w:rPr>
          <w:rFonts w:asciiTheme="minorHAnsi" w:hAnsiTheme="minorHAnsi" w:cs="Arial"/>
          <w:i/>
          <w:sz w:val="24"/>
          <w:szCs w:val="24"/>
        </w:rPr>
        <w:t xml:space="preserve"> resilient position </w:t>
      </w:r>
      <w:r w:rsidR="00280E6A" w:rsidRPr="00E7492D">
        <w:rPr>
          <w:rFonts w:asciiTheme="minorHAnsi" w:hAnsiTheme="minorHAnsi" w:cs="Arial"/>
          <w:i/>
          <w:sz w:val="24"/>
          <w:szCs w:val="24"/>
        </w:rPr>
        <w:t xml:space="preserve">possible </w:t>
      </w:r>
      <w:r w:rsidRPr="00E7492D">
        <w:rPr>
          <w:rFonts w:asciiTheme="minorHAnsi" w:hAnsiTheme="minorHAnsi" w:cs="Arial"/>
          <w:i/>
          <w:sz w:val="24"/>
          <w:szCs w:val="24"/>
        </w:rPr>
        <w:t xml:space="preserve">for the medium term. </w:t>
      </w:r>
    </w:p>
    <w:p w14:paraId="5BD57304" w14:textId="26AA3786" w:rsidR="00B4779C" w:rsidRPr="00E7492D" w:rsidRDefault="00B4779C" w:rsidP="00B4779C">
      <w:pPr>
        <w:spacing w:line="240" w:lineRule="auto"/>
        <w:jc w:val="both"/>
        <w:rPr>
          <w:rFonts w:asciiTheme="minorHAnsi" w:hAnsiTheme="minorHAnsi" w:cs="Arial"/>
          <w:i/>
          <w:sz w:val="24"/>
          <w:szCs w:val="24"/>
        </w:rPr>
      </w:pPr>
    </w:p>
    <w:p w14:paraId="634D62CE" w14:textId="5549CE5D" w:rsidR="00B4779C" w:rsidRPr="00E7492D" w:rsidRDefault="00B4779C" w:rsidP="00B4779C">
      <w:pPr>
        <w:spacing w:line="240" w:lineRule="auto"/>
        <w:jc w:val="both"/>
        <w:rPr>
          <w:rFonts w:asciiTheme="minorHAnsi" w:hAnsiTheme="minorHAnsi" w:cs="Arial"/>
          <w:i/>
          <w:sz w:val="24"/>
          <w:szCs w:val="24"/>
        </w:rPr>
      </w:pPr>
      <w:r w:rsidRPr="00E7492D">
        <w:rPr>
          <w:rFonts w:asciiTheme="minorHAnsi" w:hAnsiTheme="minorHAnsi" w:cs="Arial"/>
          <w:i/>
          <w:sz w:val="24"/>
          <w:szCs w:val="24"/>
        </w:rPr>
        <w:t xml:space="preserve">The MTFP does require efficiencies to be made and assumes </w:t>
      </w:r>
      <w:r w:rsidR="00E7492D" w:rsidRPr="00E7492D">
        <w:rPr>
          <w:rFonts w:asciiTheme="minorHAnsi" w:hAnsiTheme="minorHAnsi" w:cs="Arial"/>
          <w:i/>
          <w:sz w:val="24"/>
          <w:szCs w:val="24"/>
        </w:rPr>
        <w:t>some</w:t>
      </w:r>
      <w:r w:rsidR="00656A64" w:rsidRPr="00E7492D">
        <w:rPr>
          <w:rFonts w:asciiTheme="minorHAnsi" w:hAnsiTheme="minorHAnsi" w:cs="Arial"/>
          <w:i/>
          <w:sz w:val="24"/>
          <w:szCs w:val="24"/>
        </w:rPr>
        <w:t xml:space="preserve"> will be delivered</w:t>
      </w:r>
      <w:r w:rsidRPr="00E7492D">
        <w:rPr>
          <w:rFonts w:asciiTheme="minorHAnsi" w:hAnsiTheme="minorHAnsi" w:cs="Arial"/>
          <w:i/>
          <w:sz w:val="24"/>
          <w:szCs w:val="24"/>
        </w:rPr>
        <w:t xml:space="preserve"> in 202</w:t>
      </w:r>
      <w:r w:rsidR="00E7492D" w:rsidRPr="00E7492D">
        <w:rPr>
          <w:rFonts w:asciiTheme="minorHAnsi" w:hAnsiTheme="minorHAnsi" w:cs="Arial"/>
          <w:i/>
          <w:sz w:val="24"/>
          <w:szCs w:val="24"/>
        </w:rPr>
        <w:t>5</w:t>
      </w:r>
      <w:r w:rsidRPr="00E7492D">
        <w:rPr>
          <w:rFonts w:asciiTheme="minorHAnsi" w:hAnsiTheme="minorHAnsi" w:cs="Arial"/>
          <w:i/>
          <w:sz w:val="24"/>
          <w:szCs w:val="24"/>
        </w:rPr>
        <w:t>/2</w:t>
      </w:r>
      <w:r w:rsidR="00E7492D" w:rsidRPr="00E7492D">
        <w:rPr>
          <w:rFonts w:asciiTheme="minorHAnsi" w:hAnsiTheme="minorHAnsi" w:cs="Arial"/>
          <w:i/>
          <w:sz w:val="24"/>
          <w:szCs w:val="24"/>
        </w:rPr>
        <w:t>6</w:t>
      </w:r>
      <w:r w:rsidRPr="00E7492D">
        <w:rPr>
          <w:rFonts w:asciiTheme="minorHAnsi" w:hAnsiTheme="minorHAnsi" w:cs="Arial"/>
          <w:i/>
          <w:sz w:val="24"/>
          <w:szCs w:val="24"/>
        </w:rPr>
        <w:t xml:space="preserve"> and </w:t>
      </w:r>
      <w:r w:rsidR="00280E6A" w:rsidRPr="00E7492D">
        <w:rPr>
          <w:rFonts w:asciiTheme="minorHAnsi" w:hAnsiTheme="minorHAnsi" w:cs="Arial"/>
          <w:i/>
          <w:sz w:val="24"/>
          <w:szCs w:val="24"/>
        </w:rPr>
        <w:t>each year thereafter</w:t>
      </w:r>
      <w:r w:rsidRPr="00E7492D">
        <w:rPr>
          <w:rFonts w:asciiTheme="minorHAnsi" w:hAnsiTheme="minorHAnsi" w:cs="Arial"/>
          <w:i/>
          <w:sz w:val="24"/>
          <w:szCs w:val="24"/>
        </w:rPr>
        <w:t xml:space="preserve">. </w:t>
      </w:r>
      <w:r w:rsidR="00280E6A" w:rsidRPr="00E7492D">
        <w:rPr>
          <w:rFonts w:asciiTheme="minorHAnsi" w:hAnsiTheme="minorHAnsi" w:cs="Arial"/>
          <w:i/>
          <w:sz w:val="24"/>
          <w:szCs w:val="24"/>
        </w:rPr>
        <w:t xml:space="preserve"> </w:t>
      </w:r>
      <w:r w:rsidRPr="00E7492D">
        <w:rPr>
          <w:rFonts w:asciiTheme="minorHAnsi" w:hAnsiTheme="minorHAnsi" w:cs="Arial"/>
          <w:i/>
          <w:sz w:val="24"/>
          <w:szCs w:val="24"/>
        </w:rPr>
        <w:t xml:space="preserve">However, even after these efficiencies, there are shortfalls in the MTFP. </w:t>
      </w:r>
      <w:r w:rsidR="00280E6A" w:rsidRPr="00E7492D">
        <w:rPr>
          <w:rFonts w:asciiTheme="minorHAnsi" w:hAnsiTheme="minorHAnsi" w:cs="Arial"/>
          <w:i/>
          <w:sz w:val="24"/>
          <w:szCs w:val="24"/>
        </w:rPr>
        <w:t xml:space="preserve"> </w:t>
      </w:r>
      <w:r w:rsidRPr="00E7492D">
        <w:rPr>
          <w:rFonts w:asciiTheme="minorHAnsi" w:hAnsiTheme="minorHAnsi" w:cs="Arial"/>
          <w:i/>
          <w:sz w:val="24"/>
          <w:szCs w:val="24"/>
        </w:rPr>
        <w:t xml:space="preserve">I am assured that the Chief Constable will work to identify </w:t>
      </w:r>
      <w:r w:rsidR="00E7492D" w:rsidRPr="00E7492D">
        <w:rPr>
          <w:rFonts w:asciiTheme="minorHAnsi" w:hAnsiTheme="minorHAnsi" w:cs="Arial"/>
          <w:i/>
          <w:sz w:val="24"/>
          <w:szCs w:val="24"/>
        </w:rPr>
        <w:t>savings</w:t>
      </w:r>
      <w:r w:rsidRPr="00E7492D">
        <w:rPr>
          <w:rFonts w:asciiTheme="minorHAnsi" w:hAnsiTheme="minorHAnsi" w:cs="Arial"/>
          <w:i/>
          <w:sz w:val="24"/>
          <w:szCs w:val="24"/>
        </w:rPr>
        <w:t xml:space="preserve"> and ways of working which will address these challenges over the medium term.</w:t>
      </w:r>
      <w:r w:rsidR="00280E6A" w:rsidRPr="00E7492D">
        <w:rPr>
          <w:rFonts w:asciiTheme="minorHAnsi" w:hAnsiTheme="minorHAnsi" w:cs="Arial"/>
          <w:i/>
          <w:sz w:val="24"/>
          <w:szCs w:val="24"/>
        </w:rPr>
        <w:t xml:space="preserve"> </w:t>
      </w:r>
      <w:r w:rsidRPr="00E7492D">
        <w:rPr>
          <w:rFonts w:asciiTheme="minorHAnsi" w:hAnsiTheme="minorHAnsi" w:cs="Arial"/>
          <w:i/>
          <w:sz w:val="24"/>
          <w:szCs w:val="24"/>
        </w:rPr>
        <w:t xml:space="preserve"> I will support the PFCC in ensuring the Chief Constable and Force </w:t>
      </w:r>
      <w:r w:rsidR="00E7492D" w:rsidRPr="00E7492D">
        <w:rPr>
          <w:rFonts w:asciiTheme="minorHAnsi" w:hAnsiTheme="minorHAnsi" w:cs="Arial"/>
          <w:i/>
          <w:sz w:val="24"/>
          <w:szCs w:val="24"/>
        </w:rPr>
        <w:t>s</w:t>
      </w:r>
      <w:r w:rsidRPr="00E7492D">
        <w:rPr>
          <w:rFonts w:asciiTheme="minorHAnsi" w:hAnsiTheme="minorHAnsi" w:cs="Arial"/>
          <w:i/>
          <w:sz w:val="24"/>
          <w:szCs w:val="24"/>
        </w:rPr>
        <w:t>151 Chief Finance Officer provide regular updates to the Accountability Board.</w:t>
      </w:r>
    </w:p>
    <w:p w14:paraId="54B0A88B" w14:textId="60C5D0EE" w:rsidR="000D1925" w:rsidRPr="00E7492D" w:rsidRDefault="000D1925" w:rsidP="005857F1">
      <w:pPr>
        <w:spacing w:line="240" w:lineRule="auto"/>
        <w:jc w:val="both"/>
        <w:rPr>
          <w:rFonts w:asciiTheme="minorHAnsi" w:hAnsiTheme="minorHAnsi" w:cstheme="minorHAnsi"/>
          <w:i/>
          <w:sz w:val="24"/>
          <w:szCs w:val="24"/>
        </w:rPr>
      </w:pPr>
    </w:p>
    <w:p w14:paraId="183EB058" w14:textId="538DA17A" w:rsidR="000D1925" w:rsidRPr="00E7492D" w:rsidRDefault="000D1925" w:rsidP="0003142E">
      <w:pPr>
        <w:spacing w:line="240" w:lineRule="auto"/>
        <w:jc w:val="both"/>
        <w:rPr>
          <w:rFonts w:asciiTheme="minorHAnsi" w:hAnsiTheme="minorHAnsi" w:cstheme="minorHAnsi"/>
          <w:i/>
          <w:sz w:val="24"/>
          <w:szCs w:val="24"/>
        </w:rPr>
      </w:pPr>
      <w:r w:rsidRPr="00E7492D">
        <w:rPr>
          <w:rFonts w:asciiTheme="minorHAnsi" w:hAnsiTheme="minorHAnsi" w:cstheme="minorHAnsi"/>
          <w:i/>
          <w:sz w:val="24"/>
          <w:szCs w:val="24"/>
        </w:rPr>
        <w:t>It has been possible for the PFCC to develop a budget that supports most of the Force operational pressures and demands, balances the views of the public from the consultation and gives the opportunity for further investment to support the delivery of the priorities set out in the Police</w:t>
      </w:r>
      <w:r w:rsidR="00541FBF" w:rsidRPr="00E7492D">
        <w:rPr>
          <w:rFonts w:asciiTheme="minorHAnsi" w:hAnsiTheme="minorHAnsi" w:cstheme="minorHAnsi"/>
          <w:i/>
          <w:sz w:val="24"/>
          <w:szCs w:val="24"/>
        </w:rPr>
        <w:t>, Fire</w:t>
      </w:r>
      <w:r w:rsidRPr="00E7492D">
        <w:rPr>
          <w:rFonts w:asciiTheme="minorHAnsi" w:hAnsiTheme="minorHAnsi" w:cstheme="minorHAnsi"/>
          <w:i/>
          <w:sz w:val="24"/>
          <w:szCs w:val="24"/>
        </w:rPr>
        <w:t xml:space="preserve"> and Crime Plan</w:t>
      </w:r>
      <w:r w:rsidR="00E7492D" w:rsidRPr="00E7492D">
        <w:rPr>
          <w:rFonts w:asciiTheme="minorHAnsi" w:hAnsiTheme="minorHAnsi" w:cstheme="minorHAnsi"/>
          <w:i/>
          <w:sz w:val="24"/>
          <w:szCs w:val="24"/>
        </w:rPr>
        <w:t xml:space="preserve"> (Public Safety Plan)</w:t>
      </w:r>
      <w:r w:rsidRPr="00E7492D">
        <w:rPr>
          <w:rFonts w:asciiTheme="minorHAnsi" w:hAnsiTheme="minorHAnsi" w:cstheme="minorHAnsi"/>
          <w:i/>
          <w:sz w:val="24"/>
          <w:szCs w:val="24"/>
        </w:rPr>
        <w:t>.</w:t>
      </w:r>
    </w:p>
    <w:p w14:paraId="37FFDD43" w14:textId="77777777" w:rsidR="000D1925" w:rsidRPr="00E7492D" w:rsidRDefault="000D1925" w:rsidP="0003142E">
      <w:pPr>
        <w:spacing w:line="240" w:lineRule="auto"/>
        <w:ind w:hanging="540"/>
        <w:jc w:val="both"/>
        <w:rPr>
          <w:rFonts w:asciiTheme="minorHAnsi" w:hAnsiTheme="minorHAnsi" w:cstheme="minorHAnsi"/>
          <w:sz w:val="24"/>
          <w:szCs w:val="24"/>
        </w:rPr>
      </w:pPr>
    </w:p>
    <w:p w14:paraId="6DD81D24" w14:textId="4B85FEEC" w:rsidR="000D1925" w:rsidRPr="00E7492D" w:rsidRDefault="000D1925" w:rsidP="0003142E">
      <w:pPr>
        <w:spacing w:line="240" w:lineRule="auto"/>
        <w:ind w:left="27" w:hanging="27"/>
        <w:jc w:val="both"/>
        <w:rPr>
          <w:rFonts w:asciiTheme="minorHAnsi" w:hAnsiTheme="minorHAnsi" w:cstheme="minorHAnsi"/>
          <w:i/>
          <w:sz w:val="24"/>
          <w:szCs w:val="24"/>
        </w:rPr>
      </w:pPr>
      <w:r w:rsidRPr="00E7492D">
        <w:rPr>
          <w:rFonts w:asciiTheme="minorHAnsi" w:hAnsiTheme="minorHAnsi" w:cstheme="minorHAnsi"/>
          <w:i/>
          <w:sz w:val="24"/>
          <w:szCs w:val="24"/>
        </w:rPr>
        <w:t>There is an operational contingency available to the Chief Constable, and sufficient general reserves available should operational demands require access to these.</w:t>
      </w:r>
      <w:r w:rsidR="005857F1" w:rsidRPr="00E7492D">
        <w:rPr>
          <w:rFonts w:asciiTheme="minorHAnsi" w:hAnsiTheme="minorHAnsi" w:cstheme="minorHAnsi"/>
          <w:i/>
          <w:sz w:val="24"/>
          <w:szCs w:val="24"/>
        </w:rPr>
        <w:t xml:space="preserve"> </w:t>
      </w:r>
      <w:r w:rsidRPr="00E7492D">
        <w:rPr>
          <w:rFonts w:asciiTheme="minorHAnsi" w:hAnsiTheme="minorHAnsi" w:cstheme="minorHAnsi"/>
          <w:i/>
          <w:sz w:val="24"/>
          <w:szCs w:val="24"/>
        </w:rPr>
        <w:t xml:space="preserve"> Earmarked reserves are in place for specific requirements a</w:t>
      </w:r>
      <w:r w:rsidR="00E7492D" w:rsidRPr="00E7492D">
        <w:rPr>
          <w:rFonts w:asciiTheme="minorHAnsi" w:hAnsiTheme="minorHAnsi" w:cstheme="minorHAnsi"/>
          <w:i/>
          <w:sz w:val="24"/>
          <w:szCs w:val="24"/>
        </w:rPr>
        <w:t>s described in the Reserves Strategy</w:t>
      </w:r>
      <w:r w:rsidR="00541FBF" w:rsidRPr="00E7492D">
        <w:rPr>
          <w:rFonts w:asciiTheme="minorHAnsi" w:hAnsiTheme="minorHAnsi" w:cstheme="minorHAnsi"/>
          <w:i/>
          <w:sz w:val="24"/>
          <w:szCs w:val="24"/>
        </w:rPr>
        <w:t>.</w:t>
      </w:r>
    </w:p>
    <w:p w14:paraId="16E2EB10" w14:textId="77777777" w:rsidR="000D1925" w:rsidRPr="00E7492D" w:rsidRDefault="000D1925" w:rsidP="0003142E">
      <w:pPr>
        <w:spacing w:line="240" w:lineRule="auto"/>
        <w:ind w:left="540" w:hanging="540"/>
        <w:jc w:val="both"/>
        <w:rPr>
          <w:rFonts w:asciiTheme="minorHAnsi" w:hAnsiTheme="minorHAnsi" w:cstheme="minorHAnsi"/>
          <w:i/>
          <w:sz w:val="24"/>
          <w:szCs w:val="24"/>
        </w:rPr>
      </w:pPr>
    </w:p>
    <w:p w14:paraId="1A607764" w14:textId="57B9E1C9" w:rsidR="000D1925" w:rsidRPr="00E7492D" w:rsidRDefault="000D1925" w:rsidP="0003142E">
      <w:pPr>
        <w:spacing w:line="240" w:lineRule="auto"/>
        <w:ind w:left="27" w:hanging="27"/>
        <w:jc w:val="both"/>
        <w:rPr>
          <w:rFonts w:asciiTheme="minorHAnsi" w:hAnsiTheme="minorHAnsi" w:cstheme="minorHAnsi"/>
          <w:i/>
          <w:sz w:val="24"/>
          <w:szCs w:val="24"/>
        </w:rPr>
      </w:pPr>
      <w:r w:rsidRPr="00E7492D">
        <w:rPr>
          <w:rFonts w:asciiTheme="minorHAnsi" w:hAnsiTheme="minorHAnsi" w:cstheme="minorHAnsi"/>
          <w:i/>
          <w:sz w:val="24"/>
          <w:szCs w:val="24"/>
        </w:rPr>
        <w:t xml:space="preserve">The </w:t>
      </w:r>
      <w:r w:rsidR="005857F1" w:rsidRPr="00E7492D">
        <w:rPr>
          <w:rFonts w:asciiTheme="minorHAnsi" w:hAnsiTheme="minorHAnsi" w:cstheme="minorHAnsi"/>
          <w:i/>
          <w:sz w:val="24"/>
          <w:szCs w:val="24"/>
        </w:rPr>
        <w:t>detail within the above report</w:t>
      </w:r>
      <w:r w:rsidRPr="00E7492D">
        <w:rPr>
          <w:rFonts w:asciiTheme="minorHAnsi" w:hAnsiTheme="minorHAnsi" w:cstheme="minorHAnsi"/>
          <w:i/>
          <w:sz w:val="24"/>
          <w:szCs w:val="24"/>
        </w:rPr>
        <w:t xml:space="preserve"> highlight</w:t>
      </w:r>
      <w:r w:rsidR="005857F1" w:rsidRPr="00E7492D">
        <w:rPr>
          <w:rFonts w:asciiTheme="minorHAnsi" w:hAnsiTheme="minorHAnsi" w:cstheme="minorHAnsi"/>
          <w:i/>
          <w:sz w:val="24"/>
          <w:szCs w:val="24"/>
        </w:rPr>
        <w:t>s</w:t>
      </w:r>
      <w:r w:rsidRPr="00E7492D">
        <w:rPr>
          <w:rFonts w:asciiTheme="minorHAnsi" w:hAnsiTheme="minorHAnsi" w:cstheme="minorHAnsi"/>
          <w:i/>
          <w:sz w:val="24"/>
          <w:szCs w:val="24"/>
        </w:rPr>
        <w:t xml:space="preserve"> significant </w:t>
      </w:r>
      <w:r w:rsidR="005857F1" w:rsidRPr="00E7492D">
        <w:rPr>
          <w:rFonts w:asciiTheme="minorHAnsi" w:hAnsiTheme="minorHAnsi" w:cstheme="minorHAnsi"/>
          <w:i/>
          <w:sz w:val="24"/>
          <w:szCs w:val="24"/>
        </w:rPr>
        <w:t>unknowns</w:t>
      </w:r>
      <w:r w:rsidRPr="00E7492D">
        <w:rPr>
          <w:rFonts w:asciiTheme="minorHAnsi" w:hAnsiTheme="minorHAnsi" w:cstheme="minorHAnsi"/>
          <w:i/>
          <w:sz w:val="24"/>
          <w:szCs w:val="24"/>
        </w:rPr>
        <w:t xml:space="preserve"> in the medium term.</w:t>
      </w:r>
      <w:r w:rsidR="005857F1" w:rsidRPr="00E7492D">
        <w:rPr>
          <w:rFonts w:asciiTheme="minorHAnsi" w:hAnsiTheme="minorHAnsi" w:cstheme="minorHAnsi"/>
          <w:i/>
          <w:sz w:val="24"/>
          <w:szCs w:val="24"/>
        </w:rPr>
        <w:t xml:space="preserve"> </w:t>
      </w:r>
      <w:r w:rsidRPr="00E7492D">
        <w:rPr>
          <w:rFonts w:asciiTheme="minorHAnsi" w:hAnsiTheme="minorHAnsi" w:cstheme="minorHAnsi"/>
          <w:i/>
          <w:sz w:val="24"/>
          <w:szCs w:val="24"/>
        </w:rPr>
        <w:t xml:space="preserve"> The continuing impact of </w:t>
      </w:r>
      <w:r w:rsidR="005857F1" w:rsidRPr="00E7492D">
        <w:rPr>
          <w:rFonts w:asciiTheme="minorHAnsi" w:hAnsiTheme="minorHAnsi" w:cstheme="minorHAnsi"/>
          <w:i/>
          <w:sz w:val="24"/>
          <w:szCs w:val="24"/>
        </w:rPr>
        <w:t>inflationary pressures</w:t>
      </w:r>
      <w:r w:rsidRPr="00E7492D">
        <w:rPr>
          <w:rFonts w:asciiTheme="minorHAnsi" w:hAnsiTheme="minorHAnsi" w:cstheme="minorHAnsi"/>
          <w:i/>
          <w:sz w:val="24"/>
          <w:szCs w:val="24"/>
        </w:rPr>
        <w:t xml:space="preserve">, the impact of a future funding formula and the </w:t>
      </w:r>
      <w:r w:rsidR="00541FBF" w:rsidRPr="00E7492D">
        <w:rPr>
          <w:rFonts w:asciiTheme="minorHAnsi" w:hAnsiTheme="minorHAnsi" w:cstheme="minorHAnsi"/>
          <w:i/>
          <w:sz w:val="24"/>
          <w:szCs w:val="24"/>
        </w:rPr>
        <w:t xml:space="preserve">future economic climate are </w:t>
      </w:r>
      <w:r w:rsidR="00E7492D" w:rsidRPr="00E7492D">
        <w:rPr>
          <w:rFonts w:asciiTheme="minorHAnsi" w:hAnsiTheme="minorHAnsi" w:cstheme="minorHAnsi"/>
          <w:i/>
          <w:sz w:val="24"/>
          <w:szCs w:val="24"/>
        </w:rPr>
        <w:t>likely to be uncertain for some time</w:t>
      </w:r>
      <w:r w:rsidR="00541FBF" w:rsidRPr="00E7492D">
        <w:rPr>
          <w:rFonts w:asciiTheme="minorHAnsi" w:hAnsiTheme="minorHAnsi" w:cstheme="minorHAnsi"/>
          <w:i/>
          <w:sz w:val="24"/>
          <w:szCs w:val="24"/>
        </w:rPr>
        <w:t>.</w:t>
      </w:r>
      <w:r w:rsidRPr="00E7492D">
        <w:rPr>
          <w:rFonts w:asciiTheme="minorHAnsi" w:hAnsiTheme="minorHAnsi" w:cstheme="minorHAnsi"/>
          <w:i/>
          <w:sz w:val="24"/>
          <w:szCs w:val="24"/>
        </w:rPr>
        <w:t xml:space="preserve"> </w:t>
      </w:r>
      <w:r w:rsidR="005857F1" w:rsidRPr="00E7492D">
        <w:rPr>
          <w:rFonts w:asciiTheme="minorHAnsi" w:hAnsiTheme="minorHAnsi" w:cstheme="minorHAnsi"/>
          <w:i/>
          <w:sz w:val="24"/>
          <w:szCs w:val="24"/>
        </w:rPr>
        <w:t xml:space="preserve"> </w:t>
      </w:r>
      <w:r w:rsidRPr="00E7492D">
        <w:rPr>
          <w:rFonts w:asciiTheme="minorHAnsi" w:hAnsiTheme="minorHAnsi" w:cstheme="minorHAnsi"/>
          <w:i/>
          <w:sz w:val="24"/>
          <w:szCs w:val="24"/>
        </w:rPr>
        <w:t>Where possible</w:t>
      </w:r>
      <w:r w:rsidR="00E7492D" w:rsidRPr="00E7492D">
        <w:rPr>
          <w:rFonts w:asciiTheme="minorHAnsi" w:hAnsiTheme="minorHAnsi" w:cstheme="minorHAnsi"/>
          <w:i/>
          <w:sz w:val="24"/>
          <w:szCs w:val="24"/>
        </w:rPr>
        <w:t>,</w:t>
      </w:r>
      <w:r w:rsidRPr="00E7492D">
        <w:rPr>
          <w:rFonts w:asciiTheme="minorHAnsi" w:hAnsiTheme="minorHAnsi" w:cstheme="minorHAnsi"/>
          <w:i/>
          <w:sz w:val="24"/>
          <w:szCs w:val="24"/>
        </w:rPr>
        <w:t xml:space="preserve"> forecasts and estimates are included within the MTFP and all opportunities for government funding are pursued to ensure any financial impact on </w:t>
      </w:r>
      <w:r w:rsidR="00E7492D" w:rsidRPr="00E7492D">
        <w:rPr>
          <w:rFonts w:asciiTheme="minorHAnsi" w:hAnsiTheme="minorHAnsi" w:cstheme="minorHAnsi"/>
          <w:i/>
          <w:sz w:val="24"/>
          <w:szCs w:val="24"/>
        </w:rPr>
        <w:t>p</w:t>
      </w:r>
      <w:r w:rsidRPr="00E7492D">
        <w:rPr>
          <w:rFonts w:asciiTheme="minorHAnsi" w:hAnsiTheme="minorHAnsi" w:cstheme="minorHAnsi"/>
          <w:i/>
          <w:sz w:val="24"/>
          <w:szCs w:val="24"/>
        </w:rPr>
        <w:t>olicing is minimised.</w:t>
      </w:r>
    </w:p>
    <w:p w14:paraId="01D1021C" w14:textId="77777777" w:rsidR="000D1925" w:rsidRPr="00E7492D" w:rsidRDefault="000D1925" w:rsidP="0003142E">
      <w:pPr>
        <w:spacing w:line="240" w:lineRule="auto"/>
        <w:jc w:val="both"/>
        <w:rPr>
          <w:rFonts w:asciiTheme="minorHAnsi" w:hAnsiTheme="minorHAnsi" w:cstheme="minorHAnsi"/>
          <w:i/>
          <w:sz w:val="24"/>
          <w:szCs w:val="24"/>
        </w:rPr>
      </w:pPr>
    </w:p>
    <w:p w14:paraId="4A4AAA4A" w14:textId="209A1467" w:rsidR="000D1925" w:rsidRPr="00E7492D" w:rsidRDefault="000D1925" w:rsidP="0003142E">
      <w:pPr>
        <w:spacing w:line="240" w:lineRule="auto"/>
        <w:ind w:left="27" w:hanging="27"/>
        <w:jc w:val="both"/>
        <w:rPr>
          <w:rFonts w:asciiTheme="minorHAnsi" w:hAnsiTheme="minorHAnsi" w:cstheme="minorHAnsi"/>
          <w:i/>
          <w:sz w:val="24"/>
          <w:szCs w:val="24"/>
        </w:rPr>
      </w:pPr>
      <w:r w:rsidRPr="00E7492D">
        <w:rPr>
          <w:rFonts w:asciiTheme="minorHAnsi" w:hAnsiTheme="minorHAnsi" w:cstheme="minorHAnsi"/>
          <w:i/>
          <w:sz w:val="24"/>
          <w:szCs w:val="24"/>
        </w:rPr>
        <w:t>In coming to my conclusion on the robustness of the budget</w:t>
      </w:r>
      <w:r w:rsidR="00656A64" w:rsidRPr="00E7492D">
        <w:rPr>
          <w:rFonts w:asciiTheme="minorHAnsi" w:hAnsiTheme="minorHAnsi" w:cstheme="minorHAnsi"/>
          <w:i/>
          <w:sz w:val="24"/>
          <w:szCs w:val="24"/>
        </w:rPr>
        <w:t>,</w:t>
      </w:r>
      <w:r w:rsidRPr="00E7492D">
        <w:rPr>
          <w:rFonts w:asciiTheme="minorHAnsi" w:hAnsiTheme="minorHAnsi" w:cstheme="minorHAnsi"/>
          <w:i/>
          <w:sz w:val="24"/>
          <w:szCs w:val="24"/>
        </w:rPr>
        <w:t xml:space="preserve"> I have also reviewed the </w:t>
      </w:r>
      <w:r w:rsidR="00F57399" w:rsidRPr="00E7492D">
        <w:rPr>
          <w:rFonts w:asciiTheme="minorHAnsi" w:hAnsiTheme="minorHAnsi" w:cstheme="minorHAnsi"/>
          <w:i/>
          <w:sz w:val="24"/>
          <w:szCs w:val="24"/>
        </w:rPr>
        <w:t>c</w:t>
      </w:r>
      <w:r w:rsidRPr="00E7492D">
        <w:rPr>
          <w:rFonts w:asciiTheme="minorHAnsi" w:hAnsiTheme="minorHAnsi" w:cstheme="minorHAnsi"/>
          <w:i/>
          <w:sz w:val="24"/>
          <w:szCs w:val="24"/>
        </w:rPr>
        <w:t xml:space="preserve">apital </w:t>
      </w:r>
      <w:r w:rsidR="00F57399" w:rsidRPr="00E7492D">
        <w:rPr>
          <w:rFonts w:asciiTheme="minorHAnsi" w:hAnsiTheme="minorHAnsi" w:cstheme="minorHAnsi"/>
          <w:i/>
          <w:sz w:val="24"/>
          <w:szCs w:val="24"/>
        </w:rPr>
        <w:t>p</w:t>
      </w:r>
      <w:r w:rsidRPr="00E7492D">
        <w:rPr>
          <w:rFonts w:asciiTheme="minorHAnsi" w:hAnsiTheme="minorHAnsi" w:cstheme="minorHAnsi"/>
          <w:i/>
          <w:sz w:val="24"/>
          <w:szCs w:val="24"/>
        </w:rPr>
        <w:t xml:space="preserve">rogramme and </w:t>
      </w:r>
      <w:r w:rsidR="00F57399" w:rsidRPr="00E7492D">
        <w:rPr>
          <w:rFonts w:asciiTheme="minorHAnsi" w:hAnsiTheme="minorHAnsi" w:cstheme="minorHAnsi"/>
          <w:i/>
          <w:sz w:val="24"/>
          <w:szCs w:val="24"/>
        </w:rPr>
        <w:t>r</w:t>
      </w:r>
      <w:r w:rsidRPr="00E7492D">
        <w:rPr>
          <w:rFonts w:asciiTheme="minorHAnsi" w:hAnsiTheme="minorHAnsi" w:cstheme="minorHAnsi"/>
          <w:i/>
          <w:sz w:val="24"/>
          <w:szCs w:val="24"/>
        </w:rPr>
        <w:t xml:space="preserve">eserves </w:t>
      </w:r>
      <w:r w:rsidR="00F57399" w:rsidRPr="00E7492D">
        <w:rPr>
          <w:rFonts w:asciiTheme="minorHAnsi" w:hAnsiTheme="minorHAnsi" w:cstheme="minorHAnsi"/>
          <w:i/>
          <w:sz w:val="24"/>
          <w:szCs w:val="24"/>
        </w:rPr>
        <w:t>s</w:t>
      </w:r>
      <w:r w:rsidRPr="00E7492D">
        <w:rPr>
          <w:rFonts w:asciiTheme="minorHAnsi" w:hAnsiTheme="minorHAnsi" w:cstheme="minorHAnsi"/>
          <w:i/>
          <w:sz w:val="24"/>
          <w:szCs w:val="24"/>
        </w:rPr>
        <w:t>trategy.</w:t>
      </w:r>
    </w:p>
    <w:p w14:paraId="2D73A29E" w14:textId="77777777" w:rsidR="000D1925" w:rsidRPr="00E7492D" w:rsidRDefault="000D1925" w:rsidP="0003142E">
      <w:pPr>
        <w:spacing w:line="240" w:lineRule="auto"/>
        <w:ind w:left="27" w:hanging="27"/>
        <w:jc w:val="both"/>
        <w:rPr>
          <w:rFonts w:asciiTheme="minorHAnsi" w:hAnsiTheme="minorHAnsi" w:cstheme="minorHAnsi"/>
          <w:i/>
          <w:sz w:val="24"/>
          <w:szCs w:val="24"/>
        </w:rPr>
      </w:pPr>
    </w:p>
    <w:p w14:paraId="483247B0" w14:textId="5AAB5F55" w:rsidR="000D1925" w:rsidRPr="00646E9A" w:rsidRDefault="000D1925" w:rsidP="0003142E">
      <w:pPr>
        <w:spacing w:line="240" w:lineRule="auto"/>
        <w:ind w:left="27" w:hanging="27"/>
        <w:jc w:val="both"/>
        <w:rPr>
          <w:rFonts w:asciiTheme="minorHAnsi" w:hAnsiTheme="minorHAnsi" w:cstheme="minorHAnsi"/>
          <w:i/>
          <w:sz w:val="24"/>
          <w:szCs w:val="24"/>
        </w:rPr>
      </w:pPr>
      <w:r w:rsidRPr="00646E9A">
        <w:rPr>
          <w:rFonts w:asciiTheme="minorHAnsi" w:hAnsiTheme="minorHAnsi" w:cstheme="minorHAnsi"/>
          <w:i/>
          <w:sz w:val="24"/>
          <w:szCs w:val="24"/>
        </w:rPr>
        <w:t xml:space="preserve">The </w:t>
      </w:r>
      <w:r w:rsidR="00E32160" w:rsidRPr="00646E9A">
        <w:rPr>
          <w:rFonts w:asciiTheme="minorHAnsi" w:hAnsiTheme="minorHAnsi" w:cstheme="minorHAnsi"/>
          <w:i/>
          <w:sz w:val="24"/>
          <w:szCs w:val="24"/>
        </w:rPr>
        <w:t>c</w:t>
      </w:r>
      <w:r w:rsidRPr="00646E9A">
        <w:rPr>
          <w:rFonts w:asciiTheme="minorHAnsi" w:hAnsiTheme="minorHAnsi" w:cstheme="minorHAnsi"/>
          <w:i/>
          <w:sz w:val="24"/>
          <w:szCs w:val="24"/>
        </w:rPr>
        <w:t xml:space="preserve">apital </w:t>
      </w:r>
      <w:r w:rsidR="00E32160" w:rsidRPr="00646E9A">
        <w:rPr>
          <w:rFonts w:asciiTheme="minorHAnsi" w:hAnsiTheme="minorHAnsi" w:cstheme="minorHAnsi"/>
          <w:i/>
          <w:sz w:val="24"/>
          <w:szCs w:val="24"/>
        </w:rPr>
        <w:t>p</w:t>
      </w:r>
      <w:r w:rsidRPr="00646E9A">
        <w:rPr>
          <w:rFonts w:asciiTheme="minorHAnsi" w:hAnsiTheme="minorHAnsi" w:cstheme="minorHAnsi"/>
          <w:i/>
          <w:sz w:val="24"/>
          <w:szCs w:val="24"/>
        </w:rPr>
        <w:t xml:space="preserve">rogramme is regularly </w:t>
      </w:r>
      <w:r w:rsidR="005857F1" w:rsidRPr="00646E9A">
        <w:rPr>
          <w:rFonts w:asciiTheme="minorHAnsi" w:hAnsiTheme="minorHAnsi" w:cstheme="minorHAnsi"/>
          <w:i/>
          <w:sz w:val="24"/>
          <w:szCs w:val="24"/>
        </w:rPr>
        <w:t>updat</w:t>
      </w:r>
      <w:r w:rsidRPr="00646E9A">
        <w:rPr>
          <w:rFonts w:asciiTheme="minorHAnsi" w:hAnsiTheme="minorHAnsi" w:cstheme="minorHAnsi"/>
          <w:i/>
          <w:sz w:val="24"/>
          <w:szCs w:val="24"/>
        </w:rPr>
        <w:t>ed</w:t>
      </w:r>
      <w:r w:rsidR="005857F1" w:rsidRPr="00646E9A">
        <w:rPr>
          <w:rFonts w:asciiTheme="minorHAnsi" w:hAnsiTheme="minorHAnsi" w:cstheme="minorHAnsi"/>
          <w:i/>
          <w:sz w:val="24"/>
          <w:szCs w:val="24"/>
        </w:rPr>
        <w:t>,</w:t>
      </w:r>
      <w:r w:rsidRPr="00646E9A">
        <w:rPr>
          <w:rFonts w:asciiTheme="minorHAnsi" w:hAnsiTheme="minorHAnsi" w:cstheme="minorHAnsi"/>
          <w:i/>
          <w:sz w:val="24"/>
          <w:szCs w:val="24"/>
        </w:rPr>
        <w:t xml:space="preserve"> and all opportunities are taken to rephase the programme, seek external funding and apply for grants. </w:t>
      </w:r>
      <w:r w:rsidR="005857F1" w:rsidRPr="00646E9A">
        <w:rPr>
          <w:rFonts w:asciiTheme="minorHAnsi" w:hAnsiTheme="minorHAnsi" w:cstheme="minorHAnsi"/>
          <w:i/>
          <w:sz w:val="24"/>
          <w:szCs w:val="24"/>
        </w:rPr>
        <w:t xml:space="preserve"> </w:t>
      </w:r>
      <w:r w:rsidRPr="00646E9A">
        <w:rPr>
          <w:rFonts w:asciiTheme="minorHAnsi" w:hAnsiTheme="minorHAnsi" w:cstheme="minorHAnsi"/>
          <w:i/>
          <w:sz w:val="24"/>
          <w:szCs w:val="24"/>
        </w:rPr>
        <w:t>All of these would assist in mitigating costs on the revenue budget.</w:t>
      </w:r>
    </w:p>
    <w:p w14:paraId="4BF4FEEF" w14:textId="77777777" w:rsidR="000D1925" w:rsidRPr="00646E9A" w:rsidRDefault="000D1925" w:rsidP="0003142E">
      <w:pPr>
        <w:spacing w:line="240" w:lineRule="auto"/>
        <w:ind w:left="27" w:hanging="27"/>
        <w:jc w:val="both"/>
        <w:rPr>
          <w:rFonts w:asciiTheme="minorHAnsi" w:hAnsiTheme="minorHAnsi" w:cstheme="minorHAnsi"/>
          <w:i/>
          <w:sz w:val="24"/>
          <w:szCs w:val="24"/>
        </w:rPr>
      </w:pPr>
    </w:p>
    <w:p w14:paraId="10E4E20E" w14:textId="1F371B44" w:rsidR="000D1925" w:rsidRPr="00646E9A" w:rsidRDefault="000D1925" w:rsidP="0003142E">
      <w:pPr>
        <w:spacing w:line="240" w:lineRule="auto"/>
        <w:ind w:left="27" w:hanging="27"/>
        <w:jc w:val="both"/>
        <w:rPr>
          <w:rFonts w:asciiTheme="minorHAnsi" w:hAnsiTheme="minorHAnsi" w:cstheme="minorHAnsi"/>
          <w:i/>
          <w:sz w:val="24"/>
          <w:szCs w:val="24"/>
        </w:rPr>
      </w:pPr>
      <w:r w:rsidRPr="00646E9A">
        <w:rPr>
          <w:rFonts w:asciiTheme="minorHAnsi" w:hAnsiTheme="minorHAnsi" w:cstheme="minorHAnsi"/>
          <w:i/>
          <w:sz w:val="24"/>
          <w:szCs w:val="24"/>
        </w:rPr>
        <w:t xml:space="preserve">General </w:t>
      </w:r>
      <w:r w:rsidR="00F57399" w:rsidRPr="00646E9A">
        <w:rPr>
          <w:rFonts w:asciiTheme="minorHAnsi" w:hAnsiTheme="minorHAnsi" w:cstheme="minorHAnsi"/>
          <w:i/>
          <w:sz w:val="24"/>
          <w:szCs w:val="24"/>
        </w:rPr>
        <w:t>r</w:t>
      </w:r>
      <w:r w:rsidRPr="00646E9A">
        <w:rPr>
          <w:rFonts w:asciiTheme="minorHAnsi" w:hAnsiTheme="minorHAnsi" w:cstheme="minorHAnsi"/>
          <w:i/>
          <w:sz w:val="24"/>
          <w:szCs w:val="24"/>
        </w:rPr>
        <w:t xml:space="preserve">eserves </w:t>
      </w:r>
      <w:r w:rsidR="00541FBF" w:rsidRPr="00646E9A">
        <w:rPr>
          <w:rFonts w:asciiTheme="minorHAnsi" w:hAnsiTheme="minorHAnsi" w:cstheme="minorHAnsi"/>
          <w:i/>
          <w:sz w:val="24"/>
          <w:szCs w:val="24"/>
        </w:rPr>
        <w:t>are established at £5</w:t>
      </w:r>
      <w:r w:rsidR="005857F1" w:rsidRPr="00646E9A">
        <w:rPr>
          <w:rFonts w:asciiTheme="minorHAnsi" w:hAnsiTheme="minorHAnsi" w:cstheme="minorHAnsi"/>
          <w:i/>
          <w:sz w:val="24"/>
          <w:szCs w:val="24"/>
        </w:rPr>
        <w:t>.3</w:t>
      </w:r>
      <w:r w:rsidR="00541FBF" w:rsidRPr="00646E9A">
        <w:rPr>
          <w:rFonts w:asciiTheme="minorHAnsi" w:hAnsiTheme="minorHAnsi" w:cstheme="minorHAnsi"/>
          <w:i/>
          <w:sz w:val="24"/>
          <w:szCs w:val="24"/>
        </w:rPr>
        <w:t xml:space="preserve">m </w:t>
      </w:r>
      <w:r w:rsidR="00B4779C" w:rsidRPr="00646E9A">
        <w:rPr>
          <w:rFonts w:asciiTheme="minorHAnsi" w:hAnsiTheme="minorHAnsi" w:cstheme="minorHAnsi"/>
          <w:i/>
          <w:sz w:val="24"/>
          <w:szCs w:val="24"/>
        </w:rPr>
        <w:t xml:space="preserve">which is </w:t>
      </w:r>
      <w:r w:rsidR="00541FBF" w:rsidRPr="00646E9A">
        <w:rPr>
          <w:rFonts w:asciiTheme="minorHAnsi" w:hAnsiTheme="minorHAnsi" w:cstheme="minorHAnsi"/>
          <w:i/>
          <w:sz w:val="24"/>
          <w:szCs w:val="24"/>
        </w:rPr>
        <w:t xml:space="preserve">above the guideline </w:t>
      </w:r>
      <w:r w:rsidR="005857F1" w:rsidRPr="00646E9A">
        <w:rPr>
          <w:rFonts w:asciiTheme="minorHAnsi" w:hAnsiTheme="minorHAnsi" w:cstheme="minorHAnsi"/>
          <w:i/>
          <w:sz w:val="24"/>
          <w:szCs w:val="24"/>
        </w:rPr>
        <w:t xml:space="preserve">minimum </w:t>
      </w:r>
      <w:r w:rsidR="00541FBF" w:rsidRPr="00646E9A">
        <w:rPr>
          <w:rFonts w:asciiTheme="minorHAnsi" w:hAnsiTheme="minorHAnsi" w:cstheme="minorHAnsi"/>
          <w:i/>
          <w:sz w:val="24"/>
          <w:szCs w:val="24"/>
        </w:rPr>
        <w:t xml:space="preserve">level and </w:t>
      </w:r>
      <w:r w:rsidRPr="00646E9A">
        <w:rPr>
          <w:rFonts w:asciiTheme="minorHAnsi" w:hAnsiTheme="minorHAnsi" w:cstheme="minorHAnsi"/>
          <w:i/>
          <w:sz w:val="24"/>
          <w:szCs w:val="24"/>
        </w:rPr>
        <w:t xml:space="preserve">as at the </w:t>
      </w:r>
      <w:r w:rsidR="00B40836" w:rsidRPr="00646E9A">
        <w:rPr>
          <w:rFonts w:asciiTheme="minorHAnsi" w:hAnsiTheme="minorHAnsi" w:cstheme="minorHAnsi"/>
          <w:i/>
          <w:sz w:val="24"/>
          <w:szCs w:val="24"/>
        </w:rPr>
        <w:t>31 March 2025</w:t>
      </w:r>
      <w:r w:rsidR="00541FBF" w:rsidRPr="00646E9A">
        <w:rPr>
          <w:rFonts w:asciiTheme="minorHAnsi" w:hAnsiTheme="minorHAnsi" w:cstheme="minorHAnsi"/>
          <w:i/>
          <w:sz w:val="24"/>
          <w:szCs w:val="24"/>
        </w:rPr>
        <w:t>,</w:t>
      </w:r>
      <w:r w:rsidRPr="00646E9A">
        <w:rPr>
          <w:rFonts w:asciiTheme="minorHAnsi" w:hAnsiTheme="minorHAnsi" w:cstheme="minorHAnsi"/>
          <w:i/>
          <w:sz w:val="24"/>
          <w:szCs w:val="24"/>
        </w:rPr>
        <w:t xml:space="preserve"> it is estimated that there will be </w:t>
      </w:r>
      <w:r w:rsidR="005857F1" w:rsidRPr="00646E9A">
        <w:rPr>
          <w:rFonts w:asciiTheme="minorHAnsi" w:hAnsiTheme="minorHAnsi" w:cstheme="minorHAnsi"/>
          <w:i/>
          <w:sz w:val="24"/>
          <w:szCs w:val="24"/>
        </w:rPr>
        <w:t>almost</w:t>
      </w:r>
      <w:r w:rsidRPr="00646E9A">
        <w:rPr>
          <w:rFonts w:asciiTheme="minorHAnsi" w:hAnsiTheme="minorHAnsi" w:cstheme="minorHAnsi"/>
          <w:i/>
          <w:sz w:val="24"/>
          <w:szCs w:val="24"/>
        </w:rPr>
        <w:t xml:space="preserve"> £</w:t>
      </w:r>
      <w:r w:rsidR="00646E9A" w:rsidRPr="00646E9A">
        <w:rPr>
          <w:rFonts w:asciiTheme="minorHAnsi" w:hAnsiTheme="minorHAnsi" w:cstheme="minorHAnsi"/>
          <w:i/>
          <w:sz w:val="24"/>
          <w:szCs w:val="24"/>
        </w:rPr>
        <w:t>21</w:t>
      </w:r>
      <w:r w:rsidR="005857F1" w:rsidRPr="00646E9A">
        <w:rPr>
          <w:rFonts w:asciiTheme="minorHAnsi" w:hAnsiTheme="minorHAnsi" w:cstheme="minorHAnsi"/>
          <w:i/>
          <w:sz w:val="24"/>
          <w:szCs w:val="24"/>
        </w:rPr>
        <w:t>.</w:t>
      </w:r>
      <w:r w:rsidR="00646E9A" w:rsidRPr="00646E9A">
        <w:rPr>
          <w:rFonts w:asciiTheme="minorHAnsi" w:hAnsiTheme="minorHAnsi" w:cstheme="minorHAnsi"/>
          <w:i/>
          <w:sz w:val="24"/>
          <w:szCs w:val="24"/>
        </w:rPr>
        <w:t>4</w:t>
      </w:r>
      <w:r w:rsidRPr="00646E9A">
        <w:rPr>
          <w:rFonts w:asciiTheme="minorHAnsi" w:hAnsiTheme="minorHAnsi" w:cstheme="minorHAnsi"/>
          <w:i/>
          <w:sz w:val="24"/>
          <w:szCs w:val="24"/>
        </w:rPr>
        <w:t xml:space="preserve">m of revenue reserves </w:t>
      </w:r>
      <w:r w:rsidR="005857F1" w:rsidRPr="00646E9A">
        <w:rPr>
          <w:rFonts w:asciiTheme="minorHAnsi" w:hAnsiTheme="minorHAnsi" w:cstheme="minorHAnsi"/>
          <w:i/>
          <w:sz w:val="24"/>
          <w:szCs w:val="24"/>
        </w:rPr>
        <w:t xml:space="preserve">in total </w:t>
      </w:r>
      <w:r w:rsidRPr="00646E9A">
        <w:rPr>
          <w:rFonts w:asciiTheme="minorHAnsi" w:hAnsiTheme="minorHAnsi" w:cstheme="minorHAnsi"/>
          <w:i/>
          <w:sz w:val="24"/>
          <w:szCs w:val="24"/>
        </w:rPr>
        <w:t>available to support the budget and mitigate challenges if required.</w:t>
      </w:r>
    </w:p>
    <w:p w14:paraId="37C0F4A6" w14:textId="77777777" w:rsidR="000D1925" w:rsidRPr="00646E9A" w:rsidRDefault="000D1925" w:rsidP="0003142E">
      <w:pPr>
        <w:spacing w:line="240" w:lineRule="auto"/>
        <w:ind w:left="27" w:hanging="27"/>
        <w:jc w:val="both"/>
        <w:rPr>
          <w:rFonts w:asciiTheme="minorHAnsi" w:hAnsiTheme="minorHAnsi" w:cstheme="minorHAnsi"/>
          <w:i/>
          <w:sz w:val="24"/>
          <w:szCs w:val="24"/>
        </w:rPr>
      </w:pPr>
    </w:p>
    <w:p w14:paraId="57A7A761" w14:textId="7A009BE4" w:rsidR="000D1925" w:rsidRPr="00646E9A" w:rsidRDefault="000D1925" w:rsidP="0003142E">
      <w:pPr>
        <w:spacing w:line="240" w:lineRule="auto"/>
        <w:ind w:left="27" w:hanging="27"/>
        <w:jc w:val="both"/>
        <w:rPr>
          <w:rFonts w:asciiTheme="minorHAnsi" w:hAnsiTheme="minorHAnsi" w:cstheme="minorHAnsi"/>
          <w:i/>
          <w:sz w:val="24"/>
          <w:szCs w:val="24"/>
        </w:rPr>
      </w:pPr>
      <w:r w:rsidRPr="00646E9A">
        <w:rPr>
          <w:rFonts w:asciiTheme="minorHAnsi" w:hAnsiTheme="minorHAnsi" w:cstheme="minorHAnsi"/>
          <w:i/>
          <w:sz w:val="24"/>
          <w:szCs w:val="24"/>
        </w:rPr>
        <w:t xml:space="preserve">Whilst a balanced budget is </w:t>
      </w:r>
      <w:r w:rsidR="005857F1" w:rsidRPr="00646E9A">
        <w:rPr>
          <w:rFonts w:asciiTheme="minorHAnsi" w:hAnsiTheme="minorHAnsi" w:cstheme="minorHAnsi"/>
          <w:i/>
          <w:sz w:val="24"/>
          <w:szCs w:val="24"/>
        </w:rPr>
        <w:t>possible</w:t>
      </w:r>
      <w:r w:rsidRPr="00646E9A">
        <w:rPr>
          <w:rFonts w:asciiTheme="minorHAnsi" w:hAnsiTheme="minorHAnsi" w:cstheme="minorHAnsi"/>
          <w:i/>
          <w:sz w:val="24"/>
          <w:szCs w:val="24"/>
        </w:rPr>
        <w:t xml:space="preserve"> for</w:t>
      </w:r>
      <w:r w:rsidR="00541FBF" w:rsidRPr="00646E9A">
        <w:rPr>
          <w:rFonts w:asciiTheme="minorHAnsi" w:hAnsiTheme="minorHAnsi" w:cstheme="minorHAnsi"/>
          <w:i/>
          <w:sz w:val="24"/>
          <w:szCs w:val="24"/>
        </w:rPr>
        <w:t xml:space="preserve"> the next three years, </w:t>
      </w:r>
      <w:r w:rsidRPr="00646E9A">
        <w:rPr>
          <w:rFonts w:asciiTheme="minorHAnsi" w:hAnsiTheme="minorHAnsi" w:cstheme="minorHAnsi"/>
          <w:i/>
          <w:sz w:val="24"/>
          <w:szCs w:val="24"/>
        </w:rPr>
        <w:t>after that time, the landscape is less certain</w:t>
      </w:r>
      <w:r w:rsidR="00547E86" w:rsidRPr="00646E9A">
        <w:rPr>
          <w:rFonts w:asciiTheme="minorHAnsi" w:hAnsiTheme="minorHAnsi" w:cstheme="minorHAnsi"/>
          <w:i/>
          <w:sz w:val="24"/>
          <w:szCs w:val="24"/>
        </w:rPr>
        <w:t>,</w:t>
      </w:r>
      <w:r w:rsidRPr="00646E9A">
        <w:rPr>
          <w:rFonts w:asciiTheme="minorHAnsi" w:hAnsiTheme="minorHAnsi" w:cstheme="minorHAnsi"/>
          <w:i/>
          <w:sz w:val="24"/>
          <w:szCs w:val="24"/>
        </w:rPr>
        <w:t xml:space="preserve"> and it is reasonable to assume that the operational and financial challenges will continue</w:t>
      </w:r>
      <w:r w:rsidR="006F130B" w:rsidRPr="00646E9A">
        <w:rPr>
          <w:rFonts w:asciiTheme="minorHAnsi" w:hAnsiTheme="minorHAnsi" w:cstheme="minorHAnsi"/>
          <w:i/>
          <w:sz w:val="24"/>
          <w:szCs w:val="24"/>
        </w:rPr>
        <w:t>,</w:t>
      </w:r>
      <w:r w:rsidRPr="00646E9A">
        <w:rPr>
          <w:rFonts w:asciiTheme="minorHAnsi" w:hAnsiTheme="minorHAnsi" w:cstheme="minorHAnsi"/>
          <w:i/>
          <w:sz w:val="24"/>
          <w:szCs w:val="24"/>
        </w:rPr>
        <w:t xml:space="preserve"> and these are reflected as best estimates in the MTFP. </w:t>
      </w:r>
    </w:p>
    <w:p w14:paraId="0CEA51EC" w14:textId="77777777" w:rsidR="00B40836" w:rsidRPr="00646E9A" w:rsidRDefault="00B40836" w:rsidP="0003142E">
      <w:pPr>
        <w:spacing w:line="240" w:lineRule="auto"/>
        <w:ind w:left="27" w:hanging="27"/>
        <w:jc w:val="both"/>
        <w:rPr>
          <w:rFonts w:asciiTheme="minorHAnsi" w:hAnsiTheme="minorHAnsi" w:cstheme="minorHAnsi"/>
          <w:i/>
          <w:sz w:val="24"/>
          <w:szCs w:val="24"/>
        </w:rPr>
      </w:pPr>
    </w:p>
    <w:p w14:paraId="55CD2288" w14:textId="10D9AE84" w:rsidR="000D1925" w:rsidRPr="00646E9A" w:rsidRDefault="000D1925" w:rsidP="0003142E">
      <w:pPr>
        <w:spacing w:line="240" w:lineRule="auto"/>
        <w:jc w:val="both"/>
        <w:rPr>
          <w:rFonts w:asciiTheme="minorHAnsi" w:hAnsiTheme="minorHAnsi" w:cstheme="minorHAnsi"/>
          <w:i/>
          <w:sz w:val="24"/>
          <w:szCs w:val="24"/>
        </w:rPr>
      </w:pPr>
      <w:r w:rsidRPr="00646E9A">
        <w:rPr>
          <w:rFonts w:asciiTheme="minorHAnsi" w:hAnsiTheme="minorHAnsi" w:cstheme="minorHAnsi"/>
          <w:i/>
          <w:sz w:val="24"/>
          <w:szCs w:val="24"/>
        </w:rPr>
        <w:t xml:space="preserve">I conclude, therefore, that the budget for </w:t>
      </w:r>
      <w:r w:rsidR="00220144" w:rsidRPr="00646E9A">
        <w:rPr>
          <w:rFonts w:asciiTheme="minorHAnsi" w:hAnsiTheme="minorHAnsi" w:cstheme="minorHAnsi"/>
          <w:i/>
          <w:sz w:val="24"/>
          <w:szCs w:val="24"/>
        </w:rPr>
        <w:t>202</w:t>
      </w:r>
      <w:r w:rsidR="00655DA1" w:rsidRPr="00646E9A">
        <w:rPr>
          <w:rFonts w:asciiTheme="minorHAnsi" w:hAnsiTheme="minorHAnsi" w:cstheme="minorHAnsi"/>
          <w:i/>
          <w:sz w:val="24"/>
          <w:szCs w:val="24"/>
        </w:rPr>
        <w:t>4</w:t>
      </w:r>
      <w:r w:rsidR="00220144" w:rsidRPr="00646E9A">
        <w:rPr>
          <w:rFonts w:asciiTheme="minorHAnsi" w:hAnsiTheme="minorHAnsi" w:cstheme="minorHAnsi"/>
          <w:i/>
          <w:sz w:val="24"/>
          <w:szCs w:val="24"/>
        </w:rPr>
        <w:t>/2</w:t>
      </w:r>
      <w:r w:rsidR="00655DA1" w:rsidRPr="00646E9A">
        <w:rPr>
          <w:rFonts w:asciiTheme="minorHAnsi" w:hAnsiTheme="minorHAnsi" w:cstheme="minorHAnsi"/>
          <w:i/>
          <w:sz w:val="24"/>
          <w:szCs w:val="24"/>
        </w:rPr>
        <w:t>5</w:t>
      </w:r>
      <w:r w:rsidRPr="00646E9A">
        <w:rPr>
          <w:rFonts w:asciiTheme="minorHAnsi" w:hAnsiTheme="minorHAnsi" w:cstheme="minorHAnsi"/>
          <w:i/>
          <w:sz w:val="24"/>
          <w:szCs w:val="24"/>
        </w:rPr>
        <w:t>:</w:t>
      </w:r>
    </w:p>
    <w:p w14:paraId="39B2AF19" w14:textId="77777777" w:rsidR="000D1925" w:rsidRPr="00646E9A" w:rsidRDefault="000D1925" w:rsidP="0003142E">
      <w:pPr>
        <w:spacing w:line="240" w:lineRule="auto"/>
        <w:ind w:left="27" w:hanging="27"/>
        <w:jc w:val="both"/>
        <w:rPr>
          <w:rFonts w:asciiTheme="minorHAnsi" w:hAnsiTheme="minorHAnsi" w:cstheme="minorHAnsi"/>
          <w:i/>
          <w:sz w:val="24"/>
          <w:szCs w:val="24"/>
        </w:rPr>
      </w:pPr>
    </w:p>
    <w:p w14:paraId="16F416F2" w14:textId="50EE3295" w:rsidR="000D1925" w:rsidRPr="00646E9A" w:rsidRDefault="000D1925" w:rsidP="00CC0A00">
      <w:pPr>
        <w:pStyle w:val="ListParagraph"/>
        <w:numPr>
          <w:ilvl w:val="0"/>
          <w:numId w:val="1"/>
        </w:numPr>
        <w:spacing w:line="240" w:lineRule="auto"/>
        <w:ind w:left="284" w:hanging="284"/>
        <w:jc w:val="both"/>
        <w:rPr>
          <w:rFonts w:asciiTheme="minorHAnsi" w:hAnsiTheme="minorHAnsi" w:cstheme="minorHAnsi"/>
          <w:i/>
          <w:sz w:val="24"/>
          <w:szCs w:val="24"/>
        </w:rPr>
      </w:pPr>
      <w:r w:rsidRPr="00646E9A">
        <w:rPr>
          <w:rFonts w:asciiTheme="minorHAnsi" w:hAnsiTheme="minorHAnsi" w:cstheme="minorHAnsi"/>
          <w:i/>
          <w:sz w:val="24"/>
          <w:szCs w:val="24"/>
        </w:rPr>
        <w:t>Has been prepared on a robust basis</w:t>
      </w:r>
      <w:r w:rsidR="006F130B" w:rsidRPr="00646E9A">
        <w:rPr>
          <w:rFonts w:asciiTheme="minorHAnsi" w:hAnsiTheme="minorHAnsi" w:cstheme="minorHAnsi"/>
          <w:i/>
          <w:sz w:val="24"/>
          <w:szCs w:val="24"/>
        </w:rPr>
        <w:t>.</w:t>
      </w:r>
    </w:p>
    <w:p w14:paraId="2D20F29E" w14:textId="77777777" w:rsidR="000D1925" w:rsidRPr="00646E9A" w:rsidRDefault="000D1925" w:rsidP="0003142E">
      <w:pPr>
        <w:spacing w:line="240" w:lineRule="auto"/>
        <w:ind w:hanging="27"/>
        <w:jc w:val="both"/>
        <w:rPr>
          <w:rFonts w:asciiTheme="minorHAnsi" w:hAnsiTheme="minorHAnsi" w:cstheme="minorHAnsi"/>
          <w:i/>
          <w:sz w:val="24"/>
          <w:szCs w:val="24"/>
        </w:rPr>
      </w:pPr>
    </w:p>
    <w:p w14:paraId="334EBE70" w14:textId="377AB4FC" w:rsidR="000D1925" w:rsidRPr="00646E9A" w:rsidRDefault="000D1925" w:rsidP="00CC0A00">
      <w:pPr>
        <w:pStyle w:val="ListParagraph"/>
        <w:numPr>
          <w:ilvl w:val="0"/>
          <w:numId w:val="1"/>
        </w:numPr>
        <w:spacing w:line="240" w:lineRule="auto"/>
        <w:ind w:left="284" w:hanging="284"/>
        <w:jc w:val="both"/>
        <w:rPr>
          <w:rFonts w:asciiTheme="minorHAnsi" w:hAnsiTheme="minorHAnsi" w:cstheme="minorHAnsi"/>
          <w:i/>
          <w:sz w:val="24"/>
          <w:szCs w:val="24"/>
        </w:rPr>
      </w:pPr>
      <w:r w:rsidRPr="00646E9A">
        <w:rPr>
          <w:rFonts w:asciiTheme="minorHAnsi" w:hAnsiTheme="minorHAnsi" w:cstheme="minorHAnsi"/>
          <w:i/>
          <w:sz w:val="24"/>
          <w:szCs w:val="24"/>
        </w:rPr>
        <w:t xml:space="preserve">Continues with the intention to </w:t>
      </w:r>
      <w:r w:rsidR="00B4779C" w:rsidRPr="00646E9A">
        <w:rPr>
          <w:rFonts w:asciiTheme="minorHAnsi" w:hAnsiTheme="minorHAnsi" w:cstheme="minorHAnsi"/>
          <w:i/>
          <w:sz w:val="24"/>
          <w:szCs w:val="24"/>
        </w:rPr>
        <w:t xml:space="preserve">maintain </w:t>
      </w:r>
      <w:r w:rsidRPr="00646E9A">
        <w:rPr>
          <w:rFonts w:asciiTheme="minorHAnsi" w:hAnsiTheme="minorHAnsi" w:cstheme="minorHAnsi"/>
          <w:i/>
          <w:sz w:val="24"/>
          <w:szCs w:val="24"/>
        </w:rPr>
        <w:t xml:space="preserve">additional police officers in line with the national uplift, </w:t>
      </w:r>
      <w:r w:rsidR="00655DA1" w:rsidRPr="00646E9A">
        <w:rPr>
          <w:rFonts w:asciiTheme="minorHAnsi" w:hAnsiTheme="minorHAnsi" w:cstheme="minorHAnsi"/>
          <w:i/>
          <w:sz w:val="24"/>
          <w:szCs w:val="24"/>
        </w:rPr>
        <w:t>at</w:t>
      </w:r>
      <w:r w:rsidRPr="00646E9A">
        <w:rPr>
          <w:rFonts w:asciiTheme="minorHAnsi" w:hAnsiTheme="minorHAnsi" w:cstheme="minorHAnsi"/>
          <w:i/>
          <w:sz w:val="24"/>
          <w:szCs w:val="24"/>
        </w:rPr>
        <w:t xml:space="preserve"> to over 1</w:t>
      </w:r>
      <w:r w:rsidR="00714120">
        <w:rPr>
          <w:rFonts w:asciiTheme="minorHAnsi" w:hAnsiTheme="minorHAnsi" w:cstheme="minorHAnsi"/>
          <w:i/>
          <w:sz w:val="24"/>
          <w:szCs w:val="24"/>
        </w:rPr>
        <w:t>,</w:t>
      </w:r>
      <w:r w:rsidRPr="00646E9A">
        <w:rPr>
          <w:rFonts w:asciiTheme="minorHAnsi" w:hAnsiTheme="minorHAnsi" w:cstheme="minorHAnsi"/>
          <w:i/>
          <w:sz w:val="24"/>
          <w:szCs w:val="24"/>
        </w:rPr>
        <w:t xml:space="preserve">500. </w:t>
      </w:r>
    </w:p>
    <w:p w14:paraId="75125C20" w14:textId="77777777" w:rsidR="00541FBF" w:rsidRPr="00646E9A" w:rsidRDefault="00541FBF" w:rsidP="00541FBF">
      <w:pPr>
        <w:pStyle w:val="ListParagraph"/>
        <w:spacing w:line="240" w:lineRule="auto"/>
        <w:ind w:left="284"/>
        <w:jc w:val="both"/>
        <w:rPr>
          <w:rFonts w:asciiTheme="minorHAnsi" w:hAnsiTheme="minorHAnsi" w:cstheme="minorHAnsi"/>
          <w:i/>
          <w:sz w:val="24"/>
          <w:szCs w:val="24"/>
        </w:rPr>
      </w:pPr>
    </w:p>
    <w:p w14:paraId="6EEC8F0C" w14:textId="77777777" w:rsidR="000D1925" w:rsidRPr="00646E9A" w:rsidRDefault="000D1925" w:rsidP="00CC0A00">
      <w:pPr>
        <w:pStyle w:val="ListParagraph"/>
        <w:numPr>
          <w:ilvl w:val="0"/>
          <w:numId w:val="1"/>
        </w:numPr>
        <w:spacing w:line="240" w:lineRule="auto"/>
        <w:ind w:left="284" w:hanging="284"/>
        <w:jc w:val="both"/>
        <w:rPr>
          <w:rFonts w:asciiTheme="minorHAnsi" w:hAnsiTheme="minorHAnsi" w:cstheme="minorHAnsi"/>
          <w:i/>
          <w:sz w:val="24"/>
          <w:szCs w:val="24"/>
        </w:rPr>
      </w:pPr>
      <w:r w:rsidRPr="00646E9A">
        <w:rPr>
          <w:rFonts w:asciiTheme="minorHAnsi" w:hAnsiTheme="minorHAnsi" w:cstheme="minorHAnsi"/>
          <w:i/>
          <w:sz w:val="24"/>
          <w:szCs w:val="24"/>
        </w:rPr>
        <w:t>Includes investment to help manage demand and increase efficiency and/or capacity.</w:t>
      </w:r>
    </w:p>
    <w:p w14:paraId="0438C0B1" w14:textId="77777777" w:rsidR="000D1925" w:rsidRPr="00646E9A" w:rsidRDefault="000D1925" w:rsidP="0003142E">
      <w:pPr>
        <w:pStyle w:val="ListParagraph"/>
        <w:spacing w:line="240" w:lineRule="auto"/>
        <w:ind w:left="284" w:hanging="284"/>
        <w:jc w:val="both"/>
        <w:rPr>
          <w:rFonts w:asciiTheme="minorHAnsi" w:hAnsiTheme="minorHAnsi" w:cstheme="minorHAnsi"/>
          <w:i/>
          <w:sz w:val="24"/>
          <w:szCs w:val="24"/>
        </w:rPr>
      </w:pPr>
    </w:p>
    <w:p w14:paraId="1044E733" w14:textId="03A3F83C" w:rsidR="000D1925" w:rsidRPr="00646E9A" w:rsidRDefault="000D1925" w:rsidP="00CC0A00">
      <w:pPr>
        <w:pStyle w:val="ListParagraph"/>
        <w:numPr>
          <w:ilvl w:val="0"/>
          <w:numId w:val="1"/>
        </w:numPr>
        <w:spacing w:line="240" w:lineRule="auto"/>
        <w:ind w:left="284" w:hanging="284"/>
        <w:jc w:val="both"/>
        <w:rPr>
          <w:rFonts w:asciiTheme="minorHAnsi" w:hAnsiTheme="minorHAnsi" w:cstheme="minorHAnsi"/>
          <w:i/>
          <w:sz w:val="24"/>
          <w:szCs w:val="24"/>
        </w:rPr>
      </w:pPr>
      <w:r w:rsidRPr="00646E9A">
        <w:rPr>
          <w:rFonts w:asciiTheme="minorHAnsi" w:hAnsiTheme="minorHAnsi" w:cstheme="minorHAnsi"/>
          <w:i/>
          <w:sz w:val="24"/>
          <w:szCs w:val="24"/>
        </w:rPr>
        <w:t xml:space="preserve">The budget can be balanced for the next </w:t>
      </w:r>
      <w:r w:rsidR="00541FBF" w:rsidRPr="00646E9A">
        <w:rPr>
          <w:rFonts w:asciiTheme="minorHAnsi" w:hAnsiTheme="minorHAnsi" w:cstheme="minorHAnsi"/>
          <w:i/>
          <w:sz w:val="24"/>
          <w:szCs w:val="24"/>
        </w:rPr>
        <w:t>three</w:t>
      </w:r>
      <w:r w:rsidRPr="00646E9A">
        <w:rPr>
          <w:rFonts w:asciiTheme="minorHAnsi" w:hAnsiTheme="minorHAnsi" w:cstheme="minorHAnsi"/>
          <w:i/>
          <w:sz w:val="24"/>
          <w:szCs w:val="24"/>
        </w:rPr>
        <w:t xml:space="preserve"> financial years</w:t>
      </w:r>
      <w:r w:rsidR="00541FBF" w:rsidRPr="00646E9A">
        <w:rPr>
          <w:rFonts w:asciiTheme="minorHAnsi" w:hAnsiTheme="minorHAnsi" w:cstheme="minorHAnsi"/>
          <w:i/>
          <w:sz w:val="24"/>
          <w:szCs w:val="24"/>
        </w:rPr>
        <w:t xml:space="preserve">, with a savings plan and work </w:t>
      </w:r>
      <w:r w:rsidRPr="00646E9A">
        <w:rPr>
          <w:rFonts w:asciiTheme="minorHAnsi" w:hAnsiTheme="minorHAnsi" w:cstheme="minorHAnsi"/>
          <w:i/>
          <w:sz w:val="24"/>
          <w:szCs w:val="24"/>
        </w:rPr>
        <w:t>is already underway by the Chief Constable to identify the balance</w:t>
      </w:r>
      <w:r w:rsidR="00541FBF" w:rsidRPr="00646E9A">
        <w:rPr>
          <w:rFonts w:asciiTheme="minorHAnsi" w:hAnsiTheme="minorHAnsi" w:cstheme="minorHAnsi"/>
          <w:i/>
          <w:sz w:val="24"/>
          <w:szCs w:val="24"/>
        </w:rPr>
        <w:t xml:space="preserve"> after that time. </w:t>
      </w:r>
      <w:r w:rsidRPr="00646E9A">
        <w:rPr>
          <w:rFonts w:asciiTheme="minorHAnsi" w:hAnsiTheme="minorHAnsi" w:cstheme="minorHAnsi"/>
          <w:i/>
          <w:sz w:val="24"/>
          <w:szCs w:val="24"/>
        </w:rPr>
        <w:t xml:space="preserve">Furthermore, </w:t>
      </w:r>
      <w:r w:rsidRPr="00646E9A">
        <w:rPr>
          <w:rFonts w:asciiTheme="minorHAnsi" w:hAnsiTheme="minorHAnsi" w:cstheme="minorHAnsi"/>
          <w:i/>
          <w:sz w:val="24"/>
          <w:szCs w:val="24"/>
        </w:rPr>
        <w:lastRenderedPageBreak/>
        <w:t xml:space="preserve">reserves are adequate to mitigate the impact of the shortfalls in the MTFP over the </w:t>
      </w:r>
      <w:r w:rsidR="00696B85" w:rsidRPr="00646E9A">
        <w:rPr>
          <w:rFonts w:asciiTheme="minorHAnsi" w:hAnsiTheme="minorHAnsi" w:cstheme="minorHAnsi"/>
          <w:i/>
          <w:sz w:val="24"/>
          <w:szCs w:val="24"/>
        </w:rPr>
        <w:t>five-year</w:t>
      </w:r>
      <w:r w:rsidRPr="00646E9A">
        <w:rPr>
          <w:rFonts w:asciiTheme="minorHAnsi" w:hAnsiTheme="minorHAnsi" w:cstheme="minorHAnsi"/>
          <w:i/>
          <w:sz w:val="24"/>
          <w:szCs w:val="24"/>
        </w:rPr>
        <w:t xml:space="preserve"> period if </w:t>
      </w:r>
      <w:r w:rsidR="00541FBF" w:rsidRPr="00646E9A">
        <w:rPr>
          <w:rFonts w:asciiTheme="minorHAnsi" w:hAnsiTheme="minorHAnsi" w:cstheme="minorHAnsi"/>
          <w:i/>
          <w:sz w:val="24"/>
          <w:szCs w:val="24"/>
        </w:rPr>
        <w:t xml:space="preserve">full </w:t>
      </w:r>
      <w:r w:rsidRPr="00646E9A">
        <w:rPr>
          <w:rFonts w:asciiTheme="minorHAnsi" w:hAnsiTheme="minorHAnsi" w:cstheme="minorHAnsi"/>
          <w:i/>
          <w:sz w:val="24"/>
          <w:szCs w:val="24"/>
        </w:rPr>
        <w:t>savings are not forthcoming.</w:t>
      </w:r>
    </w:p>
    <w:p w14:paraId="3E66390A" w14:textId="77777777" w:rsidR="000D1925" w:rsidRPr="00646E9A" w:rsidRDefault="000D1925" w:rsidP="0003142E">
      <w:pPr>
        <w:spacing w:line="240" w:lineRule="auto"/>
        <w:ind w:left="284" w:hanging="284"/>
        <w:jc w:val="both"/>
        <w:rPr>
          <w:rFonts w:asciiTheme="minorHAnsi" w:hAnsiTheme="minorHAnsi" w:cstheme="minorHAnsi"/>
          <w:i/>
          <w:sz w:val="24"/>
          <w:szCs w:val="24"/>
        </w:rPr>
      </w:pPr>
    </w:p>
    <w:p w14:paraId="72A7003C" w14:textId="646DD8EB" w:rsidR="000D1925" w:rsidRPr="00646E9A" w:rsidRDefault="000D1925" w:rsidP="00CC0A00">
      <w:pPr>
        <w:pStyle w:val="ListParagraph"/>
        <w:numPr>
          <w:ilvl w:val="0"/>
          <w:numId w:val="1"/>
        </w:numPr>
        <w:spacing w:line="240" w:lineRule="auto"/>
        <w:ind w:left="284" w:hanging="284"/>
        <w:jc w:val="both"/>
        <w:rPr>
          <w:rFonts w:asciiTheme="minorHAnsi" w:hAnsiTheme="minorHAnsi" w:cstheme="minorHAnsi"/>
          <w:i/>
          <w:sz w:val="24"/>
          <w:szCs w:val="24"/>
        </w:rPr>
      </w:pPr>
      <w:r w:rsidRPr="00646E9A">
        <w:rPr>
          <w:rFonts w:asciiTheme="minorHAnsi" w:hAnsiTheme="minorHAnsi" w:cstheme="minorHAnsi"/>
          <w:i/>
          <w:sz w:val="24"/>
          <w:szCs w:val="24"/>
        </w:rPr>
        <w:t xml:space="preserve">The financial landscape after </w:t>
      </w:r>
      <w:r w:rsidR="00220144" w:rsidRPr="00646E9A">
        <w:rPr>
          <w:rFonts w:asciiTheme="minorHAnsi" w:hAnsiTheme="minorHAnsi" w:cstheme="minorHAnsi"/>
          <w:i/>
          <w:sz w:val="24"/>
          <w:szCs w:val="24"/>
        </w:rPr>
        <w:t>202</w:t>
      </w:r>
      <w:r w:rsidR="00646E9A" w:rsidRPr="00646E9A">
        <w:rPr>
          <w:rFonts w:asciiTheme="minorHAnsi" w:hAnsiTheme="minorHAnsi" w:cstheme="minorHAnsi"/>
          <w:i/>
          <w:sz w:val="24"/>
          <w:szCs w:val="24"/>
        </w:rPr>
        <w:t>5</w:t>
      </w:r>
      <w:r w:rsidR="00220144" w:rsidRPr="00646E9A">
        <w:rPr>
          <w:rFonts w:asciiTheme="minorHAnsi" w:hAnsiTheme="minorHAnsi" w:cstheme="minorHAnsi"/>
          <w:i/>
          <w:sz w:val="24"/>
          <w:szCs w:val="24"/>
        </w:rPr>
        <w:t>/2</w:t>
      </w:r>
      <w:r w:rsidR="00646E9A" w:rsidRPr="00646E9A">
        <w:rPr>
          <w:rFonts w:asciiTheme="minorHAnsi" w:hAnsiTheme="minorHAnsi" w:cstheme="minorHAnsi"/>
          <w:i/>
          <w:sz w:val="24"/>
          <w:szCs w:val="24"/>
        </w:rPr>
        <w:t>6</w:t>
      </w:r>
      <w:r w:rsidRPr="00646E9A">
        <w:rPr>
          <w:rFonts w:asciiTheme="minorHAnsi" w:hAnsiTheme="minorHAnsi" w:cstheme="minorHAnsi"/>
          <w:i/>
          <w:sz w:val="24"/>
          <w:szCs w:val="24"/>
        </w:rPr>
        <w:t xml:space="preserve"> is less certain and the PFCC will continue to push for certainty.</w:t>
      </w:r>
      <w:r w:rsidR="00655DA1" w:rsidRPr="00646E9A">
        <w:rPr>
          <w:rFonts w:asciiTheme="minorHAnsi" w:hAnsiTheme="minorHAnsi" w:cstheme="minorHAnsi"/>
          <w:i/>
          <w:sz w:val="24"/>
          <w:szCs w:val="24"/>
        </w:rPr>
        <w:t xml:space="preserve"> </w:t>
      </w:r>
      <w:r w:rsidRPr="00646E9A">
        <w:rPr>
          <w:rFonts w:asciiTheme="minorHAnsi" w:hAnsiTheme="minorHAnsi" w:cstheme="minorHAnsi"/>
          <w:i/>
          <w:sz w:val="24"/>
          <w:szCs w:val="24"/>
        </w:rPr>
        <w:t xml:space="preserve"> The MTFP will be under regular review as savings plans progress.</w:t>
      </w:r>
    </w:p>
    <w:p w14:paraId="44FF3AB4" w14:textId="163F2FB5" w:rsidR="006F130B" w:rsidRPr="00646E9A" w:rsidRDefault="006F130B" w:rsidP="006F130B">
      <w:pPr>
        <w:spacing w:line="240" w:lineRule="auto"/>
        <w:jc w:val="both"/>
        <w:rPr>
          <w:rFonts w:asciiTheme="minorHAnsi" w:hAnsiTheme="minorHAnsi" w:cstheme="minorHAnsi"/>
          <w:i/>
          <w:sz w:val="24"/>
          <w:szCs w:val="24"/>
        </w:rPr>
      </w:pPr>
    </w:p>
    <w:p w14:paraId="1115F4D8" w14:textId="77777777" w:rsidR="00AD13FA" w:rsidRPr="00646E9A" w:rsidRDefault="00AD13FA" w:rsidP="006F130B">
      <w:pPr>
        <w:spacing w:line="240" w:lineRule="auto"/>
        <w:jc w:val="both"/>
        <w:rPr>
          <w:rFonts w:asciiTheme="minorHAnsi" w:hAnsiTheme="minorHAnsi" w:cstheme="minorHAnsi"/>
          <w:i/>
          <w:sz w:val="24"/>
          <w:szCs w:val="24"/>
        </w:rPr>
      </w:pPr>
    </w:p>
    <w:p w14:paraId="3C46DA27" w14:textId="33F7BC70" w:rsidR="006F130B" w:rsidRPr="00646E9A" w:rsidRDefault="006F130B" w:rsidP="006F130B">
      <w:pPr>
        <w:spacing w:line="240" w:lineRule="auto"/>
        <w:jc w:val="both"/>
        <w:rPr>
          <w:rFonts w:asciiTheme="minorHAnsi" w:hAnsiTheme="minorHAnsi" w:cstheme="minorHAnsi"/>
          <w:b/>
          <w:bCs/>
          <w:iCs/>
          <w:sz w:val="24"/>
          <w:szCs w:val="24"/>
        </w:rPr>
      </w:pPr>
      <w:r w:rsidRPr="00646E9A">
        <w:rPr>
          <w:rFonts w:asciiTheme="minorHAnsi" w:hAnsiTheme="minorHAnsi" w:cstheme="minorHAnsi"/>
          <w:b/>
          <w:bCs/>
          <w:iCs/>
          <w:sz w:val="24"/>
          <w:szCs w:val="24"/>
        </w:rPr>
        <w:t>Vaughan Ashcroft</w:t>
      </w:r>
    </w:p>
    <w:p w14:paraId="4204D6A0" w14:textId="3A9251DB" w:rsidR="006F130B" w:rsidRPr="00646E9A" w:rsidRDefault="006F130B" w:rsidP="006F130B">
      <w:pPr>
        <w:spacing w:line="240" w:lineRule="auto"/>
        <w:jc w:val="both"/>
        <w:rPr>
          <w:rFonts w:asciiTheme="minorHAnsi" w:hAnsiTheme="minorHAnsi" w:cstheme="minorHAnsi"/>
          <w:b/>
          <w:bCs/>
          <w:iCs/>
          <w:sz w:val="24"/>
          <w:szCs w:val="24"/>
        </w:rPr>
      </w:pPr>
      <w:r w:rsidRPr="00646E9A">
        <w:rPr>
          <w:rFonts w:asciiTheme="minorHAnsi" w:hAnsiTheme="minorHAnsi" w:cstheme="minorHAnsi"/>
          <w:b/>
          <w:bCs/>
          <w:iCs/>
          <w:sz w:val="24"/>
          <w:szCs w:val="24"/>
        </w:rPr>
        <w:t>Section 151 and Chief Finance Officer</w:t>
      </w:r>
    </w:p>
    <w:p w14:paraId="1A5B213E" w14:textId="49C6FF86" w:rsidR="006F130B" w:rsidRPr="00646E9A" w:rsidRDefault="006F130B" w:rsidP="006F130B">
      <w:pPr>
        <w:spacing w:line="240" w:lineRule="auto"/>
        <w:jc w:val="both"/>
        <w:rPr>
          <w:rFonts w:asciiTheme="minorHAnsi" w:hAnsiTheme="minorHAnsi" w:cstheme="minorHAnsi"/>
          <w:b/>
          <w:bCs/>
          <w:iCs/>
          <w:sz w:val="24"/>
          <w:szCs w:val="24"/>
        </w:rPr>
      </w:pPr>
      <w:r w:rsidRPr="00646E9A">
        <w:rPr>
          <w:rFonts w:asciiTheme="minorHAnsi" w:hAnsiTheme="minorHAnsi" w:cstheme="minorHAnsi"/>
          <w:b/>
          <w:bCs/>
          <w:iCs/>
          <w:sz w:val="24"/>
          <w:szCs w:val="24"/>
        </w:rPr>
        <w:t>Office for the Police, Fire and Crime Commissioner for Northamptonshire</w:t>
      </w:r>
    </w:p>
    <w:p w14:paraId="0FE439BC" w14:textId="59C9FBA7" w:rsidR="00DC1AAF" w:rsidRPr="00A81E04" w:rsidRDefault="00DC1AAF" w:rsidP="00F42C2B">
      <w:pPr>
        <w:pStyle w:val="PanelHeading"/>
      </w:pPr>
      <w:r w:rsidRPr="00A81E04">
        <w:rPr>
          <w:i/>
          <w:iCs/>
          <w:highlight w:val="yellow"/>
        </w:rPr>
        <w:br w:type="page"/>
      </w:r>
      <w:bookmarkStart w:id="51" w:name="_Hlk156922346"/>
      <w:r w:rsidR="00F168D3" w:rsidRPr="00A81E04">
        <w:lastRenderedPageBreak/>
        <w:t>APPENDIX D</w:t>
      </w:r>
    </w:p>
    <w:p w14:paraId="63D3E243" w14:textId="05EC2FA2" w:rsidR="00F42C2B" w:rsidRPr="00A81E04" w:rsidRDefault="00F42C2B" w:rsidP="00F42C2B">
      <w:pPr>
        <w:pStyle w:val="PanelHeading"/>
      </w:pPr>
      <w:r w:rsidRPr="00A81E04">
        <w:t>Reserves Strategy</w:t>
      </w:r>
    </w:p>
    <w:p w14:paraId="4187899C" w14:textId="4EA315DE" w:rsidR="00DC1AAF" w:rsidRPr="00A81E04" w:rsidRDefault="00DC1AAF" w:rsidP="00DC1AAF">
      <w:pPr>
        <w:spacing w:line="240" w:lineRule="auto"/>
        <w:jc w:val="center"/>
        <w:rPr>
          <w:rFonts w:ascii="Arial" w:eastAsia="Times New Roman" w:hAnsi="Arial"/>
          <w:szCs w:val="24"/>
        </w:rPr>
      </w:pPr>
      <w:r w:rsidRPr="00A81E04">
        <w:rPr>
          <w:rFonts w:ascii="Arial" w:eastAsia="Times New Roman" w:hAnsi="Arial"/>
          <w:noProof/>
          <w:szCs w:val="24"/>
        </w:rPr>
        <w:drawing>
          <wp:inline distT="0" distB="0" distL="0" distR="0" wp14:anchorId="50F8430E" wp14:editId="6434390F">
            <wp:extent cx="1781175" cy="1743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175" cy="1743075"/>
                    </a:xfrm>
                    <a:prstGeom prst="rect">
                      <a:avLst/>
                    </a:prstGeom>
                    <a:noFill/>
                    <a:ln>
                      <a:noFill/>
                    </a:ln>
                  </pic:spPr>
                </pic:pic>
              </a:graphicData>
            </a:graphic>
          </wp:inline>
        </w:drawing>
      </w:r>
    </w:p>
    <w:p w14:paraId="07B6F4E0" w14:textId="77777777" w:rsidR="00DC1AAF" w:rsidRPr="00A81E04" w:rsidRDefault="00DC1AAF" w:rsidP="00DC1AAF">
      <w:pPr>
        <w:spacing w:line="240" w:lineRule="auto"/>
        <w:rPr>
          <w:rFonts w:ascii="Arial" w:eastAsia="Times New Roman" w:hAnsi="Arial"/>
          <w:szCs w:val="24"/>
        </w:rPr>
      </w:pPr>
    </w:p>
    <w:bookmarkEnd w:id="51"/>
    <w:p w14:paraId="10DCE8A1" w14:textId="259618D9" w:rsidR="00DC1AAF" w:rsidRPr="00A81E04" w:rsidRDefault="00DC1AAF" w:rsidP="00DC1AAF">
      <w:pPr>
        <w:spacing w:line="240" w:lineRule="auto"/>
        <w:jc w:val="center"/>
        <w:rPr>
          <w:rFonts w:eastAsia="Times New Roman" w:cs="Calibri"/>
          <w:b/>
          <w:sz w:val="24"/>
          <w:szCs w:val="24"/>
        </w:rPr>
      </w:pPr>
      <w:r w:rsidRPr="00A81E04">
        <w:rPr>
          <w:rFonts w:eastAsia="Times New Roman" w:cs="Calibri"/>
          <w:b/>
          <w:sz w:val="24"/>
          <w:szCs w:val="24"/>
        </w:rPr>
        <w:t>NORTHAMPTONSHIRE POLICE, FIRE AND CRIME COMMISSIONER</w:t>
      </w:r>
      <w:r w:rsidRPr="00A81E04">
        <w:rPr>
          <w:rFonts w:eastAsia="Times New Roman" w:cs="Calibri"/>
          <w:b/>
          <w:sz w:val="24"/>
          <w:szCs w:val="24"/>
        </w:rPr>
        <w:br/>
        <w:t>RESERVES STRATEGY (</w:t>
      </w:r>
      <w:r w:rsidR="00AD13FA" w:rsidRPr="00A81E04">
        <w:rPr>
          <w:rFonts w:eastAsia="Times New Roman" w:cs="Calibri"/>
          <w:b/>
          <w:sz w:val="24"/>
          <w:szCs w:val="24"/>
        </w:rPr>
        <w:t>UPDATED</w:t>
      </w:r>
      <w:r w:rsidRPr="00A81E04">
        <w:rPr>
          <w:rFonts w:eastAsia="Times New Roman" w:cs="Calibri"/>
          <w:b/>
          <w:sz w:val="24"/>
          <w:szCs w:val="24"/>
        </w:rPr>
        <w:t xml:space="preserve"> JANUARY 202</w:t>
      </w:r>
      <w:r w:rsidR="00A81E04" w:rsidRPr="00A81E04">
        <w:rPr>
          <w:rFonts w:eastAsia="Times New Roman" w:cs="Calibri"/>
          <w:b/>
          <w:sz w:val="24"/>
          <w:szCs w:val="24"/>
        </w:rPr>
        <w:t>5</w:t>
      </w:r>
      <w:r w:rsidRPr="00A81E04">
        <w:rPr>
          <w:rFonts w:eastAsia="Times New Roman" w:cs="Calibri"/>
          <w:b/>
          <w:sz w:val="24"/>
          <w:szCs w:val="24"/>
        </w:rPr>
        <w:t>)</w:t>
      </w:r>
    </w:p>
    <w:p w14:paraId="05D52542" w14:textId="77777777" w:rsidR="00DC1AAF" w:rsidRPr="00A81E04" w:rsidRDefault="00DC1AAF" w:rsidP="00DC1AAF">
      <w:pPr>
        <w:spacing w:line="240" w:lineRule="auto"/>
        <w:ind w:left="360"/>
        <w:jc w:val="both"/>
        <w:rPr>
          <w:rFonts w:eastAsia="Times New Roman" w:cs="Calibri"/>
          <w:b/>
          <w:bCs/>
          <w:sz w:val="24"/>
          <w:szCs w:val="24"/>
        </w:rPr>
      </w:pPr>
    </w:p>
    <w:p w14:paraId="5D03145D" w14:textId="086DB3E3" w:rsidR="00DC1AAF" w:rsidRPr="00A81E04" w:rsidRDefault="00DC1AAF" w:rsidP="008722B8">
      <w:pPr>
        <w:pStyle w:val="ReservesHeading"/>
      </w:pPr>
      <w:bookmarkStart w:id="52" w:name="_Hlk156922431"/>
      <w:r w:rsidRPr="00A81E04">
        <w:t>Reserves Strategy</w:t>
      </w:r>
    </w:p>
    <w:p w14:paraId="2ABB9892" w14:textId="65735DFE" w:rsidR="00DC1AAF" w:rsidRPr="00C3224F" w:rsidRDefault="00DC1AAF" w:rsidP="008722B8">
      <w:pPr>
        <w:pStyle w:val="ReservesBody"/>
      </w:pPr>
      <w:r w:rsidRPr="00C3224F">
        <w:t xml:space="preserve">Reserves are a key part of medium-term financial planning </w:t>
      </w:r>
      <w:r w:rsidR="002E7988" w:rsidRPr="00C3224F">
        <w:t xml:space="preserve">with </w:t>
      </w:r>
      <w:r w:rsidRPr="00C3224F">
        <w:t>other components includ</w:t>
      </w:r>
      <w:r w:rsidR="002E7988" w:rsidRPr="00C3224F">
        <w:t>ing</w:t>
      </w:r>
      <w:r w:rsidRPr="00C3224F">
        <w:t xml:space="preserve"> revenue spending plans, income forecasts, potential liabilities, capital investment plans, borrowing and council tax levels.  Decisions on these are inter-linked.  Consequently, some organisations will need to maintain reserves at higher levels than others.</w:t>
      </w:r>
    </w:p>
    <w:p w14:paraId="0E9AA513" w14:textId="04807A93" w:rsidR="00DC1AAF" w:rsidRPr="00C3224F" w:rsidRDefault="00DC1AAF" w:rsidP="008722B8">
      <w:pPr>
        <w:pStyle w:val="ReservesBody"/>
      </w:pPr>
      <w:r w:rsidRPr="00C3224F">
        <w:t>All publicly funded organisations should have a reserves strategy to demonstrate transparency and accountability, to comply with best practice financial management and to justify the levels of reserves held.</w:t>
      </w:r>
    </w:p>
    <w:p w14:paraId="7E2A33DF" w14:textId="4135B0A6" w:rsidR="00DC1AAF" w:rsidRPr="00C3224F" w:rsidRDefault="00DC1AAF" w:rsidP="008722B8">
      <w:pPr>
        <w:pStyle w:val="ReservesBody"/>
      </w:pPr>
      <w:r w:rsidRPr="00C3224F">
        <w:t>The PFCC maintains reserves to provide a measure of protection against risk.  Without this protection, any unforeseen expenditure would have to be met either by increases in Council Tax or immediate savings (potentially through reductions in service levels).</w:t>
      </w:r>
    </w:p>
    <w:p w14:paraId="20B44FB7" w14:textId="6300EA2E" w:rsidR="00DC1AAF" w:rsidRPr="00C3224F" w:rsidRDefault="00DC1AAF" w:rsidP="008722B8">
      <w:pPr>
        <w:pStyle w:val="ReservesBody"/>
      </w:pPr>
      <w:r w:rsidRPr="00C3224F">
        <w:t xml:space="preserve">The term "reserves" has a variety of technical and everyday meanings, depending on the context in which it is used. </w:t>
      </w:r>
      <w:r w:rsidR="0075574D" w:rsidRPr="00C3224F">
        <w:t xml:space="preserve"> In this</w:t>
      </w:r>
      <w:r w:rsidRPr="00C3224F">
        <w:t xml:space="preserve"> </w:t>
      </w:r>
      <w:r w:rsidR="00360A96" w:rsidRPr="00C3224F">
        <w:t>strategy</w:t>
      </w:r>
      <w:r w:rsidRPr="00C3224F">
        <w:t xml:space="preserve">, it is taken to mean funds set-aside at the PFCC’s discretion for general or specific future purposes. </w:t>
      </w:r>
    </w:p>
    <w:p w14:paraId="2CBF1619" w14:textId="284671C1" w:rsidR="00DC1AAF" w:rsidRPr="00C3224F" w:rsidRDefault="00DC1AAF" w:rsidP="008722B8">
      <w:pPr>
        <w:pStyle w:val="ReservesBody"/>
      </w:pPr>
      <w:bookmarkStart w:id="53" w:name="_Hlk156922462"/>
      <w:bookmarkEnd w:id="52"/>
      <w:r w:rsidRPr="00C3224F">
        <w:t>Reserves are required to protect and enhance the financial viability and in particular:</w:t>
      </w:r>
    </w:p>
    <w:p w14:paraId="6ABF6536" w14:textId="77777777" w:rsidR="0075574D" w:rsidRPr="00C3224F" w:rsidRDefault="00DC1AAF" w:rsidP="008722B8">
      <w:pPr>
        <w:pStyle w:val="Reservesbullet"/>
      </w:pPr>
      <w:r w:rsidRPr="00C3224F">
        <w:t xml:space="preserve">To maintain a degree of in-year financial </w:t>
      </w:r>
      <w:r w:rsidR="00360A96" w:rsidRPr="00C3224F">
        <w:t>flexibility.</w:t>
      </w:r>
    </w:p>
    <w:p w14:paraId="2BC9CAC7" w14:textId="77777777" w:rsidR="0075574D" w:rsidRPr="00C3224F" w:rsidRDefault="00DC1AAF" w:rsidP="008722B8">
      <w:pPr>
        <w:pStyle w:val="Reservesbullet"/>
      </w:pPr>
      <w:r w:rsidRPr="00C3224F">
        <w:t>To enable the PFCC to deal with unforeseen circumstances and incidents</w:t>
      </w:r>
      <w:r w:rsidR="00360A96" w:rsidRPr="00C3224F">
        <w:t>.</w:t>
      </w:r>
    </w:p>
    <w:p w14:paraId="54F73EEE" w14:textId="77777777" w:rsidR="0075574D" w:rsidRPr="00C3224F" w:rsidRDefault="00DC1AAF" w:rsidP="008722B8">
      <w:pPr>
        <w:pStyle w:val="Reservesbullet"/>
      </w:pPr>
      <w:r w:rsidRPr="00C3224F">
        <w:t>To set aside monies to fund major developments in future years</w:t>
      </w:r>
      <w:r w:rsidR="00360A96" w:rsidRPr="00C3224F">
        <w:t>.</w:t>
      </w:r>
    </w:p>
    <w:p w14:paraId="52126006" w14:textId="77777777" w:rsidR="0075574D" w:rsidRPr="00C3224F" w:rsidRDefault="00DC1AAF" w:rsidP="008722B8">
      <w:pPr>
        <w:pStyle w:val="Reservesbullet"/>
      </w:pPr>
      <w:r w:rsidRPr="00C3224F">
        <w:t>To enable the PFCC to invest to transform and achieve improved service effectiveness and efficiency</w:t>
      </w:r>
      <w:r w:rsidR="00360A96" w:rsidRPr="00C3224F">
        <w:t>.</w:t>
      </w:r>
    </w:p>
    <w:p w14:paraId="375EAE7F" w14:textId="77777777" w:rsidR="0075574D" w:rsidRPr="00C3224F" w:rsidRDefault="00DC1AAF" w:rsidP="008722B8">
      <w:pPr>
        <w:pStyle w:val="Reservesbullet"/>
      </w:pPr>
      <w:r w:rsidRPr="00C3224F">
        <w:t>To set aside sums for known and potential liabilities</w:t>
      </w:r>
      <w:r w:rsidR="00360A96" w:rsidRPr="00C3224F">
        <w:t>.</w:t>
      </w:r>
    </w:p>
    <w:p w14:paraId="289FD6CF" w14:textId="4A4E429F" w:rsidR="00DC1AAF" w:rsidRPr="00C3224F" w:rsidRDefault="00DC1AAF" w:rsidP="008722B8">
      <w:pPr>
        <w:pStyle w:val="Reservesbullet"/>
      </w:pPr>
      <w:r w:rsidRPr="00C3224F">
        <w:t>To provide an operational contingency at service level.</w:t>
      </w:r>
    </w:p>
    <w:p w14:paraId="74E5E9D4" w14:textId="69DF15DE" w:rsidR="0075574D" w:rsidRPr="00C3224F" w:rsidRDefault="00DC1AAF" w:rsidP="008722B8">
      <w:pPr>
        <w:pStyle w:val="ReservesBody"/>
      </w:pPr>
      <w:r w:rsidRPr="00C3224F">
        <w:t>Reserves should not be held to fund ongoing revenue expenditure as this is unsustainable in the long term</w:t>
      </w:r>
      <w:r w:rsidR="0075574D" w:rsidRPr="00C3224F">
        <w:t>.  H</w:t>
      </w:r>
      <w:r w:rsidRPr="00C3224F">
        <w:t xml:space="preserve">owever, they may be important in smoothing a major financial imbalance (revenue or capital) over a longer timescale. </w:t>
      </w:r>
      <w:r w:rsidR="0075574D" w:rsidRPr="00C3224F">
        <w:t xml:space="preserve"> </w:t>
      </w:r>
      <w:r w:rsidR="00A1226A" w:rsidRPr="00C3224F">
        <w:t xml:space="preserve">CIPFA Bulletin 13 – Local Authority Reserves and Balances (Updated) </w:t>
      </w:r>
      <w:r w:rsidRPr="00C3224F">
        <w:t xml:space="preserve">published </w:t>
      </w:r>
      <w:r w:rsidR="00A1226A" w:rsidRPr="00C3224F">
        <w:t>March</w:t>
      </w:r>
      <w:r w:rsidRPr="00C3224F">
        <w:t xml:space="preserve"> 20</w:t>
      </w:r>
      <w:r w:rsidR="00A1226A" w:rsidRPr="00C3224F">
        <w:t>23</w:t>
      </w:r>
      <w:r w:rsidRPr="00C3224F">
        <w:t xml:space="preserve"> states:</w:t>
      </w:r>
    </w:p>
    <w:p w14:paraId="5E43C9B0" w14:textId="7734E8D0" w:rsidR="00DC1AAF" w:rsidRPr="00C3224F" w:rsidRDefault="00DC1AAF" w:rsidP="008722B8">
      <w:pPr>
        <w:pStyle w:val="ReservesBody"/>
        <w:numPr>
          <w:ilvl w:val="0"/>
          <w:numId w:val="0"/>
        </w:numPr>
        <w:ind w:left="567"/>
        <w:rPr>
          <w:i/>
          <w:iCs/>
        </w:rPr>
      </w:pPr>
      <w:r w:rsidRPr="00C3224F">
        <w:rPr>
          <w:i/>
          <w:iCs/>
        </w:rPr>
        <w:lastRenderedPageBreak/>
        <w:t xml:space="preserve">“Balancing the annual budget by drawing on general reserves may be viewed as a legitimate short-term option. </w:t>
      </w:r>
      <w:r w:rsidR="0075574D" w:rsidRPr="00C3224F">
        <w:rPr>
          <w:i/>
          <w:iCs/>
        </w:rPr>
        <w:t xml:space="preserve"> </w:t>
      </w:r>
      <w:r w:rsidRPr="00C3224F">
        <w:rPr>
          <w:i/>
          <w:iCs/>
        </w:rPr>
        <w:t xml:space="preserve">However, it is not normally prudent for reserves to be deployed to finance recurrent expenditure. </w:t>
      </w:r>
      <w:r w:rsidR="0075574D" w:rsidRPr="00C3224F">
        <w:rPr>
          <w:i/>
          <w:iCs/>
        </w:rPr>
        <w:t xml:space="preserve"> </w:t>
      </w:r>
      <w:r w:rsidRPr="00C3224F">
        <w:rPr>
          <w:i/>
          <w:iCs/>
        </w:rPr>
        <w:t xml:space="preserve">CIPFA has commented that </w:t>
      </w:r>
      <w:r w:rsidR="00A1226A" w:rsidRPr="00C3224F">
        <w:rPr>
          <w:i/>
          <w:iCs/>
        </w:rPr>
        <w:t>c</w:t>
      </w:r>
      <w:r w:rsidRPr="00C3224F">
        <w:rPr>
          <w:i/>
          <w:iCs/>
        </w:rPr>
        <w:t>ouncils should be particularly wary about using one off reserves to deal with shortfalls in current funding.</w:t>
      </w:r>
      <w:r w:rsidR="0075574D" w:rsidRPr="00C3224F">
        <w:rPr>
          <w:i/>
          <w:iCs/>
        </w:rPr>
        <w:t xml:space="preserve"> </w:t>
      </w:r>
      <w:r w:rsidRPr="00C3224F">
        <w:rPr>
          <w:i/>
          <w:iCs/>
        </w:rPr>
        <w:t xml:space="preserve"> Where such action is to be taken, this should be made explicit, and an explanation given as to how such expenditure will be funded in the medium to long term</w:t>
      </w:r>
      <w:r w:rsidR="0075574D" w:rsidRPr="00C3224F">
        <w:rPr>
          <w:i/>
          <w:iCs/>
        </w:rPr>
        <w:t>.</w:t>
      </w:r>
      <w:r w:rsidRPr="00C3224F">
        <w:rPr>
          <w:i/>
          <w:iCs/>
        </w:rPr>
        <w:t>”</w:t>
      </w:r>
    </w:p>
    <w:p w14:paraId="50084F44" w14:textId="28838E43" w:rsidR="00DC1AAF" w:rsidRPr="00C3224F" w:rsidRDefault="00DC1AAF" w:rsidP="008722B8">
      <w:pPr>
        <w:pStyle w:val="ReservesBody"/>
      </w:pPr>
      <w:bookmarkStart w:id="54" w:name="_Hlk156922608"/>
      <w:bookmarkEnd w:id="53"/>
      <w:r w:rsidRPr="00C3224F">
        <w:t xml:space="preserve">The </w:t>
      </w:r>
      <w:r w:rsidR="00F57399" w:rsidRPr="00C3224F">
        <w:t>r</w:t>
      </w:r>
      <w:r w:rsidRPr="00C3224F">
        <w:t xml:space="preserve">eserves </w:t>
      </w:r>
      <w:r w:rsidR="00F57399" w:rsidRPr="00C3224F">
        <w:t>s</w:t>
      </w:r>
      <w:r w:rsidRPr="00C3224F">
        <w:t xml:space="preserve">trategy assumes that the </w:t>
      </w:r>
      <w:r w:rsidR="00360A96" w:rsidRPr="00C3224F">
        <w:t>Medium-Term</w:t>
      </w:r>
      <w:r w:rsidRPr="00C3224F">
        <w:t xml:space="preserve"> Financial Plan </w:t>
      </w:r>
      <w:r w:rsidR="0075574D" w:rsidRPr="00C3224F">
        <w:t>(</w:t>
      </w:r>
      <w:r w:rsidRPr="00C3224F">
        <w:t>MTFP</w:t>
      </w:r>
      <w:r w:rsidR="0075574D" w:rsidRPr="00C3224F">
        <w:t>)</w:t>
      </w:r>
      <w:r w:rsidRPr="00C3224F">
        <w:t xml:space="preserve"> is broadly balanced on a sustainable basis across the five year planning period. </w:t>
      </w:r>
      <w:r w:rsidR="0075574D" w:rsidRPr="00C3224F">
        <w:t xml:space="preserve"> </w:t>
      </w:r>
      <w:r w:rsidRPr="00C3224F">
        <w:t xml:space="preserve">If the financial impact of </w:t>
      </w:r>
      <w:r w:rsidR="0075574D" w:rsidRPr="00C3224F">
        <w:t>current economic conditions</w:t>
      </w:r>
      <w:r w:rsidRPr="00C3224F">
        <w:t xml:space="preserve"> continues to impact on taxbase and council tax levels over the medium term</w:t>
      </w:r>
      <w:r w:rsidR="00360A96" w:rsidRPr="00C3224F">
        <w:t>,</w:t>
      </w:r>
      <w:r w:rsidRPr="00C3224F">
        <w:t xml:space="preserve"> then this could impact on those assumptions. </w:t>
      </w:r>
    </w:p>
    <w:p w14:paraId="49C8190F" w14:textId="68C5A006" w:rsidR="0075574D" w:rsidRPr="00C3224F" w:rsidRDefault="00DC1AAF" w:rsidP="008722B8">
      <w:pPr>
        <w:pStyle w:val="ReservesBody"/>
      </w:pPr>
      <w:bookmarkStart w:id="55" w:name="_Hlk156922713"/>
      <w:bookmarkEnd w:id="54"/>
      <w:r w:rsidRPr="00C3224F">
        <w:t>Reserves should reflect the agreed financial strategy and should represent the quantified impact of risks and opportunities over the planning period, weighted for their probability.</w:t>
      </w:r>
    </w:p>
    <w:p w14:paraId="37EA8012" w14:textId="0CA1E2C8" w:rsidR="00DC1AAF" w:rsidRPr="00C3224F" w:rsidRDefault="00DC1AAF" w:rsidP="008722B8">
      <w:pPr>
        <w:pStyle w:val="ReservesHeading"/>
      </w:pPr>
      <w:bookmarkStart w:id="56" w:name="_Hlk156922756"/>
      <w:bookmarkEnd w:id="55"/>
      <w:r w:rsidRPr="00C3224F">
        <w:t xml:space="preserve">National Guidance and Compliance with Home Office Guidance on Police Reserves </w:t>
      </w:r>
    </w:p>
    <w:p w14:paraId="4735EAC1" w14:textId="6DD1624F" w:rsidR="00DC1AAF" w:rsidRPr="00C3224F" w:rsidRDefault="00A1226A" w:rsidP="008722B8">
      <w:pPr>
        <w:pStyle w:val="ReservesBody"/>
      </w:pPr>
      <w:r w:rsidRPr="00C3224F">
        <w:t xml:space="preserve">The </w:t>
      </w:r>
      <w:r w:rsidR="00DC1AAF" w:rsidRPr="00C3224F">
        <w:t>CIPFA</w:t>
      </w:r>
      <w:r w:rsidRPr="00C3224F">
        <w:t xml:space="preserve"> Bulletin </w:t>
      </w:r>
      <w:r w:rsidR="00DC1AAF" w:rsidRPr="00C3224F">
        <w:t>include</w:t>
      </w:r>
      <w:r w:rsidRPr="00C3224F">
        <w:t>s guidance on</w:t>
      </w:r>
      <w:r w:rsidR="00DC1AAF" w:rsidRPr="00C3224F">
        <w:t xml:space="preserve"> the establishment and maintenance of local authority reserves and balances, setting out the key factors that should be taken into account locally in making an assessment of the appropriate level of reserves and balances to be held. </w:t>
      </w:r>
    </w:p>
    <w:p w14:paraId="6A181C88" w14:textId="4C77575B" w:rsidR="0075574D" w:rsidRPr="00C3224F" w:rsidRDefault="00C3224F" w:rsidP="008722B8">
      <w:pPr>
        <w:pStyle w:val="ReservesBody"/>
      </w:pPr>
      <w:bookmarkStart w:id="57" w:name="_Hlk187754142"/>
      <w:bookmarkEnd w:id="56"/>
      <w:r w:rsidRPr="00C3224F">
        <w:t>There is</w:t>
      </w:r>
      <w:r w:rsidR="00DC1AAF" w:rsidRPr="00C3224F">
        <w:t xml:space="preserve"> information that each PFCC must publish in terms of </w:t>
      </w:r>
      <w:r w:rsidR="00DF635B" w:rsidRPr="00C3224F">
        <w:t>p</w:t>
      </w:r>
      <w:r w:rsidR="00DC1AAF" w:rsidRPr="00C3224F">
        <w:t xml:space="preserve">olice </w:t>
      </w:r>
      <w:r w:rsidR="00F57399" w:rsidRPr="00C3224F">
        <w:t>r</w:t>
      </w:r>
      <w:r w:rsidR="00DC1AAF" w:rsidRPr="00C3224F">
        <w:t>eserves.</w:t>
      </w:r>
      <w:r w:rsidR="0075574D" w:rsidRPr="00C3224F">
        <w:t xml:space="preserve"> </w:t>
      </w:r>
      <w:r w:rsidR="00DC1AAF" w:rsidRPr="00C3224F">
        <w:t xml:space="preserve"> </w:t>
      </w:r>
      <w:bookmarkStart w:id="58" w:name="_Hlk156922863"/>
      <w:r w:rsidR="00DC1AAF" w:rsidRPr="00C3224F">
        <w:t>One of the key requirements is that the information on each reserve should make clear how much of the funding falls into each of the following three categories:</w:t>
      </w:r>
    </w:p>
    <w:p w14:paraId="273488A1" w14:textId="77777777" w:rsidR="0075574D" w:rsidRPr="00C3224F" w:rsidRDefault="00DC1AAF" w:rsidP="008722B8">
      <w:pPr>
        <w:pStyle w:val="Reservesbullet"/>
      </w:pPr>
      <w:r w:rsidRPr="00C3224F">
        <w:t>Funding for planned expenditure on projects and programmes over the period of the current medium term financial plan.</w:t>
      </w:r>
    </w:p>
    <w:p w14:paraId="6C24CAE8" w14:textId="2A15A439" w:rsidR="00DC1AAF" w:rsidRPr="00C3224F" w:rsidRDefault="00DC1AAF" w:rsidP="008722B8">
      <w:pPr>
        <w:pStyle w:val="Reservesbullet"/>
      </w:pPr>
      <w:r w:rsidRPr="00C3224F">
        <w:t>Funding for specific projects and programmes beyond the current planning period.</w:t>
      </w:r>
    </w:p>
    <w:p w14:paraId="1824692E" w14:textId="6CE164AD" w:rsidR="00D04A86" w:rsidRPr="00C3224F" w:rsidRDefault="00DC1AAF" w:rsidP="008722B8">
      <w:pPr>
        <w:pStyle w:val="Reservesbullet"/>
      </w:pPr>
      <w:r w:rsidRPr="00C3224F">
        <w:t>As a general contingency to meet other expenditure needs held in accordance with sound principles of good financial management.</w:t>
      </w:r>
    </w:p>
    <w:bookmarkEnd w:id="57"/>
    <w:p w14:paraId="6DCB61CB" w14:textId="392BD35E" w:rsidR="00DC1AAF" w:rsidRDefault="00DC1AAF" w:rsidP="008722B8">
      <w:pPr>
        <w:pStyle w:val="ReservesBody"/>
      </w:pPr>
      <w:r w:rsidRPr="00C3224F">
        <w:t>This information is summarised across the Home Office headings as at 31</w:t>
      </w:r>
      <w:r w:rsidR="00714120" w:rsidRPr="00714120">
        <w:rPr>
          <w:vertAlign w:val="superscript"/>
        </w:rPr>
        <w:t>st</w:t>
      </w:r>
      <w:r w:rsidR="00714120">
        <w:t xml:space="preserve"> March 20</w:t>
      </w:r>
      <w:r w:rsidRPr="00C3224F">
        <w:t>2</w:t>
      </w:r>
      <w:r w:rsidR="00C3224F" w:rsidRPr="00C3224F">
        <w:t>5</w:t>
      </w:r>
      <w:r w:rsidRPr="00C3224F">
        <w:t>, together with the proposed use of the reserves held at that date as follows:</w:t>
      </w:r>
    </w:p>
    <w:p w14:paraId="5B0AA9ED" w14:textId="77777777" w:rsidR="007121D6" w:rsidRDefault="007121D6" w:rsidP="007121D6">
      <w:pPr>
        <w:pStyle w:val="ReservesHeading"/>
        <w:numPr>
          <w:ilvl w:val="0"/>
          <w:numId w:val="0"/>
        </w:numPr>
        <w:ind w:left="567" w:hanging="567"/>
      </w:pPr>
    </w:p>
    <w:p w14:paraId="5A560B55" w14:textId="77777777" w:rsidR="007121D6" w:rsidRDefault="007121D6" w:rsidP="007121D6">
      <w:pPr>
        <w:pStyle w:val="ReservesHeading"/>
        <w:numPr>
          <w:ilvl w:val="0"/>
          <w:numId w:val="0"/>
        </w:numPr>
        <w:ind w:left="567" w:hanging="567"/>
      </w:pPr>
    </w:p>
    <w:p w14:paraId="2EF35342" w14:textId="77777777" w:rsidR="007121D6" w:rsidRDefault="007121D6" w:rsidP="007121D6">
      <w:pPr>
        <w:pStyle w:val="ReservesHeading"/>
        <w:numPr>
          <w:ilvl w:val="0"/>
          <w:numId w:val="0"/>
        </w:numPr>
        <w:ind w:left="567" w:hanging="567"/>
      </w:pPr>
    </w:p>
    <w:p w14:paraId="3BD998C5" w14:textId="77777777" w:rsidR="007121D6" w:rsidRDefault="007121D6" w:rsidP="007121D6">
      <w:pPr>
        <w:pStyle w:val="ReservesHeading"/>
        <w:numPr>
          <w:ilvl w:val="0"/>
          <w:numId w:val="0"/>
        </w:numPr>
        <w:ind w:left="567" w:hanging="567"/>
      </w:pPr>
    </w:p>
    <w:p w14:paraId="66BB88ED" w14:textId="77777777" w:rsidR="007121D6" w:rsidRDefault="007121D6" w:rsidP="007121D6">
      <w:pPr>
        <w:pStyle w:val="ReservesHeading"/>
        <w:numPr>
          <w:ilvl w:val="0"/>
          <w:numId w:val="0"/>
        </w:numPr>
        <w:ind w:left="567" w:hanging="567"/>
      </w:pPr>
    </w:p>
    <w:p w14:paraId="73A005DB" w14:textId="77777777" w:rsidR="007121D6" w:rsidRDefault="007121D6" w:rsidP="007121D6">
      <w:pPr>
        <w:pStyle w:val="ReservesHeading"/>
        <w:numPr>
          <w:ilvl w:val="0"/>
          <w:numId w:val="0"/>
        </w:numPr>
        <w:ind w:left="567" w:hanging="567"/>
      </w:pPr>
    </w:p>
    <w:p w14:paraId="2B4065C6" w14:textId="77777777" w:rsidR="007121D6" w:rsidRPr="00C3224F" w:rsidRDefault="007121D6" w:rsidP="007121D6">
      <w:pPr>
        <w:pStyle w:val="ReservesHeading"/>
        <w:numPr>
          <w:ilvl w:val="0"/>
          <w:numId w:val="0"/>
        </w:numPr>
        <w:ind w:left="567" w:hanging="567"/>
      </w:pPr>
    </w:p>
    <w:tbl>
      <w:tblPr>
        <w:tblW w:w="9880" w:type="dxa"/>
        <w:tblLook w:val="04A0" w:firstRow="1" w:lastRow="0" w:firstColumn="1" w:lastColumn="0" w:noHBand="0" w:noVBand="1"/>
      </w:tblPr>
      <w:tblGrid>
        <w:gridCol w:w="2980"/>
        <w:gridCol w:w="1380"/>
        <w:gridCol w:w="1380"/>
        <w:gridCol w:w="1380"/>
        <w:gridCol w:w="1380"/>
        <w:gridCol w:w="1380"/>
      </w:tblGrid>
      <w:tr w:rsidR="005C4961" w:rsidRPr="005C4961" w14:paraId="69D4FDD2" w14:textId="77777777" w:rsidTr="005C4961">
        <w:trPr>
          <w:trHeight w:val="1275"/>
        </w:trPr>
        <w:tc>
          <w:tcPr>
            <w:tcW w:w="2980" w:type="dxa"/>
            <w:tcBorders>
              <w:top w:val="single" w:sz="4" w:space="0" w:color="auto"/>
              <w:left w:val="single" w:sz="4" w:space="0" w:color="auto"/>
              <w:bottom w:val="nil"/>
              <w:right w:val="nil"/>
            </w:tcBorders>
            <w:shd w:val="clear" w:color="000000" w:fill="BDD7EE"/>
            <w:noWrap/>
            <w:hideMark/>
          </w:tcPr>
          <w:p w14:paraId="7B62283E" w14:textId="77777777" w:rsidR="005C4961" w:rsidRPr="005C4961" w:rsidRDefault="005C4961" w:rsidP="005C4961">
            <w:pPr>
              <w:spacing w:line="240" w:lineRule="auto"/>
              <w:jc w:val="center"/>
              <w:rPr>
                <w:rFonts w:eastAsia="Times New Roman" w:cs="Calibri"/>
                <w:b/>
                <w:bCs/>
                <w:color w:val="000000"/>
                <w:sz w:val="18"/>
                <w:szCs w:val="18"/>
                <w:lang w:eastAsia="en-GB"/>
              </w:rPr>
            </w:pPr>
            <w:bookmarkStart w:id="59" w:name="_Hlk156922954"/>
            <w:bookmarkEnd w:id="58"/>
            <w:r w:rsidRPr="005C4961">
              <w:rPr>
                <w:rFonts w:eastAsia="Times New Roman" w:cs="Calibri"/>
                <w:b/>
                <w:bCs/>
                <w:color w:val="000000"/>
                <w:sz w:val="18"/>
                <w:szCs w:val="18"/>
                <w:lang w:eastAsia="en-GB"/>
              </w:rPr>
              <w:lastRenderedPageBreak/>
              <w:t>Reserve</w:t>
            </w:r>
          </w:p>
        </w:tc>
        <w:tc>
          <w:tcPr>
            <w:tcW w:w="1380" w:type="dxa"/>
            <w:tcBorders>
              <w:top w:val="single" w:sz="4" w:space="0" w:color="auto"/>
              <w:left w:val="single" w:sz="4" w:space="0" w:color="auto"/>
              <w:bottom w:val="nil"/>
              <w:right w:val="single" w:sz="4" w:space="0" w:color="auto"/>
            </w:tcBorders>
            <w:shd w:val="clear" w:color="000000" w:fill="BDD7EE"/>
            <w:hideMark/>
          </w:tcPr>
          <w:p w14:paraId="7FAEC802" w14:textId="77777777" w:rsidR="005C4961" w:rsidRPr="005C4961" w:rsidRDefault="005C4961" w:rsidP="005C4961">
            <w:pPr>
              <w:spacing w:line="240" w:lineRule="auto"/>
              <w:jc w:val="center"/>
              <w:rPr>
                <w:rFonts w:eastAsia="Times New Roman" w:cs="Calibri"/>
                <w:b/>
                <w:bCs/>
                <w:color w:val="000000"/>
                <w:sz w:val="18"/>
                <w:szCs w:val="18"/>
                <w:lang w:eastAsia="en-GB"/>
              </w:rPr>
            </w:pPr>
            <w:r w:rsidRPr="005C4961">
              <w:rPr>
                <w:rFonts w:eastAsia="Times New Roman" w:cs="Calibri"/>
                <w:b/>
                <w:bCs/>
                <w:color w:val="000000"/>
                <w:sz w:val="18"/>
                <w:szCs w:val="18"/>
                <w:lang w:eastAsia="en-GB"/>
              </w:rPr>
              <w:t>Forecast Balance as at 31/3/2025</w:t>
            </w:r>
          </w:p>
        </w:tc>
        <w:tc>
          <w:tcPr>
            <w:tcW w:w="1380" w:type="dxa"/>
            <w:tcBorders>
              <w:top w:val="single" w:sz="4" w:space="0" w:color="auto"/>
              <w:left w:val="nil"/>
              <w:bottom w:val="nil"/>
              <w:right w:val="nil"/>
            </w:tcBorders>
            <w:shd w:val="clear" w:color="000000" w:fill="BDD7EE"/>
            <w:hideMark/>
          </w:tcPr>
          <w:p w14:paraId="6F3BEDBC" w14:textId="77777777" w:rsidR="005C4961" w:rsidRPr="005C4961" w:rsidRDefault="005C4961" w:rsidP="005C4961">
            <w:pPr>
              <w:spacing w:line="240" w:lineRule="auto"/>
              <w:jc w:val="center"/>
              <w:rPr>
                <w:rFonts w:eastAsia="Times New Roman" w:cs="Calibri"/>
                <w:b/>
                <w:bCs/>
                <w:color w:val="000000"/>
                <w:sz w:val="18"/>
                <w:szCs w:val="18"/>
                <w:lang w:eastAsia="en-GB"/>
              </w:rPr>
            </w:pPr>
            <w:r w:rsidRPr="005C4961">
              <w:rPr>
                <w:rFonts w:eastAsia="Times New Roman" w:cs="Calibri"/>
                <w:b/>
                <w:bCs/>
                <w:color w:val="000000"/>
                <w:sz w:val="18"/>
                <w:szCs w:val="18"/>
                <w:lang w:eastAsia="en-GB"/>
              </w:rPr>
              <w:t>Funding for planned expenditure on projects and programmes over the MTFP (24/25-28/29)</w:t>
            </w:r>
          </w:p>
        </w:tc>
        <w:tc>
          <w:tcPr>
            <w:tcW w:w="1380" w:type="dxa"/>
            <w:tcBorders>
              <w:top w:val="single" w:sz="4" w:space="0" w:color="auto"/>
              <w:left w:val="single" w:sz="4" w:space="0" w:color="auto"/>
              <w:bottom w:val="nil"/>
              <w:right w:val="single" w:sz="4" w:space="0" w:color="auto"/>
            </w:tcBorders>
            <w:shd w:val="clear" w:color="000000" w:fill="BDD7EE"/>
            <w:hideMark/>
          </w:tcPr>
          <w:p w14:paraId="691C2C9F" w14:textId="7A702CCE" w:rsidR="005C4961" w:rsidRPr="005C4961" w:rsidRDefault="005C4961" w:rsidP="005C4961">
            <w:pPr>
              <w:spacing w:line="240" w:lineRule="auto"/>
              <w:jc w:val="center"/>
              <w:rPr>
                <w:rFonts w:eastAsia="Times New Roman" w:cs="Calibri"/>
                <w:b/>
                <w:bCs/>
                <w:color w:val="000000"/>
                <w:sz w:val="18"/>
                <w:szCs w:val="18"/>
                <w:lang w:eastAsia="en-GB"/>
              </w:rPr>
            </w:pPr>
            <w:r w:rsidRPr="005C4961">
              <w:rPr>
                <w:rFonts w:eastAsia="Times New Roman" w:cs="Calibri"/>
                <w:b/>
                <w:bCs/>
                <w:color w:val="000000"/>
                <w:sz w:val="18"/>
                <w:szCs w:val="18"/>
                <w:lang w:eastAsia="en-GB"/>
              </w:rPr>
              <w:t>Total Forecast Revenue and Capital Reserves as at 31</w:t>
            </w:r>
            <w:r w:rsidR="00714120">
              <w:rPr>
                <w:rFonts w:eastAsia="Times New Roman" w:cs="Calibri"/>
                <w:b/>
                <w:bCs/>
                <w:color w:val="000000"/>
                <w:sz w:val="18"/>
                <w:szCs w:val="18"/>
                <w:lang w:eastAsia="en-GB"/>
              </w:rPr>
              <w:t>/3/</w:t>
            </w:r>
            <w:r w:rsidRPr="005C4961">
              <w:rPr>
                <w:rFonts w:eastAsia="Times New Roman" w:cs="Calibri"/>
                <w:b/>
                <w:bCs/>
                <w:color w:val="000000"/>
                <w:sz w:val="18"/>
                <w:szCs w:val="18"/>
                <w:lang w:eastAsia="en-GB"/>
              </w:rPr>
              <w:t>2030</w:t>
            </w:r>
          </w:p>
        </w:tc>
        <w:tc>
          <w:tcPr>
            <w:tcW w:w="1380" w:type="dxa"/>
            <w:tcBorders>
              <w:top w:val="single" w:sz="4" w:space="0" w:color="auto"/>
              <w:left w:val="nil"/>
              <w:bottom w:val="nil"/>
              <w:right w:val="nil"/>
            </w:tcBorders>
            <w:shd w:val="clear" w:color="000000" w:fill="BDD7EE"/>
            <w:hideMark/>
          </w:tcPr>
          <w:p w14:paraId="78E8BC2E" w14:textId="77777777" w:rsidR="005C4961" w:rsidRPr="005C4961" w:rsidRDefault="005C4961" w:rsidP="005C4961">
            <w:pPr>
              <w:spacing w:line="240" w:lineRule="auto"/>
              <w:jc w:val="center"/>
              <w:rPr>
                <w:rFonts w:eastAsia="Times New Roman" w:cs="Calibri"/>
                <w:b/>
                <w:bCs/>
                <w:color w:val="000000"/>
                <w:sz w:val="18"/>
                <w:szCs w:val="18"/>
                <w:lang w:eastAsia="en-GB"/>
              </w:rPr>
            </w:pPr>
            <w:r w:rsidRPr="005C4961">
              <w:rPr>
                <w:rFonts w:eastAsia="Times New Roman" w:cs="Calibri"/>
                <w:b/>
                <w:bCs/>
                <w:color w:val="000000"/>
                <w:sz w:val="18"/>
                <w:szCs w:val="18"/>
                <w:lang w:eastAsia="en-GB"/>
              </w:rPr>
              <w:t>Funding for specific projects and programmes beyond the current planning period</w:t>
            </w:r>
          </w:p>
        </w:tc>
        <w:tc>
          <w:tcPr>
            <w:tcW w:w="1380" w:type="dxa"/>
            <w:tcBorders>
              <w:top w:val="single" w:sz="4" w:space="0" w:color="auto"/>
              <w:left w:val="single" w:sz="4" w:space="0" w:color="auto"/>
              <w:bottom w:val="nil"/>
              <w:right w:val="single" w:sz="4" w:space="0" w:color="auto"/>
            </w:tcBorders>
            <w:shd w:val="clear" w:color="000000" w:fill="BDD7EE"/>
            <w:hideMark/>
          </w:tcPr>
          <w:p w14:paraId="13882A8C" w14:textId="77777777" w:rsidR="005C4961" w:rsidRPr="005C4961" w:rsidRDefault="005C4961" w:rsidP="005C4961">
            <w:pPr>
              <w:spacing w:line="240" w:lineRule="auto"/>
              <w:jc w:val="center"/>
              <w:rPr>
                <w:rFonts w:eastAsia="Times New Roman" w:cs="Calibri"/>
                <w:b/>
                <w:bCs/>
                <w:color w:val="000000"/>
                <w:sz w:val="18"/>
                <w:szCs w:val="18"/>
                <w:lang w:eastAsia="en-GB"/>
              </w:rPr>
            </w:pPr>
            <w:r w:rsidRPr="005C4961">
              <w:rPr>
                <w:rFonts w:eastAsia="Times New Roman" w:cs="Calibri"/>
                <w:b/>
                <w:bCs/>
                <w:color w:val="000000"/>
                <w:sz w:val="18"/>
                <w:szCs w:val="18"/>
                <w:lang w:eastAsia="en-GB"/>
              </w:rPr>
              <w:t xml:space="preserve">As a general contingency to meet other expenditure needs </w:t>
            </w:r>
          </w:p>
        </w:tc>
      </w:tr>
      <w:tr w:rsidR="005C4961" w:rsidRPr="005C4961" w14:paraId="7698049E" w14:textId="77777777" w:rsidTr="005C4961">
        <w:trPr>
          <w:trHeight w:val="300"/>
        </w:trPr>
        <w:tc>
          <w:tcPr>
            <w:tcW w:w="2980" w:type="dxa"/>
            <w:tcBorders>
              <w:top w:val="nil"/>
              <w:left w:val="single" w:sz="4" w:space="0" w:color="auto"/>
              <w:bottom w:val="single" w:sz="4" w:space="0" w:color="auto"/>
              <w:right w:val="nil"/>
            </w:tcBorders>
            <w:shd w:val="clear" w:color="000000" w:fill="BDD7EE"/>
            <w:noWrap/>
            <w:vAlign w:val="bottom"/>
            <w:hideMark/>
          </w:tcPr>
          <w:p w14:paraId="2B1A4DA3" w14:textId="77777777" w:rsidR="005C4961" w:rsidRPr="005C4961" w:rsidRDefault="005C4961" w:rsidP="005C4961">
            <w:pPr>
              <w:spacing w:line="240" w:lineRule="auto"/>
              <w:rPr>
                <w:rFonts w:eastAsia="Times New Roman" w:cs="Calibri"/>
                <w:color w:val="000000"/>
                <w:sz w:val="18"/>
                <w:szCs w:val="18"/>
                <w:lang w:eastAsia="en-GB"/>
              </w:rPr>
            </w:pPr>
            <w:r w:rsidRPr="005C4961">
              <w:rPr>
                <w:rFonts w:eastAsia="Times New Roman" w:cs="Calibri"/>
                <w:color w:val="000000"/>
                <w:sz w:val="18"/>
                <w:szCs w:val="18"/>
                <w:lang w:eastAsia="en-GB"/>
              </w:rPr>
              <w:t> </w:t>
            </w:r>
          </w:p>
        </w:tc>
        <w:tc>
          <w:tcPr>
            <w:tcW w:w="1380" w:type="dxa"/>
            <w:tcBorders>
              <w:top w:val="nil"/>
              <w:left w:val="single" w:sz="4" w:space="0" w:color="auto"/>
              <w:bottom w:val="single" w:sz="4" w:space="0" w:color="auto"/>
              <w:right w:val="single" w:sz="4" w:space="0" w:color="auto"/>
            </w:tcBorders>
            <w:shd w:val="clear" w:color="000000" w:fill="BDD7EE"/>
            <w:noWrap/>
            <w:vAlign w:val="bottom"/>
            <w:hideMark/>
          </w:tcPr>
          <w:p w14:paraId="2B2132B8" w14:textId="77777777" w:rsidR="005C4961" w:rsidRPr="005C4961" w:rsidRDefault="005C4961" w:rsidP="005C4961">
            <w:pPr>
              <w:spacing w:line="240" w:lineRule="auto"/>
              <w:jc w:val="center"/>
              <w:rPr>
                <w:rFonts w:eastAsia="Times New Roman" w:cs="Calibri"/>
                <w:b/>
                <w:bCs/>
                <w:color w:val="000000"/>
                <w:sz w:val="18"/>
                <w:szCs w:val="18"/>
                <w:lang w:eastAsia="en-GB"/>
              </w:rPr>
            </w:pPr>
            <w:r w:rsidRPr="005C4961">
              <w:rPr>
                <w:rFonts w:eastAsia="Times New Roman" w:cs="Calibri"/>
                <w:b/>
                <w:bCs/>
                <w:color w:val="000000"/>
                <w:sz w:val="18"/>
                <w:szCs w:val="18"/>
                <w:lang w:eastAsia="en-GB"/>
              </w:rPr>
              <w:t>£m</w:t>
            </w:r>
          </w:p>
        </w:tc>
        <w:tc>
          <w:tcPr>
            <w:tcW w:w="1380" w:type="dxa"/>
            <w:tcBorders>
              <w:top w:val="nil"/>
              <w:left w:val="nil"/>
              <w:bottom w:val="single" w:sz="4" w:space="0" w:color="auto"/>
              <w:right w:val="nil"/>
            </w:tcBorders>
            <w:shd w:val="clear" w:color="000000" w:fill="BDD7EE"/>
            <w:noWrap/>
            <w:vAlign w:val="bottom"/>
            <w:hideMark/>
          </w:tcPr>
          <w:p w14:paraId="33A381C7" w14:textId="77777777" w:rsidR="005C4961" w:rsidRPr="005C4961" w:rsidRDefault="005C4961" w:rsidP="005C4961">
            <w:pPr>
              <w:spacing w:line="240" w:lineRule="auto"/>
              <w:jc w:val="center"/>
              <w:rPr>
                <w:rFonts w:eastAsia="Times New Roman" w:cs="Calibri"/>
                <w:b/>
                <w:bCs/>
                <w:color w:val="000000"/>
                <w:sz w:val="18"/>
                <w:szCs w:val="18"/>
                <w:lang w:eastAsia="en-GB"/>
              </w:rPr>
            </w:pPr>
            <w:r w:rsidRPr="005C4961">
              <w:rPr>
                <w:rFonts w:eastAsia="Times New Roman" w:cs="Calibri"/>
                <w:b/>
                <w:bCs/>
                <w:color w:val="000000"/>
                <w:sz w:val="18"/>
                <w:szCs w:val="18"/>
                <w:lang w:eastAsia="en-GB"/>
              </w:rPr>
              <w:t>£m</w:t>
            </w:r>
          </w:p>
        </w:tc>
        <w:tc>
          <w:tcPr>
            <w:tcW w:w="1380" w:type="dxa"/>
            <w:tcBorders>
              <w:top w:val="nil"/>
              <w:left w:val="single" w:sz="4" w:space="0" w:color="auto"/>
              <w:bottom w:val="single" w:sz="4" w:space="0" w:color="auto"/>
              <w:right w:val="single" w:sz="4" w:space="0" w:color="auto"/>
            </w:tcBorders>
            <w:shd w:val="clear" w:color="000000" w:fill="BDD7EE"/>
            <w:noWrap/>
            <w:vAlign w:val="bottom"/>
            <w:hideMark/>
          </w:tcPr>
          <w:p w14:paraId="22B68D55" w14:textId="77777777" w:rsidR="005C4961" w:rsidRPr="005C4961" w:rsidRDefault="005C4961" w:rsidP="005C4961">
            <w:pPr>
              <w:spacing w:line="240" w:lineRule="auto"/>
              <w:jc w:val="center"/>
              <w:rPr>
                <w:rFonts w:eastAsia="Times New Roman" w:cs="Calibri"/>
                <w:b/>
                <w:bCs/>
                <w:color w:val="000000"/>
                <w:sz w:val="18"/>
                <w:szCs w:val="18"/>
                <w:lang w:eastAsia="en-GB"/>
              </w:rPr>
            </w:pPr>
            <w:r w:rsidRPr="005C4961">
              <w:rPr>
                <w:rFonts w:eastAsia="Times New Roman" w:cs="Calibri"/>
                <w:b/>
                <w:bCs/>
                <w:color w:val="000000"/>
                <w:sz w:val="18"/>
                <w:szCs w:val="18"/>
                <w:lang w:eastAsia="en-GB"/>
              </w:rPr>
              <w:t>£m</w:t>
            </w:r>
          </w:p>
        </w:tc>
        <w:tc>
          <w:tcPr>
            <w:tcW w:w="1380" w:type="dxa"/>
            <w:tcBorders>
              <w:top w:val="nil"/>
              <w:left w:val="nil"/>
              <w:bottom w:val="single" w:sz="4" w:space="0" w:color="auto"/>
              <w:right w:val="nil"/>
            </w:tcBorders>
            <w:shd w:val="clear" w:color="000000" w:fill="BDD7EE"/>
            <w:noWrap/>
            <w:vAlign w:val="bottom"/>
            <w:hideMark/>
          </w:tcPr>
          <w:p w14:paraId="5058A7C8" w14:textId="77777777" w:rsidR="005C4961" w:rsidRPr="005C4961" w:rsidRDefault="005C4961" w:rsidP="005C4961">
            <w:pPr>
              <w:spacing w:line="240" w:lineRule="auto"/>
              <w:jc w:val="center"/>
              <w:rPr>
                <w:rFonts w:eastAsia="Times New Roman" w:cs="Calibri"/>
                <w:b/>
                <w:bCs/>
                <w:color w:val="000000"/>
                <w:sz w:val="18"/>
                <w:szCs w:val="18"/>
                <w:lang w:eastAsia="en-GB"/>
              </w:rPr>
            </w:pPr>
            <w:r w:rsidRPr="005C4961">
              <w:rPr>
                <w:rFonts w:eastAsia="Times New Roman" w:cs="Calibri"/>
                <w:b/>
                <w:bCs/>
                <w:color w:val="000000"/>
                <w:sz w:val="18"/>
                <w:szCs w:val="18"/>
                <w:lang w:eastAsia="en-GB"/>
              </w:rPr>
              <w:t>£m</w:t>
            </w:r>
          </w:p>
        </w:tc>
        <w:tc>
          <w:tcPr>
            <w:tcW w:w="1380" w:type="dxa"/>
            <w:tcBorders>
              <w:top w:val="nil"/>
              <w:left w:val="single" w:sz="4" w:space="0" w:color="auto"/>
              <w:bottom w:val="single" w:sz="4" w:space="0" w:color="auto"/>
              <w:right w:val="single" w:sz="4" w:space="0" w:color="auto"/>
            </w:tcBorders>
            <w:shd w:val="clear" w:color="000000" w:fill="BDD7EE"/>
            <w:noWrap/>
            <w:vAlign w:val="bottom"/>
            <w:hideMark/>
          </w:tcPr>
          <w:p w14:paraId="74297C72" w14:textId="77777777" w:rsidR="005C4961" w:rsidRPr="005C4961" w:rsidRDefault="005C4961" w:rsidP="005C4961">
            <w:pPr>
              <w:spacing w:line="240" w:lineRule="auto"/>
              <w:jc w:val="center"/>
              <w:rPr>
                <w:rFonts w:eastAsia="Times New Roman" w:cs="Calibri"/>
                <w:b/>
                <w:bCs/>
                <w:color w:val="000000"/>
                <w:sz w:val="18"/>
                <w:szCs w:val="18"/>
                <w:lang w:eastAsia="en-GB"/>
              </w:rPr>
            </w:pPr>
            <w:r w:rsidRPr="005C4961">
              <w:rPr>
                <w:rFonts w:eastAsia="Times New Roman" w:cs="Calibri"/>
                <w:b/>
                <w:bCs/>
                <w:color w:val="000000"/>
                <w:sz w:val="18"/>
                <w:szCs w:val="18"/>
                <w:lang w:eastAsia="en-GB"/>
              </w:rPr>
              <w:t>£m</w:t>
            </w:r>
          </w:p>
        </w:tc>
      </w:tr>
      <w:tr w:rsidR="005C4961" w:rsidRPr="005C4961" w14:paraId="737E8B08" w14:textId="77777777" w:rsidTr="005C4961">
        <w:trPr>
          <w:trHeight w:val="300"/>
        </w:trPr>
        <w:tc>
          <w:tcPr>
            <w:tcW w:w="2980" w:type="dxa"/>
            <w:tcBorders>
              <w:top w:val="nil"/>
              <w:left w:val="single" w:sz="4" w:space="0" w:color="auto"/>
              <w:bottom w:val="single" w:sz="4" w:space="0" w:color="auto"/>
              <w:right w:val="nil"/>
            </w:tcBorders>
            <w:shd w:val="clear" w:color="auto" w:fill="auto"/>
            <w:noWrap/>
            <w:vAlign w:val="bottom"/>
            <w:hideMark/>
          </w:tcPr>
          <w:p w14:paraId="40F60E1F"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General Fund</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A888451"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5.300</w:t>
            </w:r>
          </w:p>
        </w:tc>
        <w:tc>
          <w:tcPr>
            <w:tcW w:w="1380" w:type="dxa"/>
            <w:tcBorders>
              <w:top w:val="nil"/>
              <w:left w:val="nil"/>
              <w:bottom w:val="single" w:sz="4" w:space="0" w:color="auto"/>
              <w:right w:val="nil"/>
            </w:tcBorders>
            <w:shd w:val="clear" w:color="auto" w:fill="auto"/>
            <w:noWrap/>
            <w:vAlign w:val="bottom"/>
            <w:hideMark/>
          </w:tcPr>
          <w:p w14:paraId="2248F517"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0.200</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63EF28C7"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5.500</w:t>
            </w:r>
          </w:p>
        </w:tc>
        <w:tc>
          <w:tcPr>
            <w:tcW w:w="1380" w:type="dxa"/>
            <w:tcBorders>
              <w:top w:val="nil"/>
              <w:left w:val="nil"/>
              <w:bottom w:val="single" w:sz="4" w:space="0" w:color="auto"/>
              <w:right w:val="single" w:sz="4" w:space="0" w:color="auto"/>
            </w:tcBorders>
            <w:shd w:val="clear" w:color="auto" w:fill="auto"/>
            <w:noWrap/>
            <w:vAlign w:val="bottom"/>
            <w:hideMark/>
          </w:tcPr>
          <w:p w14:paraId="68FC47B0" w14:textId="16160CAD" w:rsidR="005C4961" w:rsidRPr="00714120" w:rsidRDefault="005C4961" w:rsidP="00714120">
            <w:pPr>
              <w:spacing w:line="240" w:lineRule="auto"/>
              <w:jc w:val="right"/>
              <w:rPr>
                <w:rFonts w:eastAsia="Times New Roman" w:cs="Calibri"/>
                <w:b/>
                <w:bCs/>
                <w:color w:val="000000"/>
                <w:lang w:eastAsia="en-GB"/>
              </w:rPr>
            </w:pPr>
            <w:r w:rsidRPr="00714120">
              <w:rPr>
                <w:rFonts w:eastAsia="Times New Roman" w:cs="Calibri"/>
                <w:b/>
                <w:bCs/>
                <w:color w:val="000000"/>
                <w:lang w:eastAsia="en-GB"/>
              </w:rPr>
              <w:t> </w:t>
            </w:r>
            <w:r w:rsidR="00714120" w:rsidRPr="00714120">
              <w:rPr>
                <w:rFonts w:eastAsia="Times New Roman" w:cs="Calibri"/>
                <w:b/>
                <w:bCs/>
                <w:color w:val="000000"/>
                <w:lang w:eastAsia="en-GB"/>
              </w:rPr>
              <w:t>0.000</w:t>
            </w:r>
          </w:p>
        </w:tc>
        <w:tc>
          <w:tcPr>
            <w:tcW w:w="1380" w:type="dxa"/>
            <w:tcBorders>
              <w:top w:val="nil"/>
              <w:left w:val="nil"/>
              <w:bottom w:val="single" w:sz="4" w:space="0" w:color="auto"/>
              <w:right w:val="single" w:sz="4" w:space="0" w:color="auto"/>
            </w:tcBorders>
            <w:shd w:val="clear" w:color="auto" w:fill="auto"/>
            <w:noWrap/>
            <w:vAlign w:val="bottom"/>
            <w:hideMark/>
          </w:tcPr>
          <w:p w14:paraId="31570C45"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5.500</w:t>
            </w:r>
          </w:p>
        </w:tc>
      </w:tr>
      <w:tr w:rsidR="005C4961" w:rsidRPr="005C4961" w14:paraId="70B17401"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58A8952F"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single" w:sz="4" w:space="0" w:color="auto"/>
              <w:bottom w:val="nil"/>
              <w:right w:val="single" w:sz="4" w:space="0" w:color="auto"/>
            </w:tcBorders>
            <w:shd w:val="clear" w:color="auto" w:fill="auto"/>
            <w:noWrap/>
            <w:vAlign w:val="bottom"/>
            <w:hideMark/>
          </w:tcPr>
          <w:p w14:paraId="56701FD6"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nil"/>
              <w:bottom w:val="nil"/>
              <w:right w:val="nil"/>
            </w:tcBorders>
            <w:shd w:val="clear" w:color="auto" w:fill="auto"/>
            <w:noWrap/>
            <w:vAlign w:val="bottom"/>
            <w:hideMark/>
          </w:tcPr>
          <w:p w14:paraId="268246EF" w14:textId="77777777" w:rsidR="005C4961" w:rsidRPr="005C4961" w:rsidRDefault="005C4961" w:rsidP="005C4961">
            <w:pPr>
              <w:spacing w:line="240" w:lineRule="auto"/>
              <w:rPr>
                <w:rFonts w:eastAsia="Times New Roman" w:cs="Calibri"/>
                <w:b/>
                <w:bCs/>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6EE811C4"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57FE8F54"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5BCD5E8F"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r>
      <w:tr w:rsidR="005C4961" w:rsidRPr="005C4961" w14:paraId="36DAD880"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62BC4552"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Earmarked Revenue:</w:t>
            </w:r>
          </w:p>
        </w:tc>
        <w:tc>
          <w:tcPr>
            <w:tcW w:w="1380" w:type="dxa"/>
            <w:tcBorders>
              <w:top w:val="nil"/>
              <w:left w:val="single" w:sz="4" w:space="0" w:color="auto"/>
              <w:bottom w:val="nil"/>
              <w:right w:val="single" w:sz="4" w:space="0" w:color="auto"/>
            </w:tcBorders>
            <w:shd w:val="clear" w:color="auto" w:fill="auto"/>
            <w:noWrap/>
            <w:vAlign w:val="bottom"/>
            <w:hideMark/>
          </w:tcPr>
          <w:p w14:paraId="6BBC3779"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nil"/>
              <w:bottom w:val="nil"/>
              <w:right w:val="nil"/>
            </w:tcBorders>
            <w:shd w:val="clear" w:color="auto" w:fill="auto"/>
            <w:noWrap/>
            <w:vAlign w:val="bottom"/>
            <w:hideMark/>
          </w:tcPr>
          <w:p w14:paraId="2EA9113F" w14:textId="77777777" w:rsidR="005C4961" w:rsidRPr="005C4961" w:rsidRDefault="005C4961" w:rsidP="005C4961">
            <w:pPr>
              <w:spacing w:line="240" w:lineRule="auto"/>
              <w:rPr>
                <w:rFonts w:eastAsia="Times New Roman" w:cs="Calibri"/>
                <w:b/>
                <w:bCs/>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27077422"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63FEF273"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46A80529"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r>
      <w:tr w:rsidR="005C4961" w:rsidRPr="005C4961" w14:paraId="669F0001"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04B081D7"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Insurance</w:t>
            </w:r>
          </w:p>
        </w:tc>
        <w:tc>
          <w:tcPr>
            <w:tcW w:w="1380" w:type="dxa"/>
            <w:tcBorders>
              <w:top w:val="nil"/>
              <w:left w:val="single" w:sz="4" w:space="0" w:color="auto"/>
              <w:bottom w:val="nil"/>
              <w:right w:val="single" w:sz="4" w:space="0" w:color="auto"/>
            </w:tcBorders>
            <w:shd w:val="clear" w:color="auto" w:fill="auto"/>
            <w:noWrap/>
            <w:vAlign w:val="bottom"/>
            <w:hideMark/>
          </w:tcPr>
          <w:p w14:paraId="0271D8B2"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2.006</w:t>
            </w:r>
          </w:p>
        </w:tc>
        <w:tc>
          <w:tcPr>
            <w:tcW w:w="1380" w:type="dxa"/>
            <w:tcBorders>
              <w:top w:val="nil"/>
              <w:left w:val="nil"/>
              <w:bottom w:val="nil"/>
              <w:right w:val="nil"/>
            </w:tcBorders>
            <w:shd w:val="clear" w:color="auto" w:fill="auto"/>
            <w:noWrap/>
            <w:vAlign w:val="bottom"/>
            <w:hideMark/>
          </w:tcPr>
          <w:p w14:paraId="6492D1FE" w14:textId="77777777" w:rsidR="005C4961" w:rsidRPr="005C4961" w:rsidRDefault="005C4961" w:rsidP="005C4961">
            <w:pPr>
              <w:spacing w:line="240" w:lineRule="auto"/>
              <w:jc w:val="right"/>
              <w:rPr>
                <w:rFonts w:eastAsia="Times New Roman" w:cs="Calibri"/>
                <w:b/>
                <w:bCs/>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6F8EF95B"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2.006</w:t>
            </w:r>
          </w:p>
        </w:tc>
        <w:tc>
          <w:tcPr>
            <w:tcW w:w="1380" w:type="dxa"/>
            <w:tcBorders>
              <w:top w:val="nil"/>
              <w:left w:val="nil"/>
              <w:bottom w:val="nil"/>
              <w:right w:val="single" w:sz="4" w:space="0" w:color="auto"/>
            </w:tcBorders>
            <w:shd w:val="clear" w:color="auto" w:fill="auto"/>
            <w:noWrap/>
            <w:vAlign w:val="bottom"/>
            <w:hideMark/>
          </w:tcPr>
          <w:p w14:paraId="5B01011B"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50945C1F"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2.006</w:t>
            </w:r>
          </w:p>
        </w:tc>
      </w:tr>
      <w:tr w:rsidR="005C4961" w:rsidRPr="005C4961" w14:paraId="549ED1F4"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7CD01208"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Operational Equipment</w:t>
            </w:r>
          </w:p>
        </w:tc>
        <w:tc>
          <w:tcPr>
            <w:tcW w:w="1380" w:type="dxa"/>
            <w:tcBorders>
              <w:top w:val="nil"/>
              <w:left w:val="single" w:sz="4" w:space="0" w:color="auto"/>
              <w:bottom w:val="nil"/>
              <w:right w:val="single" w:sz="4" w:space="0" w:color="auto"/>
            </w:tcBorders>
            <w:shd w:val="clear" w:color="auto" w:fill="auto"/>
            <w:noWrap/>
            <w:vAlign w:val="bottom"/>
            <w:hideMark/>
          </w:tcPr>
          <w:p w14:paraId="5550BDC8"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0.547</w:t>
            </w:r>
          </w:p>
        </w:tc>
        <w:tc>
          <w:tcPr>
            <w:tcW w:w="1380" w:type="dxa"/>
            <w:tcBorders>
              <w:top w:val="nil"/>
              <w:left w:val="nil"/>
              <w:bottom w:val="nil"/>
              <w:right w:val="nil"/>
            </w:tcBorders>
            <w:shd w:val="clear" w:color="auto" w:fill="auto"/>
            <w:noWrap/>
            <w:vAlign w:val="bottom"/>
            <w:hideMark/>
          </w:tcPr>
          <w:p w14:paraId="158D8BAF"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(0.270)</w:t>
            </w:r>
          </w:p>
        </w:tc>
        <w:tc>
          <w:tcPr>
            <w:tcW w:w="1380" w:type="dxa"/>
            <w:tcBorders>
              <w:top w:val="nil"/>
              <w:left w:val="single" w:sz="4" w:space="0" w:color="auto"/>
              <w:bottom w:val="nil"/>
              <w:right w:val="single" w:sz="4" w:space="0" w:color="auto"/>
            </w:tcBorders>
            <w:shd w:val="clear" w:color="auto" w:fill="auto"/>
            <w:noWrap/>
            <w:vAlign w:val="bottom"/>
            <w:hideMark/>
          </w:tcPr>
          <w:p w14:paraId="72346CDF"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0.277</w:t>
            </w:r>
          </w:p>
        </w:tc>
        <w:tc>
          <w:tcPr>
            <w:tcW w:w="1380" w:type="dxa"/>
            <w:tcBorders>
              <w:top w:val="nil"/>
              <w:left w:val="nil"/>
              <w:bottom w:val="nil"/>
              <w:right w:val="single" w:sz="4" w:space="0" w:color="auto"/>
            </w:tcBorders>
            <w:shd w:val="clear" w:color="auto" w:fill="auto"/>
            <w:noWrap/>
            <w:vAlign w:val="bottom"/>
            <w:hideMark/>
          </w:tcPr>
          <w:p w14:paraId="60419EF8"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507C88F4"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0.277</w:t>
            </w:r>
          </w:p>
        </w:tc>
      </w:tr>
      <w:tr w:rsidR="005C4961" w:rsidRPr="005C4961" w14:paraId="418BC1F9"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6BE96B42"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Carry Forwards</w:t>
            </w:r>
          </w:p>
        </w:tc>
        <w:tc>
          <w:tcPr>
            <w:tcW w:w="1380" w:type="dxa"/>
            <w:tcBorders>
              <w:top w:val="nil"/>
              <w:left w:val="single" w:sz="4" w:space="0" w:color="auto"/>
              <w:bottom w:val="nil"/>
              <w:right w:val="single" w:sz="4" w:space="0" w:color="auto"/>
            </w:tcBorders>
            <w:shd w:val="clear" w:color="auto" w:fill="auto"/>
            <w:noWrap/>
            <w:vAlign w:val="bottom"/>
            <w:hideMark/>
          </w:tcPr>
          <w:p w14:paraId="74C4B936"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0.393</w:t>
            </w:r>
          </w:p>
        </w:tc>
        <w:tc>
          <w:tcPr>
            <w:tcW w:w="1380" w:type="dxa"/>
            <w:tcBorders>
              <w:top w:val="nil"/>
              <w:left w:val="nil"/>
              <w:bottom w:val="nil"/>
              <w:right w:val="nil"/>
            </w:tcBorders>
            <w:shd w:val="clear" w:color="auto" w:fill="auto"/>
            <w:noWrap/>
            <w:vAlign w:val="bottom"/>
            <w:hideMark/>
          </w:tcPr>
          <w:p w14:paraId="3A023EBC"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(0.393)</w:t>
            </w:r>
          </w:p>
        </w:tc>
        <w:tc>
          <w:tcPr>
            <w:tcW w:w="1380" w:type="dxa"/>
            <w:tcBorders>
              <w:top w:val="nil"/>
              <w:left w:val="single" w:sz="4" w:space="0" w:color="auto"/>
              <w:bottom w:val="nil"/>
              <w:right w:val="single" w:sz="4" w:space="0" w:color="auto"/>
            </w:tcBorders>
            <w:shd w:val="clear" w:color="auto" w:fill="auto"/>
            <w:noWrap/>
            <w:vAlign w:val="bottom"/>
            <w:hideMark/>
          </w:tcPr>
          <w:p w14:paraId="032D7E5A"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0.000</w:t>
            </w:r>
          </w:p>
        </w:tc>
        <w:tc>
          <w:tcPr>
            <w:tcW w:w="1380" w:type="dxa"/>
            <w:tcBorders>
              <w:top w:val="nil"/>
              <w:left w:val="nil"/>
              <w:bottom w:val="nil"/>
              <w:right w:val="single" w:sz="4" w:space="0" w:color="auto"/>
            </w:tcBorders>
            <w:shd w:val="clear" w:color="auto" w:fill="auto"/>
            <w:noWrap/>
            <w:vAlign w:val="bottom"/>
            <w:hideMark/>
          </w:tcPr>
          <w:p w14:paraId="03550430"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6F8E4F79"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0.000</w:t>
            </w:r>
          </w:p>
        </w:tc>
      </w:tr>
      <w:tr w:rsidR="005C4961" w:rsidRPr="005C4961" w14:paraId="3E5625A5"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299D4ABF"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Pensions</w:t>
            </w:r>
          </w:p>
        </w:tc>
        <w:tc>
          <w:tcPr>
            <w:tcW w:w="1380" w:type="dxa"/>
            <w:tcBorders>
              <w:top w:val="nil"/>
              <w:left w:val="single" w:sz="4" w:space="0" w:color="auto"/>
              <w:bottom w:val="nil"/>
              <w:right w:val="single" w:sz="4" w:space="0" w:color="auto"/>
            </w:tcBorders>
            <w:shd w:val="clear" w:color="auto" w:fill="auto"/>
            <w:noWrap/>
            <w:vAlign w:val="bottom"/>
            <w:hideMark/>
          </w:tcPr>
          <w:p w14:paraId="12493A56"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0.215</w:t>
            </w:r>
          </w:p>
        </w:tc>
        <w:tc>
          <w:tcPr>
            <w:tcW w:w="1380" w:type="dxa"/>
            <w:tcBorders>
              <w:top w:val="nil"/>
              <w:left w:val="nil"/>
              <w:bottom w:val="nil"/>
              <w:right w:val="nil"/>
            </w:tcBorders>
            <w:shd w:val="clear" w:color="auto" w:fill="auto"/>
            <w:noWrap/>
            <w:vAlign w:val="bottom"/>
            <w:hideMark/>
          </w:tcPr>
          <w:p w14:paraId="1E4FAA85" w14:textId="77777777" w:rsidR="005C4961" w:rsidRPr="005C4961" w:rsidRDefault="005C4961" w:rsidP="005C4961">
            <w:pPr>
              <w:spacing w:line="240" w:lineRule="auto"/>
              <w:jc w:val="right"/>
              <w:rPr>
                <w:rFonts w:eastAsia="Times New Roman" w:cs="Calibri"/>
                <w:b/>
                <w:bCs/>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714D6969"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0.094</w:t>
            </w:r>
          </w:p>
        </w:tc>
        <w:tc>
          <w:tcPr>
            <w:tcW w:w="1380" w:type="dxa"/>
            <w:tcBorders>
              <w:top w:val="nil"/>
              <w:left w:val="nil"/>
              <w:bottom w:val="nil"/>
              <w:right w:val="single" w:sz="4" w:space="0" w:color="auto"/>
            </w:tcBorders>
            <w:shd w:val="clear" w:color="auto" w:fill="auto"/>
            <w:noWrap/>
            <w:vAlign w:val="bottom"/>
            <w:hideMark/>
          </w:tcPr>
          <w:p w14:paraId="41D1CAB8"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285ACC23"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0.094</w:t>
            </w:r>
          </w:p>
        </w:tc>
      </w:tr>
      <w:tr w:rsidR="005C4961" w:rsidRPr="005C4961" w14:paraId="3D0AE35B"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09EEF6FF"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Smoothing</w:t>
            </w:r>
          </w:p>
        </w:tc>
        <w:tc>
          <w:tcPr>
            <w:tcW w:w="1380" w:type="dxa"/>
            <w:tcBorders>
              <w:top w:val="nil"/>
              <w:left w:val="single" w:sz="4" w:space="0" w:color="auto"/>
              <w:bottom w:val="nil"/>
              <w:right w:val="single" w:sz="4" w:space="0" w:color="auto"/>
            </w:tcBorders>
            <w:shd w:val="clear" w:color="auto" w:fill="auto"/>
            <w:noWrap/>
            <w:vAlign w:val="bottom"/>
            <w:hideMark/>
          </w:tcPr>
          <w:p w14:paraId="2F865620"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3.492</w:t>
            </w:r>
          </w:p>
        </w:tc>
        <w:tc>
          <w:tcPr>
            <w:tcW w:w="1380" w:type="dxa"/>
            <w:tcBorders>
              <w:top w:val="nil"/>
              <w:left w:val="nil"/>
              <w:bottom w:val="nil"/>
              <w:right w:val="nil"/>
            </w:tcBorders>
            <w:shd w:val="clear" w:color="auto" w:fill="auto"/>
            <w:noWrap/>
            <w:vAlign w:val="bottom"/>
            <w:hideMark/>
          </w:tcPr>
          <w:p w14:paraId="4FA2DA06"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(1.095)</w:t>
            </w:r>
          </w:p>
        </w:tc>
        <w:tc>
          <w:tcPr>
            <w:tcW w:w="1380" w:type="dxa"/>
            <w:tcBorders>
              <w:top w:val="nil"/>
              <w:left w:val="single" w:sz="4" w:space="0" w:color="auto"/>
              <w:bottom w:val="nil"/>
              <w:right w:val="single" w:sz="4" w:space="0" w:color="auto"/>
            </w:tcBorders>
            <w:shd w:val="clear" w:color="auto" w:fill="auto"/>
            <w:noWrap/>
            <w:vAlign w:val="bottom"/>
            <w:hideMark/>
          </w:tcPr>
          <w:p w14:paraId="3592EE33"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2.397</w:t>
            </w:r>
          </w:p>
        </w:tc>
        <w:tc>
          <w:tcPr>
            <w:tcW w:w="1380" w:type="dxa"/>
            <w:tcBorders>
              <w:top w:val="nil"/>
              <w:left w:val="nil"/>
              <w:bottom w:val="nil"/>
              <w:right w:val="single" w:sz="4" w:space="0" w:color="auto"/>
            </w:tcBorders>
            <w:shd w:val="clear" w:color="auto" w:fill="auto"/>
            <w:noWrap/>
            <w:vAlign w:val="bottom"/>
            <w:hideMark/>
          </w:tcPr>
          <w:p w14:paraId="60C8E215"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15962B61"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2.397</w:t>
            </w:r>
          </w:p>
        </w:tc>
      </w:tr>
      <w:tr w:rsidR="005C4961" w:rsidRPr="005C4961" w14:paraId="36A9DC69"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65C0FFF6"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PFCC Initiatives</w:t>
            </w:r>
          </w:p>
        </w:tc>
        <w:tc>
          <w:tcPr>
            <w:tcW w:w="1380" w:type="dxa"/>
            <w:tcBorders>
              <w:top w:val="nil"/>
              <w:left w:val="single" w:sz="4" w:space="0" w:color="auto"/>
              <w:bottom w:val="nil"/>
              <w:right w:val="single" w:sz="4" w:space="0" w:color="auto"/>
            </w:tcBorders>
            <w:shd w:val="clear" w:color="auto" w:fill="auto"/>
            <w:noWrap/>
            <w:vAlign w:val="bottom"/>
            <w:hideMark/>
          </w:tcPr>
          <w:p w14:paraId="38285B68"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3.912</w:t>
            </w:r>
          </w:p>
        </w:tc>
        <w:tc>
          <w:tcPr>
            <w:tcW w:w="1380" w:type="dxa"/>
            <w:tcBorders>
              <w:top w:val="nil"/>
              <w:left w:val="nil"/>
              <w:bottom w:val="nil"/>
              <w:right w:val="nil"/>
            </w:tcBorders>
            <w:shd w:val="clear" w:color="auto" w:fill="auto"/>
            <w:noWrap/>
            <w:vAlign w:val="bottom"/>
            <w:hideMark/>
          </w:tcPr>
          <w:p w14:paraId="7F4772DA"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(1.921)</w:t>
            </w:r>
          </w:p>
        </w:tc>
        <w:tc>
          <w:tcPr>
            <w:tcW w:w="1380" w:type="dxa"/>
            <w:tcBorders>
              <w:top w:val="nil"/>
              <w:left w:val="single" w:sz="4" w:space="0" w:color="auto"/>
              <w:bottom w:val="nil"/>
              <w:right w:val="single" w:sz="4" w:space="0" w:color="auto"/>
            </w:tcBorders>
            <w:shd w:val="clear" w:color="auto" w:fill="auto"/>
            <w:noWrap/>
            <w:vAlign w:val="bottom"/>
            <w:hideMark/>
          </w:tcPr>
          <w:p w14:paraId="730E1FBC"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1.991</w:t>
            </w:r>
          </w:p>
        </w:tc>
        <w:tc>
          <w:tcPr>
            <w:tcW w:w="1380" w:type="dxa"/>
            <w:tcBorders>
              <w:top w:val="nil"/>
              <w:left w:val="nil"/>
              <w:bottom w:val="nil"/>
              <w:right w:val="single" w:sz="4" w:space="0" w:color="auto"/>
            </w:tcBorders>
            <w:shd w:val="clear" w:color="auto" w:fill="auto"/>
            <w:noWrap/>
            <w:vAlign w:val="bottom"/>
            <w:hideMark/>
          </w:tcPr>
          <w:p w14:paraId="7FE469F3"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(1.991)</w:t>
            </w:r>
          </w:p>
        </w:tc>
        <w:tc>
          <w:tcPr>
            <w:tcW w:w="1380" w:type="dxa"/>
            <w:tcBorders>
              <w:top w:val="nil"/>
              <w:left w:val="nil"/>
              <w:bottom w:val="nil"/>
              <w:right w:val="single" w:sz="4" w:space="0" w:color="auto"/>
            </w:tcBorders>
            <w:shd w:val="clear" w:color="auto" w:fill="auto"/>
            <w:noWrap/>
            <w:vAlign w:val="bottom"/>
            <w:hideMark/>
          </w:tcPr>
          <w:p w14:paraId="78C19CD0"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0.000</w:t>
            </w:r>
          </w:p>
        </w:tc>
      </w:tr>
      <w:tr w:rsidR="005C4961" w:rsidRPr="005C4961" w14:paraId="2E57DDBE"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2D7983EF"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Transformation</w:t>
            </w:r>
          </w:p>
        </w:tc>
        <w:tc>
          <w:tcPr>
            <w:tcW w:w="1380" w:type="dxa"/>
            <w:tcBorders>
              <w:top w:val="nil"/>
              <w:left w:val="single" w:sz="4" w:space="0" w:color="auto"/>
              <w:bottom w:val="nil"/>
              <w:right w:val="single" w:sz="4" w:space="0" w:color="auto"/>
            </w:tcBorders>
            <w:shd w:val="clear" w:color="auto" w:fill="auto"/>
            <w:noWrap/>
            <w:vAlign w:val="bottom"/>
            <w:hideMark/>
          </w:tcPr>
          <w:p w14:paraId="29C72EDC"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3.333</w:t>
            </w:r>
          </w:p>
        </w:tc>
        <w:tc>
          <w:tcPr>
            <w:tcW w:w="1380" w:type="dxa"/>
            <w:tcBorders>
              <w:top w:val="nil"/>
              <w:left w:val="nil"/>
              <w:bottom w:val="nil"/>
              <w:right w:val="nil"/>
            </w:tcBorders>
            <w:shd w:val="clear" w:color="auto" w:fill="auto"/>
            <w:noWrap/>
            <w:vAlign w:val="bottom"/>
            <w:hideMark/>
          </w:tcPr>
          <w:p w14:paraId="595D68E4"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(1.917)</w:t>
            </w:r>
          </w:p>
        </w:tc>
        <w:tc>
          <w:tcPr>
            <w:tcW w:w="1380" w:type="dxa"/>
            <w:tcBorders>
              <w:top w:val="nil"/>
              <w:left w:val="single" w:sz="4" w:space="0" w:color="auto"/>
              <w:bottom w:val="nil"/>
              <w:right w:val="single" w:sz="4" w:space="0" w:color="auto"/>
            </w:tcBorders>
            <w:shd w:val="clear" w:color="auto" w:fill="auto"/>
            <w:noWrap/>
            <w:vAlign w:val="bottom"/>
            <w:hideMark/>
          </w:tcPr>
          <w:p w14:paraId="6F8DCACB"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1.416</w:t>
            </w:r>
          </w:p>
        </w:tc>
        <w:tc>
          <w:tcPr>
            <w:tcW w:w="1380" w:type="dxa"/>
            <w:tcBorders>
              <w:top w:val="nil"/>
              <w:left w:val="nil"/>
              <w:bottom w:val="nil"/>
              <w:right w:val="single" w:sz="4" w:space="0" w:color="auto"/>
            </w:tcBorders>
            <w:shd w:val="clear" w:color="auto" w:fill="auto"/>
            <w:noWrap/>
            <w:vAlign w:val="bottom"/>
            <w:hideMark/>
          </w:tcPr>
          <w:p w14:paraId="2DA9B107"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(1.416)</w:t>
            </w:r>
          </w:p>
        </w:tc>
        <w:tc>
          <w:tcPr>
            <w:tcW w:w="1380" w:type="dxa"/>
            <w:tcBorders>
              <w:top w:val="nil"/>
              <w:left w:val="nil"/>
              <w:bottom w:val="nil"/>
              <w:right w:val="single" w:sz="4" w:space="0" w:color="auto"/>
            </w:tcBorders>
            <w:shd w:val="clear" w:color="auto" w:fill="auto"/>
            <w:noWrap/>
            <w:vAlign w:val="bottom"/>
            <w:hideMark/>
          </w:tcPr>
          <w:p w14:paraId="61F926F1"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0.000</w:t>
            </w:r>
          </w:p>
        </w:tc>
      </w:tr>
      <w:tr w:rsidR="005C4961" w:rsidRPr="005C4961" w14:paraId="4B38513A"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7BE294F7"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Safer Roads</w:t>
            </w:r>
          </w:p>
        </w:tc>
        <w:tc>
          <w:tcPr>
            <w:tcW w:w="1380" w:type="dxa"/>
            <w:tcBorders>
              <w:top w:val="nil"/>
              <w:left w:val="single" w:sz="4" w:space="0" w:color="auto"/>
              <w:bottom w:val="nil"/>
              <w:right w:val="single" w:sz="4" w:space="0" w:color="auto"/>
            </w:tcBorders>
            <w:shd w:val="clear" w:color="auto" w:fill="auto"/>
            <w:noWrap/>
            <w:vAlign w:val="bottom"/>
            <w:hideMark/>
          </w:tcPr>
          <w:p w14:paraId="3E79CADB"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0.664</w:t>
            </w:r>
          </w:p>
        </w:tc>
        <w:tc>
          <w:tcPr>
            <w:tcW w:w="1380" w:type="dxa"/>
            <w:tcBorders>
              <w:top w:val="nil"/>
              <w:left w:val="nil"/>
              <w:bottom w:val="nil"/>
              <w:right w:val="nil"/>
            </w:tcBorders>
            <w:shd w:val="clear" w:color="auto" w:fill="auto"/>
            <w:noWrap/>
            <w:vAlign w:val="bottom"/>
            <w:hideMark/>
          </w:tcPr>
          <w:p w14:paraId="6168089A"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(0.330)</w:t>
            </w:r>
          </w:p>
        </w:tc>
        <w:tc>
          <w:tcPr>
            <w:tcW w:w="1380" w:type="dxa"/>
            <w:tcBorders>
              <w:top w:val="nil"/>
              <w:left w:val="single" w:sz="4" w:space="0" w:color="auto"/>
              <w:bottom w:val="nil"/>
              <w:right w:val="single" w:sz="4" w:space="0" w:color="auto"/>
            </w:tcBorders>
            <w:shd w:val="clear" w:color="auto" w:fill="auto"/>
            <w:noWrap/>
            <w:vAlign w:val="bottom"/>
            <w:hideMark/>
          </w:tcPr>
          <w:p w14:paraId="6F1EDC00"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0.334</w:t>
            </w:r>
          </w:p>
        </w:tc>
        <w:tc>
          <w:tcPr>
            <w:tcW w:w="1380" w:type="dxa"/>
            <w:tcBorders>
              <w:top w:val="nil"/>
              <w:left w:val="nil"/>
              <w:bottom w:val="nil"/>
              <w:right w:val="single" w:sz="4" w:space="0" w:color="auto"/>
            </w:tcBorders>
            <w:shd w:val="clear" w:color="auto" w:fill="auto"/>
            <w:noWrap/>
            <w:vAlign w:val="bottom"/>
            <w:hideMark/>
          </w:tcPr>
          <w:p w14:paraId="0DEAE6F6"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(0.334)</w:t>
            </w:r>
          </w:p>
        </w:tc>
        <w:tc>
          <w:tcPr>
            <w:tcW w:w="1380" w:type="dxa"/>
            <w:tcBorders>
              <w:top w:val="nil"/>
              <w:left w:val="nil"/>
              <w:bottom w:val="nil"/>
              <w:right w:val="single" w:sz="4" w:space="0" w:color="auto"/>
            </w:tcBorders>
            <w:shd w:val="clear" w:color="auto" w:fill="auto"/>
            <w:noWrap/>
            <w:vAlign w:val="bottom"/>
            <w:hideMark/>
          </w:tcPr>
          <w:p w14:paraId="07AB21B2"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0.000</w:t>
            </w:r>
          </w:p>
        </w:tc>
      </w:tr>
      <w:tr w:rsidR="005C4961" w:rsidRPr="005C4961" w14:paraId="21918696"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4A90F450"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Neighbourhood</w:t>
            </w:r>
          </w:p>
        </w:tc>
        <w:tc>
          <w:tcPr>
            <w:tcW w:w="1380" w:type="dxa"/>
            <w:tcBorders>
              <w:top w:val="nil"/>
              <w:left w:val="single" w:sz="4" w:space="0" w:color="auto"/>
              <w:bottom w:val="nil"/>
              <w:right w:val="single" w:sz="4" w:space="0" w:color="auto"/>
            </w:tcBorders>
            <w:shd w:val="clear" w:color="auto" w:fill="auto"/>
            <w:noWrap/>
            <w:vAlign w:val="bottom"/>
            <w:hideMark/>
          </w:tcPr>
          <w:p w14:paraId="35F97D86"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0.998</w:t>
            </w:r>
          </w:p>
        </w:tc>
        <w:tc>
          <w:tcPr>
            <w:tcW w:w="1380" w:type="dxa"/>
            <w:tcBorders>
              <w:top w:val="nil"/>
              <w:left w:val="nil"/>
              <w:bottom w:val="nil"/>
              <w:right w:val="nil"/>
            </w:tcBorders>
            <w:shd w:val="clear" w:color="auto" w:fill="auto"/>
            <w:noWrap/>
            <w:vAlign w:val="bottom"/>
            <w:hideMark/>
          </w:tcPr>
          <w:p w14:paraId="3F515D10"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0.276</w:t>
            </w:r>
          </w:p>
        </w:tc>
        <w:tc>
          <w:tcPr>
            <w:tcW w:w="1380" w:type="dxa"/>
            <w:tcBorders>
              <w:top w:val="nil"/>
              <w:left w:val="single" w:sz="4" w:space="0" w:color="auto"/>
              <w:bottom w:val="nil"/>
              <w:right w:val="single" w:sz="4" w:space="0" w:color="auto"/>
            </w:tcBorders>
            <w:shd w:val="clear" w:color="auto" w:fill="auto"/>
            <w:noWrap/>
            <w:vAlign w:val="bottom"/>
            <w:hideMark/>
          </w:tcPr>
          <w:p w14:paraId="2F6C116B"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1.274</w:t>
            </w:r>
          </w:p>
        </w:tc>
        <w:tc>
          <w:tcPr>
            <w:tcW w:w="1380" w:type="dxa"/>
            <w:tcBorders>
              <w:top w:val="nil"/>
              <w:left w:val="nil"/>
              <w:bottom w:val="nil"/>
              <w:right w:val="single" w:sz="4" w:space="0" w:color="auto"/>
            </w:tcBorders>
            <w:shd w:val="clear" w:color="auto" w:fill="auto"/>
            <w:noWrap/>
            <w:vAlign w:val="bottom"/>
            <w:hideMark/>
          </w:tcPr>
          <w:p w14:paraId="5FE51135"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(1.274)</w:t>
            </w:r>
          </w:p>
        </w:tc>
        <w:tc>
          <w:tcPr>
            <w:tcW w:w="1380" w:type="dxa"/>
            <w:tcBorders>
              <w:top w:val="nil"/>
              <w:left w:val="nil"/>
              <w:bottom w:val="nil"/>
              <w:right w:val="single" w:sz="4" w:space="0" w:color="auto"/>
            </w:tcBorders>
            <w:shd w:val="clear" w:color="auto" w:fill="auto"/>
            <w:noWrap/>
            <w:vAlign w:val="bottom"/>
            <w:hideMark/>
          </w:tcPr>
          <w:p w14:paraId="71D20833"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0.000</w:t>
            </w:r>
          </w:p>
        </w:tc>
      </w:tr>
      <w:tr w:rsidR="005C4961" w:rsidRPr="005C4961" w14:paraId="492FDA26" w14:textId="77777777" w:rsidTr="005C4961">
        <w:trPr>
          <w:trHeight w:val="30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4FE48"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Total Earmarked</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79FC0F88"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15.560</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55ECCC84"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(5.650)</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786EC462"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9.789</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4C70DB09"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(5.015)</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208FD6CA"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4.774</w:t>
            </w:r>
          </w:p>
        </w:tc>
      </w:tr>
      <w:tr w:rsidR="005C4961" w:rsidRPr="005C4961" w14:paraId="581F383C"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4BD0CAAE"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 </w:t>
            </w:r>
          </w:p>
        </w:tc>
        <w:tc>
          <w:tcPr>
            <w:tcW w:w="1380" w:type="dxa"/>
            <w:tcBorders>
              <w:top w:val="nil"/>
              <w:left w:val="single" w:sz="4" w:space="0" w:color="auto"/>
              <w:bottom w:val="nil"/>
              <w:right w:val="single" w:sz="4" w:space="0" w:color="auto"/>
            </w:tcBorders>
            <w:shd w:val="clear" w:color="auto" w:fill="auto"/>
            <w:noWrap/>
            <w:vAlign w:val="bottom"/>
            <w:hideMark/>
          </w:tcPr>
          <w:p w14:paraId="23FC5E1D"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nil"/>
              <w:bottom w:val="nil"/>
              <w:right w:val="nil"/>
            </w:tcBorders>
            <w:shd w:val="clear" w:color="auto" w:fill="auto"/>
            <w:noWrap/>
            <w:vAlign w:val="bottom"/>
            <w:hideMark/>
          </w:tcPr>
          <w:p w14:paraId="23B33D67" w14:textId="77777777" w:rsidR="005C4961" w:rsidRPr="005C4961" w:rsidRDefault="005C4961" w:rsidP="005C4961">
            <w:pPr>
              <w:spacing w:line="240" w:lineRule="auto"/>
              <w:rPr>
                <w:rFonts w:eastAsia="Times New Roman" w:cs="Calibri"/>
                <w:b/>
                <w:bCs/>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2E475B1B"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027EE79D"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59882C7A"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r>
      <w:tr w:rsidR="005C4961" w:rsidRPr="005C4961" w14:paraId="777DCE6D"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40BD4690"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Collaboration</w:t>
            </w:r>
          </w:p>
        </w:tc>
        <w:tc>
          <w:tcPr>
            <w:tcW w:w="1380" w:type="dxa"/>
            <w:tcBorders>
              <w:top w:val="nil"/>
              <w:left w:val="single" w:sz="4" w:space="0" w:color="auto"/>
              <w:bottom w:val="nil"/>
              <w:right w:val="single" w:sz="4" w:space="0" w:color="auto"/>
            </w:tcBorders>
            <w:shd w:val="clear" w:color="auto" w:fill="auto"/>
            <w:noWrap/>
            <w:vAlign w:val="bottom"/>
            <w:hideMark/>
          </w:tcPr>
          <w:p w14:paraId="3848EA50"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0.472</w:t>
            </w:r>
          </w:p>
        </w:tc>
        <w:tc>
          <w:tcPr>
            <w:tcW w:w="1380" w:type="dxa"/>
            <w:tcBorders>
              <w:top w:val="nil"/>
              <w:left w:val="nil"/>
              <w:bottom w:val="nil"/>
              <w:right w:val="nil"/>
            </w:tcBorders>
            <w:shd w:val="clear" w:color="auto" w:fill="auto"/>
            <w:noWrap/>
            <w:vAlign w:val="bottom"/>
            <w:hideMark/>
          </w:tcPr>
          <w:p w14:paraId="6051DD65" w14:textId="77777777" w:rsidR="005C4961" w:rsidRPr="005C4961" w:rsidRDefault="005C4961" w:rsidP="005C4961">
            <w:pPr>
              <w:spacing w:line="240" w:lineRule="auto"/>
              <w:jc w:val="right"/>
              <w:rPr>
                <w:rFonts w:eastAsia="Times New Roman" w:cs="Calibri"/>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3FA75FD5"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0.472</w:t>
            </w:r>
          </w:p>
        </w:tc>
        <w:tc>
          <w:tcPr>
            <w:tcW w:w="1380" w:type="dxa"/>
            <w:tcBorders>
              <w:top w:val="nil"/>
              <w:left w:val="nil"/>
              <w:bottom w:val="nil"/>
              <w:right w:val="single" w:sz="4" w:space="0" w:color="auto"/>
            </w:tcBorders>
            <w:shd w:val="clear" w:color="auto" w:fill="auto"/>
            <w:noWrap/>
            <w:vAlign w:val="bottom"/>
            <w:hideMark/>
          </w:tcPr>
          <w:p w14:paraId="131436B0"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(0.472)</w:t>
            </w:r>
          </w:p>
        </w:tc>
        <w:tc>
          <w:tcPr>
            <w:tcW w:w="1380" w:type="dxa"/>
            <w:tcBorders>
              <w:top w:val="nil"/>
              <w:left w:val="nil"/>
              <w:bottom w:val="nil"/>
              <w:right w:val="single" w:sz="4" w:space="0" w:color="auto"/>
            </w:tcBorders>
            <w:shd w:val="clear" w:color="auto" w:fill="auto"/>
            <w:noWrap/>
            <w:vAlign w:val="bottom"/>
            <w:hideMark/>
          </w:tcPr>
          <w:p w14:paraId="0982BC48"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0.000</w:t>
            </w:r>
          </w:p>
        </w:tc>
      </w:tr>
      <w:tr w:rsidR="005C4961" w:rsidRPr="005C4961" w14:paraId="10327697" w14:textId="77777777" w:rsidTr="005C4961">
        <w:trPr>
          <w:trHeight w:val="300"/>
        </w:trPr>
        <w:tc>
          <w:tcPr>
            <w:tcW w:w="2980" w:type="dxa"/>
            <w:tcBorders>
              <w:top w:val="single" w:sz="4" w:space="0" w:color="auto"/>
              <w:left w:val="single" w:sz="4" w:space="0" w:color="auto"/>
              <w:bottom w:val="single" w:sz="4" w:space="0" w:color="auto"/>
              <w:right w:val="nil"/>
            </w:tcBorders>
            <w:shd w:val="clear" w:color="auto" w:fill="auto"/>
            <w:noWrap/>
            <w:vAlign w:val="bottom"/>
            <w:hideMark/>
          </w:tcPr>
          <w:p w14:paraId="3065153F"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Total Revenue</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CF039"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16.032</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0CC8887C"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(5.650)</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0428C55B"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10.261</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2B27F267"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(5.487)</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368B11B1"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4.774</w:t>
            </w:r>
          </w:p>
        </w:tc>
      </w:tr>
      <w:tr w:rsidR="005C4961" w:rsidRPr="005C4961" w14:paraId="5C386B73"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7AFC36AC"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single" w:sz="4" w:space="0" w:color="auto"/>
              <w:bottom w:val="nil"/>
              <w:right w:val="single" w:sz="4" w:space="0" w:color="auto"/>
            </w:tcBorders>
            <w:shd w:val="clear" w:color="auto" w:fill="auto"/>
            <w:noWrap/>
            <w:vAlign w:val="bottom"/>
            <w:hideMark/>
          </w:tcPr>
          <w:p w14:paraId="38CA710D"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nil"/>
              <w:bottom w:val="nil"/>
              <w:right w:val="nil"/>
            </w:tcBorders>
            <w:shd w:val="clear" w:color="auto" w:fill="auto"/>
            <w:noWrap/>
            <w:vAlign w:val="bottom"/>
            <w:hideMark/>
          </w:tcPr>
          <w:p w14:paraId="495FD045" w14:textId="77777777" w:rsidR="005C4961" w:rsidRPr="005C4961" w:rsidRDefault="005C4961" w:rsidP="005C4961">
            <w:pPr>
              <w:spacing w:line="240" w:lineRule="auto"/>
              <w:jc w:val="right"/>
              <w:rPr>
                <w:rFonts w:eastAsia="Times New Roman" w:cs="Calibri"/>
                <w:b/>
                <w:bCs/>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7BC5CB04"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6E0A647E"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1FBE2259"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 </w:t>
            </w:r>
          </w:p>
        </w:tc>
      </w:tr>
      <w:tr w:rsidR="005C4961" w:rsidRPr="005C4961" w14:paraId="2B49CFB2"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7B7F00AD"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Capital:</w:t>
            </w:r>
          </w:p>
        </w:tc>
        <w:tc>
          <w:tcPr>
            <w:tcW w:w="1380" w:type="dxa"/>
            <w:tcBorders>
              <w:top w:val="nil"/>
              <w:left w:val="single" w:sz="4" w:space="0" w:color="auto"/>
              <w:bottom w:val="nil"/>
              <w:right w:val="single" w:sz="4" w:space="0" w:color="auto"/>
            </w:tcBorders>
            <w:shd w:val="clear" w:color="auto" w:fill="auto"/>
            <w:noWrap/>
            <w:vAlign w:val="bottom"/>
            <w:hideMark/>
          </w:tcPr>
          <w:p w14:paraId="5249EE3F"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nil"/>
              <w:bottom w:val="nil"/>
              <w:right w:val="nil"/>
            </w:tcBorders>
            <w:shd w:val="clear" w:color="auto" w:fill="auto"/>
            <w:noWrap/>
            <w:vAlign w:val="bottom"/>
            <w:hideMark/>
          </w:tcPr>
          <w:p w14:paraId="7945DB66" w14:textId="77777777" w:rsidR="005C4961" w:rsidRPr="005C4961" w:rsidRDefault="005C4961" w:rsidP="005C4961">
            <w:pPr>
              <w:spacing w:line="240" w:lineRule="auto"/>
              <w:rPr>
                <w:rFonts w:eastAsia="Times New Roman" w:cs="Calibri"/>
                <w:b/>
                <w:bCs/>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07FEC335"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53937223"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5A8E9728"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r>
      <w:tr w:rsidR="005C4961" w:rsidRPr="005C4961" w14:paraId="4F44D3E5"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49B1A44C"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Capital Reserve</w:t>
            </w:r>
          </w:p>
        </w:tc>
        <w:tc>
          <w:tcPr>
            <w:tcW w:w="1380" w:type="dxa"/>
            <w:tcBorders>
              <w:top w:val="nil"/>
              <w:left w:val="single" w:sz="4" w:space="0" w:color="auto"/>
              <w:bottom w:val="nil"/>
              <w:right w:val="single" w:sz="4" w:space="0" w:color="auto"/>
            </w:tcBorders>
            <w:shd w:val="clear" w:color="auto" w:fill="auto"/>
            <w:noWrap/>
            <w:vAlign w:val="bottom"/>
            <w:hideMark/>
          </w:tcPr>
          <w:p w14:paraId="3EF8E022"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0.077</w:t>
            </w:r>
          </w:p>
        </w:tc>
        <w:tc>
          <w:tcPr>
            <w:tcW w:w="1380" w:type="dxa"/>
            <w:tcBorders>
              <w:top w:val="nil"/>
              <w:left w:val="nil"/>
              <w:bottom w:val="nil"/>
              <w:right w:val="nil"/>
            </w:tcBorders>
            <w:shd w:val="clear" w:color="auto" w:fill="auto"/>
            <w:noWrap/>
            <w:vAlign w:val="bottom"/>
            <w:hideMark/>
          </w:tcPr>
          <w:p w14:paraId="6CBB6119" w14:textId="77777777" w:rsidR="005C4961" w:rsidRPr="005C4961" w:rsidRDefault="005C4961" w:rsidP="005C4961">
            <w:pPr>
              <w:spacing w:line="240" w:lineRule="auto"/>
              <w:jc w:val="right"/>
              <w:rPr>
                <w:rFonts w:eastAsia="Times New Roman" w:cs="Calibri"/>
                <w:color w:val="000000"/>
                <w:lang w:eastAsia="en-GB"/>
              </w:rPr>
            </w:pPr>
          </w:p>
        </w:tc>
        <w:tc>
          <w:tcPr>
            <w:tcW w:w="1380" w:type="dxa"/>
            <w:tcBorders>
              <w:top w:val="nil"/>
              <w:left w:val="single" w:sz="4" w:space="0" w:color="auto"/>
              <w:bottom w:val="nil"/>
              <w:right w:val="single" w:sz="4" w:space="0" w:color="auto"/>
            </w:tcBorders>
            <w:shd w:val="clear" w:color="auto" w:fill="auto"/>
            <w:noWrap/>
            <w:vAlign w:val="bottom"/>
            <w:hideMark/>
          </w:tcPr>
          <w:p w14:paraId="6B88F9BC"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0.000</w:t>
            </w:r>
          </w:p>
        </w:tc>
        <w:tc>
          <w:tcPr>
            <w:tcW w:w="1380" w:type="dxa"/>
            <w:tcBorders>
              <w:top w:val="nil"/>
              <w:left w:val="nil"/>
              <w:bottom w:val="nil"/>
              <w:right w:val="single" w:sz="4" w:space="0" w:color="auto"/>
            </w:tcBorders>
            <w:shd w:val="clear" w:color="auto" w:fill="auto"/>
            <w:noWrap/>
            <w:vAlign w:val="bottom"/>
            <w:hideMark/>
          </w:tcPr>
          <w:p w14:paraId="00E192AB"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0.000</w:t>
            </w:r>
          </w:p>
        </w:tc>
        <w:tc>
          <w:tcPr>
            <w:tcW w:w="1380" w:type="dxa"/>
            <w:tcBorders>
              <w:top w:val="nil"/>
              <w:left w:val="nil"/>
              <w:bottom w:val="nil"/>
              <w:right w:val="single" w:sz="4" w:space="0" w:color="auto"/>
            </w:tcBorders>
            <w:shd w:val="clear" w:color="auto" w:fill="auto"/>
            <w:noWrap/>
            <w:vAlign w:val="bottom"/>
            <w:hideMark/>
          </w:tcPr>
          <w:p w14:paraId="68C456DA"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0.000</w:t>
            </w:r>
          </w:p>
        </w:tc>
      </w:tr>
      <w:tr w:rsidR="005C4961" w:rsidRPr="005C4961" w14:paraId="170A67E2" w14:textId="77777777" w:rsidTr="005C4961">
        <w:trPr>
          <w:trHeight w:val="300"/>
        </w:trPr>
        <w:tc>
          <w:tcPr>
            <w:tcW w:w="2980" w:type="dxa"/>
            <w:tcBorders>
              <w:top w:val="nil"/>
              <w:left w:val="single" w:sz="4" w:space="0" w:color="auto"/>
              <w:bottom w:val="nil"/>
              <w:right w:val="nil"/>
            </w:tcBorders>
            <w:shd w:val="clear" w:color="auto" w:fill="auto"/>
            <w:noWrap/>
            <w:vAlign w:val="bottom"/>
            <w:hideMark/>
          </w:tcPr>
          <w:p w14:paraId="1E81D04F"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S106 Developer Contributions</w:t>
            </w:r>
          </w:p>
        </w:tc>
        <w:tc>
          <w:tcPr>
            <w:tcW w:w="1380" w:type="dxa"/>
            <w:tcBorders>
              <w:top w:val="nil"/>
              <w:left w:val="single" w:sz="4" w:space="0" w:color="auto"/>
              <w:bottom w:val="nil"/>
              <w:right w:val="single" w:sz="4" w:space="0" w:color="auto"/>
            </w:tcBorders>
            <w:shd w:val="clear" w:color="auto" w:fill="auto"/>
            <w:noWrap/>
            <w:vAlign w:val="bottom"/>
            <w:hideMark/>
          </w:tcPr>
          <w:p w14:paraId="7521318D"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0.000</w:t>
            </w:r>
          </w:p>
        </w:tc>
        <w:tc>
          <w:tcPr>
            <w:tcW w:w="1380" w:type="dxa"/>
            <w:tcBorders>
              <w:top w:val="nil"/>
              <w:left w:val="nil"/>
              <w:bottom w:val="nil"/>
              <w:right w:val="nil"/>
            </w:tcBorders>
            <w:shd w:val="clear" w:color="auto" w:fill="auto"/>
            <w:noWrap/>
            <w:vAlign w:val="bottom"/>
            <w:hideMark/>
          </w:tcPr>
          <w:p w14:paraId="1576D9AC" w14:textId="77777777" w:rsidR="005C4961" w:rsidRPr="005C4961" w:rsidRDefault="005C4961" w:rsidP="005C4961">
            <w:pPr>
              <w:spacing w:line="240" w:lineRule="auto"/>
              <w:jc w:val="right"/>
              <w:rPr>
                <w:rFonts w:eastAsia="Times New Roman" w:cs="Calibri"/>
                <w:color w:val="000000"/>
                <w:lang w:eastAsia="en-GB"/>
              </w:rPr>
            </w:pPr>
            <w:r w:rsidRPr="005C4961">
              <w:rPr>
                <w:rFonts w:eastAsia="Times New Roman" w:cs="Calibri"/>
                <w:color w:val="000000"/>
                <w:lang w:eastAsia="en-GB"/>
              </w:rPr>
              <w:t>0.000</w:t>
            </w:r>
          </w:p>
        </w:tc>
        <w:tc>
          <w:tcPr>
            <w:tcW w:w="1380" w:type="dxa"/>
            <w:tcBorders>
              <w:top w:val="nil"/>
              <w:left w:val="single" w:sz="4" w:space="0" w:color="auto"/>
              <w:bottom w:val="nil"/>
              <w:right w:val="single" w:sz="4" w:space="0" w:color="auto"/>
            </w:tcBorders>
            <w:shd w:val="clear" w:color="auto" w:fill="auto"/>
            <w:noWrap/>
            <w:vAlign w:val="bottom"/>
            <w:hideMark/>
          </w:tcPr>
          <w:p w14:paraId="0B89613F"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0.000</w:t>
            </w:r>
          </w:p>
        </w:tc>
        <w:tc>
          <w:tcPr>
            <w:tcW w:w="1380" w:type="dxa"/>
            <w:tcBorders>
              <w:top w:val="nil"/>
              <w:left w:val="nil"/>
              <w:bottom w:val="nil"/>
              <w:right w:val="single" w:sz="4" w:space="0" w:color="auto"/>
            </w:tcBorders>
            <w:shd w:val="clear" w:color="auto" w:fill="auto"/>
            <w:noWrap/>
            <w:vAlign w:val="bottom"/>
            <w:hideMark/>
          </w:tcPr>
          <w:p w14:paraId="3064657C" w14:textId="77777777" w:rsidR="005C4961" w:rsidRPr="005C4961" w:rsidRDefault="005C4961" w:rsidP="005C4961">
            <w:pPr>
              <w:spacing w:line="240" w:lineRule="auto"/>
              <w:rPr>
                <w:rFonts w:eastAsia="Times New Roman" w:cs="Calibri"/>
                <w:color w:val="000000"/>
                <w:lang w:eastAsia="en-GB"/>
              </w:rPr>
            </w:pPr>
            <w:r w:rsidRPr="005C4961">
              <w:rPr>
                <w:rFonts w:eastAsia="Times New Roman" w:cs="Calibri"/>
                <w:color w:val="000000"/>
                <w:lang w:eastAsia="en-GB"/>
              </w:rPr>
              <w:t> </w:t>
            </w:r>
          </w:p>
        </w:tc>
        <w:tc>
          <w:tcPr>
            <w:tcW w:w="1380" w:type="dxa"/>
            <w:tcBorders>
              <w:top w:val="nil"/>
              <w:left w:val="nil"/>
              <w:bottom w:val="nil"/>
              <w:right w:val="single" w:sz="4" w:space="0" w:color="auto"/>
            </w:tcBorders>
            <w:shd w:val="clear" w:color="auto" w:fill="auto"/>
            <w:noWrap/>
            <w:vAlign w:val="bottom"/>
            <w:hideMark/>
          </w:tcPr>
          <w:p w14:paraId="16961759"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0.000</w:t>
            </w:r>
          </w:p>
        </w:tc>
      </w:tr>
      <w:tr w:rsidR="005C4961" w:rsidRPr="005C4961" w14:paraId="06E9053D" w14:textId="77777777" w:rsidTr="005C4961">
        <w:trPr>
          <w:trHeight w:val="300"/>
        </w:trPr>
        <w:tc>
          <w:tcPr>
            <w:tcW w:w="2980" w:type="dxa"/>
            <w:tcBorders>
              <w:top w:val="single" w:sz="4" w:space="0" w:color="auto"/>
              <w:left w:val="single" w:sz="4" w:space="0" w:color="auto"/>
              <w:bottom w:val="single" w:sz="4" w:space="0" w:color="auto"/>
              <w:right w:val="nil"/>
            </w:tcBorders>
            <w:shd w:val="clear" w:color="auto" w:fill="auto"/>
            <w:noWrap/>
            <w:vAlign w:val="bottom"/>
            <w:hideMark/>
          </w:tcPr>
          <w:p w14:paraId="05400593"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Total Capital</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27BEC"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0.077</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39F8C3F5"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0.000</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178262D3"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0.000</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001603CF"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0.000</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679CD6CB"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0.000</w:t>
            </w:r>
          </w:p>
        </w:tc>
      </w:tr>
      <w:tr w:rsidR="005C4961" w:rsidRPr="005C4961" w14:paraId="18423B22" w14:textId="77777777" w:rsidTr="005C4961">
        <w:trPr>
          <w:trHeight w:val="300"/>
        </w:trPr>
        <w:tc>
          <w:tcPr>
            <w:tcW w:w="2980" w:type="dxa"/>
            <w:tcBorders>
              <w:top w:val="nil"/>
              <w:left w:val="single" w:sz="4" w:space="0" w:color="auto"/>
              <w:bottom w:val="single" w:sz="4" w:space="0" w:color="auto"/>
              <w:right w:val="nil"/>
            </w:tcBorders>
            <w:shd w:val="clear" w:color="auto" w:fill="auto"/>
            <w:noWrap/>
            <w:vAlign w:val="bottom"/>
            <w:hideMark/>
          </w:tcPr>
          <w:p w14:paraId="347AADF5"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61705DB4"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nil"/>
              <w:bottom w:val="single" w:sz="4" w:space="0" w:color="auto"/>
              <w:right w:val="nil"/>
            </w:tcBorders>
            <w:shd w:val="clear" w:color="auto" w:fill="auto"/>
            <w:noWrap/>
            <w:vAlign w:val="bottom"/>
            <w:hideMark/>
          </w:tcPr>
          <w:p w14:paraId="2EC7AA18"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CD51D2E"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nil"/>
              <w:bottom w:val="single" w:sz="4" w:space="0" w:color="auto"/>
              <w:right w:val="single" w:sz="4" w:space="0" w:color="auto"/>
            </w:tcBorders>
            <w:shd w:val="clear" w:color="auto" w:fill="auto"/>
            <w:noWrap/>
            <w:vAlign w:val="bottom"/>
            <w:hideMark/>
          </w:tcPr>
          <w:p w14:paraId="56CD4BF8"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c>
          <w:tcPr>
            <w:tcW w:w="1380" w:type="dxa"/>
            <w:tcBorders>
              <w:top w:val="nil"/>
              <w:left w:val="nil"/>
              <w:bottom w:val="single" w:sz="4" w:space="0" w:color="auto"/>
              <w:right w:val="single" w:sz="4" w:space="0" w:color="auto"/>
            </w:tcBorders>
            <w:shd w:val="clear" w:color="auto" w:fill="auto"/>
            <w:noWrap/>
            <w:vAlign w:val="bottom"/>
            <w:hideMark/>
          </w:tcPr>
          <w:p w14:paraId="1CE85644"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 </w:t>
            </w:r>
          </w:p>
        </w:tc>
      </w:tr>
      <w:tr w:rsidR="005C4961" w:rsidRPr="005C4961" w14:paraId="584D1CB9" w14:textId="77777777" w:rsidTr="005C4961">
        <w:trPr>
          <w:trHeight w:val="300"/>
        </w:trPr>
        <w:tc>
          <w:tcPr>
            <w:tcW w:w="2980" w:type="dxa"/>
            <w:tcBorders>
              <w:top w:val="nil"/>
              <w:left w:val="single" w:sz="4" w:space="0" w:color="auto"/>
              <w:bottom w:val="single" w:sz="4" w:space="0" w:color="auto"/>
              <w:right w:val="nil"/>
            </w:tcBorders>
            <w:shd w:val="clear" w:color="auto" w:fill="auto"/>
            <w:noWrap/>
            <w:vAlign w:val="bottom"/>
            <w:hideMark/>
          </w:tcPr>
          <w:p w14:paraId="3FE34551" w14:textId="77777777" w:rsidR="005C4961" w:rsidRPr="005C4961" w:rsidRDefault="005C4961" w:rsidP="005C4961">
            <w:pPr>
              <w:spacing w:line="240" w:lineRule="auto"/>
              <w:rPr>
                <w:rFonts w:eastAsia="Times New Roman" w:cs="Calibri"/>
                <w:b/>
                <w:bCs/>
                <w:color w:val="000000"/>
                <w:lang w:eastAsia="en-GB"/>
              </w:rPr>
            </w:pPr>
            <w:r w:rsidRPr="005C4961">
              <w:rPr>
                <w:rFonts w:eastAsia="Times New Roman" w:cs="Calibri"/>
                <w:b/>
                <w:bCs/>
                <w:color w:val="000000"/>
                <w:lang w:eastAsia="en-GB"/>
              </w:rPr>
              <w:t>Total Reserves</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0CE71696"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21.409</w:t>
            </w:r>
          </w:p>
        </w:tc>
        <w:tc>
          <w:tcPr>
            <w:tcW w:w="1380" w:type="dxa"/>
            <w:tcBorders>
              <w:top w:val="nil"/>
              <w:left w:val="nil"/>
              <w:bottom w:val="single" w:sz="4" w:space="0" w:color="auto"/>
              <w:right w:val="single" w:sz="4" w:space="0" w:color="auto"/>
            </w:tcBorders>
            <w:shd w:val="clear" w:color="auto" w:fill="auto"/>
            <w:noWrap/>
            <w:vAlign w:val="bottom"/>
            <w:hideMark/>
          </w:tcPr>
          <w:p w14:paraId="185A2A06"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(5.450)</w:t>
            </w:r>
          </w:p>
        </w:tc>
        <w:tc>
          <w:tcPr>
            <w:tcW w:w="1380" w:type="dxa"/>
            <w:tcBorders>
              <w:top w:val="nil"/>
              <w:left w:val="nil"/>
              <w:bottom w:val="single" w:sz="4" w:space="0" w:color="auto"/>
              <w:right w:val="single" w:sz="4" w:space="0" w:color="auto"/>
            </w:tcBorders>
            <w:shd w:val="clear" w:color="auto" w:fill="auto"/>
            <w:noWrap/>
            <w:vAlign w:val="bottom"/>
            <w:hideMark/>
          </w:tcPr>
          <w:p w14:paraId="560ADE21"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15.761</w:t>
            </w:r>
          </w:p>
        </w:tc>
        <w:tc>
          <w:tcPr>
            <w:tcW w:w="1380" w:type="dxa"/>
            <w:tcBorders>
              <w:top w:val="nil"/>
              <w:left w:val="nil"/>
              <w:bottom w:val="single" w:sz="4" w:space="0" w:color="auto"/>
              <w:right w:val="single" w:sz="4" w:space="0" w:color="auto"/>
            </w:tcBorders>
            <w:shd w:val="clear" w:color="auto" w:fill="auto"/>
            <w:noWrap/>
            <w:vAlign w:val="bottom"/>
            <w:hideMark/>
          </w:tcPr>
          <w:p w14:paraId="79F8696F"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(5.487)</w:t>
            </w:r>
          </w:p>
        </w:tc>
        <w:tc>
          <w:tcPr>
            <w:tcW w:w="1380" w:type="dxa"/>
            <w:tcBorders>
              <w:top w:val="nil"/>
              <w:left w:val="nil"/>
              <w:bottom w:val="single" w:sz="4" w:space="0" w:color="auto"/>
              <w:right w:val="single" w:sz="4" w:space="0" w:color="auto"/>
            </w:tcBorders>
            <w:shd w:val="clear" w:color="auto" w:fill="auto"/>
            <w:noWrap/>
            <w:vAlign w:val="bottom"/>
            <w:hideMark/>
          </w:tcPr>
          <w:p w14:paraId="49F1B22C" w14:textId="77777777" w:rsidR="005C4961" w:rsidRPr="005C4961" w:rsidRDefault="005C4961" w:rsidP="005C4961">
            <w:pPr>
              <w:spacing w:line="240" w:lineRule="auto"/>
              <w:jc w:val="right"/>
              <w:rPr>
                <w:rFonts w:eastAsia="Times New Roman" w:cs="Calibri"/>
                <w:b/>
                <w:bCs/>
                <w:color w:val="000000"/>
                <w:lang w:eastAsia="en-GB"/>
              </w:rPr>
            </w:pPr>
            <w:r w:rsidRPr="005C4961">
              <w:rPr>
                <w:rFonts w:eastAsia="Times New Roman" w:cs="Calibri"/>
                <w:b/>
                <w:bCs/>
                <w:color w:val="000000"/>
                <w:lang w:eastAsia="en-GB"/>
              </w:rPr>
              <w:t>10.274</w:t>
            </w:r>
          </w:p>
        </w:tc>
      </w:tr>
    </w:tbl>
    <w:p w14:paraId="1C52314A" w14:textId="77777777" w:rsidR="008A7480" w:rsidRPr="00A81E04" w:rsidRDefault="008A7480" w:rsidP="00DF635B">
      <w:pPr>
        <w:spacing w:line="240" w:lineRule="auto"/>
        <w:jc w:val="both"/>
        <w:rPr>
          <w:rFonts w:ascii="Arial" w:eastAsia="Times New Roman" w:hAnsi="Arial" w:cs="Arial"/>
          <w:bCs/>
          <w:i/>
          <w:iCs/>
          <w:highlight w:val="yellow"/>
        </w:rPr>
      </w:pPr>
      <w:bookmarkStart w:id="60" w:name="_Hlk188269824"/>
    </w:p>
    <w:p w14:paraId="22FAA87F" w14:textId="5DB8F9C0" w:rsidR="00DC1AAF" w:rsidRPr="005C4961" w:rsidRDefault="00DC1AAF" w:rsidP="00DF635B">
      <w:pPr>
        <w:spacing w:line="240" w:lineRule="auto"/>
        <w:jc w:val="both"/>
        <w:rPr>
          <w:rFonts w:ascii="Arial" w:eastAsia="Times New Roman" w:hAnsi="Arial" w:cs="Arial"/>
          <w:bCs/>
          <w:i/>
          <w:iCs/>
        </w:rPr>
      </w:pPr>
      <w:r w:rsidRPr="005C4961">
        <w:rPr>
          <w:rFonts w:ascii="Arial" w:eastAsia="Times New Roman" w:hAnsi="Arial" w:cs="Arial"/>
          <w:bCs/>
          <w:i/>
          <w:iCs/>
        </w:rPr>
        <w:t>Note: numbers may not sum due to rounding</w:t>
      </w:r>
    </w:p>
    <w:bookmarkEnd w:id="59"/>
    <w:bookmarkEnd w:id="60"/>
    <w:p w14:paraId="09CA8A55" w14:textId="77777777" w:rsidR="00D52E21" w:rsidRPr="00A81E04" w:rsidRDefault="00D52E21" w:rsidP="00D52E21">
      <w:pPr>
        <w:spacing w:line="240" w:lineRule="auto"/>
        <w:jc w:val="both"/>
        <w:rPr>
          <w:rFonts w:ascii="Arial" w:eastAsia="Times New Roman" w:hAnsi="Arial" w:cs="Arial"/>
          <w:b/>
          <w:sz w:val="24"/>
          <w:szCs w:val="24"/>
          <w:highlight w:val="yellow"/>
        </w:rPr>
      </w:pPr>
    </w:p>
    <w:p w14:paraId="2BBA143B" w14:textId="6F965A25" w:rsidR="00DC1AAF" w:rsidRPr="00C3224F" w:rsidRDefault="00DC1AAF" w:rsidP="008722B8">
      <w:pPr>
        <w:pStyle w:val="ReservesHeading"/>
      </w:pPr>
      <w:bookmarkStart w:id="61" w:name="_Hlk156923085"/>
      <w:r w:rsidRPr="00C3224F">
        <w:t>General Reserve</w:t>
      </w:r>
    </w:p>
    <w:p w14:paraId="4C2D8F53" w14:textId="606F291E" w:rsidR="00DC1AAF" w:rsidRPr="00C3224F" w:rsidRDefault="00DC1AAF" w:rsidP="008722B8">
      <w:pPr>
        <w:pStyle w:val="ReservesBody"/>
      </w:pPr>
      <w:bookmarkStart w:id="62" w:name="_Hlk156923135"/>
      <w:bookmarkEnd w:id="61"/>
      <w:r w:rsidRPr="00C3224F">
        <w:t xml:space="preserve">In order to assess the adequacy of the unallocated general reserve when setting the budget, the PFCC, on the advice of the two Chief Finance Officers, should take account of the strategic, operational and financial risks facing the authority. </w:t>
      </w:r>
      <w:r w:rsidR="00DF635B" w:rsidRPr="00C3224F">
        <w:t xml:space="preserve"> </w:t>
      </w:r>
      <w:r w:rsidRPr="00C3224F">
        <w:t xml:space="preserve">This assessment of risk should include external risks, as well as internal risks, for example the ability to deliver planned efficiency savings. </w:t>
      </w:r>
    </w:p>
    <w:p w14:paraId="598A972F" w14:textId="62C1D0F4" w:rsidR="00DC1AAF" w:rsidRPr="00C3224F" w:rsidRDefault="00DC1AAF" w:rsidP="008722B8">
      <w:pPr>
        <w:pStyle w:val="ReservesBody"/>
      </w:pPr>
      <w:r w:rsidRPr="00C3224F">
        <w:t xml:space="preserve">Whilst there is no prescribed level of reserves that PFCCs should hold; it is influenced by individual discretion, local circumstances, advice from external auditors, risk management arrangements and risk appetite. </w:t>
      </w:r>
      <w:r w:rsidR="00DF635B" w:rsidRPr="00C3224F">
        <w:t xml:space="preserve"> </w:t>
      </w:r>
      <w:r w:rsidRPr="00C3224F">
        <w:t>CIPFA guidance specifically cautions against prescriptive national guidance for a minimum or maximum level of reserves and states:</w:t>
      </w:r>
    </w:p>
    <w:p w14:paraId="67D4B318" w14:textId="3D178054" w:rsidR="00F57399" w:rsidRPr="00C3224F" w:rsidRDefault="00DC1AAF" w:rsidP="008722B8">
      <w:pPr>
        <w:pStyle w:val="ReservesBody"/>
        <w:numPr>
          <w:ilvl w:val="0"/>
          <w:numId w:val="0"/>
        </w:numPr>
        <w:ind w:left="567"/>
        <w:rPr>
          <w:i/>
          <w:iCs/>
        </w:rPr>
      </w:pPr>
      <w:r w:rsidRPr="00C3224F">
        <w:rPr>
          <w:i/>
          <w:iCs/>
        </w:rPr>
        <w:t xml:space="preserve">“The many factors involved when considering appropriate levels of reserves can only be assessed properly at a local level. A considerable degree of professional judgement is required. The chief finance officer may choose to express advice on the level of balances in cash and/or </w:t>
      </w:r>
      <w:r w:rsidRPr="00C3224F">
        <w:rPr>
          <w:i/>
          <w:iCs/>
        </w:rPr>
        <w:lastRenderedPageBreak/>
        <w:t>as a percentage of budget (to aid understanding) so long as that advice is tailored to the circumstances of the authority</w:t>
      </w:r>
      <w:r w:rsidR="008722B8" w:rsidRPr="00C3224F">
        <w:rPr>
          <w:i/>
          <w:iCs/>
        </w:rPr>
        <w:t>.</w:t>
      </w:r>
      <w:r w:rsidRPr="00C3224F">
        <w:rPr>
          <w:i/>
          <w:iCs/>
        </w:rPr>
        <w:t xml:space="preserve">” </w:t>
      </w:r>
    </w:p>
    <w:p w14:paraId="38EE72B5" w14:textId="3C63F6EC" w:rsidR="00DC1AAF" w:rsidRPr="00C3224F" w:rsidRDefault="00DC1AAF" w:rsidP="008722B8">
      <w:pPr>
        <w:pStyle w:val="ReservesBody"/>
        <w:rPr>
          <w:i/>
        </w:rPr>
      </w:pPr>
      <w:r w:rsidRPr="00C3224F">
        <w:t xml:space="preserve">However, the minimum level of reserves may be set for the authority by the Ministers in England and Wales where an authority </w:t>
      </w:r>
      <w:r w:rsidR="00360A96" w:rsidRPr="00C3224F">
        <w:t xml:space="preserve">does not </w:t>
      </w:r>
      <w:r w:rsidRPr="00C3224F">
        <w:t>act prudently, disregards the advice of its chief finance officer or is heading for financial difficulties.</w:t>
      </w:r>
    </w:p>
    <w:p w14:paraId="3459805F" w14:textId="6536867D" w:rsidR="00DC1AAF" w:rsidRPr="00C3224F" w:rsidRDefault="00DC1AAF" w:rsidP="008722B8">
      <w:pPr>
        <w:pStyle w:val="ReservesBody"/>
      </w:pPr>
      <w:r w:rsidRPr="00C3224F">
        <w:t xml:space="preserve">CIPFA indicate a minimum general reserve level is typically between 2% and 3% of net budget requirement. </w:t>
      </w:r>
    </w:p>
    <w:p w14:paraId="1F680EF2" w14:textId="0D5A5F13" w:rsidR="00DC1AAF" w:rsidRPr="00C3224F" w:rsidRDefault="00DC1AAF" w:rsidP="008722B8">
      <w:pPr>
        <w:pStyle w:val="ReservesBody"/>
      </w:pPr>
      <w:bookmarkStart w:id="63" w:name="_Hlk156924983"/>
      <w:bookmarkEnd w:id="62"/>
      <w:r w:rsidRPr="00C3224F">
        <w:t xml:space="preserve">The PFCC has considered </w:t>
      </w:r>
      <w:r w:rsidR="00C3224F" w:rsidRPr="00C3224F">
        <w:t>the</w:t>
      </w:r>
      <w:r w:rsidRPr="00C3224F">
        <w:t xml:space="preserve"> reserves strategy and wishes to hold a sufficient but not excessive level of reserves.</w:t>
      </w:r>
      <w:r w:rsidR="00DF635B" w:rsidRPr="00C3224F">
        <w:t xml:space="preserve"> </w:t>
      </w:r>
      <w:r w:rsidRPr="00C3224F">
        <w:t xml:space="preserve"> In determining this position, Annexe 1 outlines how the PFCC complies with the 7 key CIPFA principles which can be used to assess the adequacy of reserves.</w:t>
      </w:r>
    </w:p>
    <w:bookmarkEnd w:id="63"/>
    <w:p w14:paraId="00C11FFD" w14:textId="0EBBFD5F" w:rsidR="00F57399" w:rsidRPr="00C3224F" w:rsidRDefault="00DC1AAF" w:rsidP="008722B8">
      <w:pPr>
        <w:pStyle w:val="ReservesBody"/>
      </w:pPr>
      <w:r w:rsidRPr="00C3224F">
        <w:t xml:space="preserve">Given that the PFCC is required to meet the first 1% of any special grant requirement, and the level and range of earmarked reserves available to the PFCC, it seems prudent that the current policy is to maintain general reserves at a guideline level of </w:t>
      </w:r>
      <w:r w:rsidR="008F7527" w:rsidRPr="00C3224F">
        <w:t xml:space="preserve">around </w:t>
      </w:r>
      <w:r w:rsidRPr="00C3224F">
        <w:t xml:space="preserve">3% of annual net revenue expenditure, with a minimum of 2.5%. </w:t>
      </w:r>
    </w:p>
    <w:p w14:paraId="0403FE3A" w14:textId="76CC9399" w:rsidR="00DC1AAF" w:rsidRPr="00C3224F" w:rsidRDefault="00DC1AAF" w:rsidP="008722B8">
      <w:pPr>
        <w:pStyle w:val="ReservesBody"/>
      </w:pPr>
      <w:bookmarkStart w:id="64" w:name="_Hlk156925276"/>
      <w:r w:rsidRPr="00C3224F">
        <w:t xml:space="preserve">At present, there are no plans to use the </w:t>
      </w:r>
      <w:r w:rsidR="00F57399" w:rsidRPr="00C3224F">
        <w:t>g</w:t>
      </w:r>
      <w:r w:rsidRPr="00C3224F">
        <w:t xml:space="preserve">eneral </w:t>
      </w:r>
      <w:r w:rsidR="00F57399" w:rsidRPr="00C3224F">
        <w:t>r</w:t>
      </w:r>
      <w:r w:rsidRPr="00C3224F">
        <w:t xml:space="preserve">eserve during the period of the MTFP. </w:t>
      </w:r>
      <w:bookmarkEnd w:id="64"/>
      <w:r w:rsidRPr="00C3224F">
        <w:t xml:space="preserve">However, with forecast budget increases, there is a need to ensure the level of general reserves keeps pace to ensure minimum and guideline levels are achieved as follows: </w:t>
      </w:r>
    </w:p>
    <w:tbl>
      <w:tblPr>
        <w:tblW w:w="4140" w:type="dxa"/>
        <w:tblInd w:w="562" w:type="dxa"/>
        <w:tblLook w:val="04A0" w:firstRow="1" w:lastRow="0" w:firstColumn="1" w:lastColumn="0" w:noHBand="0" w:noVBand="1"/>
      </w:tblPr>
      <w:tblGrid>
        <w:gridCol w:w="1380"/>
        <w:gridCol w:w="1380"/>
        <w:gridCol w:w="1380"/>
      </w:tblGrid>
      <w:tr w:rsidR="005C4961" w:rsidRPr="005C4961" w14:paraId="741BDEE2" w14:textId="77777777" w:rsidTr="005C4961">
        <w:trPr>
          <w:trHeight w:val="600"/>
        </w:trPr>
        <w:tc>
          <w:tcPr>
            <w:tcW w:w="1380" w:type="dxa"/>
            <w:tcBorders>
              <w:top w:val="single" w:sz="4" w:space="0" w:color="auto"/>
              <w:left w:val="single" w:sz="4" w:space="0" w:color="auto"/>
              <w:bottom w:val="single" w:sz="4" w:space="0" w:color="auto"/>
              <w:right w:val="nil"/>
            </w:tcBorders>
            <w:shd w:val="clear" w:color="000000" w:fill="BDD7EE"/>
            <w:noWrap/>
            <w:vAlign w:val="center"/>
            <w:hideMark/>
          </w:tcPr>
          <w:p w14:paraId="5F4DB7CB" w14:textId="77777777" w:rsidR="005C4961" w:rsidRPr="005C4961" w:rsidRDefault="005C4961" w:rsidP="005C4961">
            <w:pPr>
              <w:spacing w:line="240" w:lineRule="auto"/>
              <w:jc w:val="center"/>
              <w:rPr>
                <w:rFonts w:eastAsia="Times New Roman" w:cs="Calibri"/>
                <w:b/>
                <w:bCs/>
                <w:color w:val="000000"/>
                <w:lang w:eastAsia="en-GB"/>
              </w:rPr>
            </w:pPr>
            <w:r w:rsidRPr="005C4961">
              <w:rPr>
                <w:rFonts w:eastAsia="Times New Roman" w:cs="Calibri"/>
                <w:b/>
                <w:bCs/>
                <w:color w:val="000000"/>
                <w:lang w:eastAsia="en-GB"/>
              </w:rPr>
              <w:t>Year</w:t>
            </w:r>
          </w:p>
        </w:tc>
        <w:tc>
          <w:tcPr>
            <w:tcW w:w="138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390C5E8" w14:textId="77777777" w:rsidR="005C4961" w:rsidRPr="005C4961" w:rsidRDefault="005C4961" w:rsidP="005C4961">
            <w:pPr>
              <w:spacing w:line="240" w:lineRule="auto"/>
              <w:jc w:val="center"/>
              <w:rPr>
                <w:rFonts w:eastAsia="Times New Roman" w:cs="Calibri"/>
                <w:b/>
                <w:bCs/>
                <w:color w:val="000000"/>
                <w:lang w:eastAsia="en-GB"/>
              </w:rPr>
            </w:pPr>
            <w:r w:rsidRPr="005C4961">
              <w:rPr>
                <w:rFonts w:eastAsia="Times New Roman" w:cs="Calibri"/>
                <w:b/>
                <w:bCs/>
                <w:color w:val="000000"/>
                <w:lang w:eastAsia="en-GB"/>
              </w:rPr>
              <w:t>£m</w:t>
            </w:r>
          </w:p>
        </w:tc>
        <w:tc>
          <w:tcPr>
            <w:tcW w:w="1380" w:type="dxa"/>
            <w:tcBorders>
              <w:top w:val="single" w:sz="4" w:space="0" w:color="auto"/>
              <w:left w:val="nil"/>
              <w:bottom w:val="single" w:sz="4" w:space="0" w:color="auto"/>
              <w:right w:val="single" w:sz="4" w:space="0" w:color="auto"/>
            </w:tcBorders>
            <w:shd w:val="clear" w:color="000000" w:fill="BDD7EE"/>
            <w:noWrap/>
            <w:vAlign w:val="center"/>
            <w:hideMark/>
          </w:tcPr>
          <w:p w14:paraId="240522FC" w14:textId="77777777" w:rsidR="005C4961" w:rsidRPr="005C4961" w:rsidRDefault="005C4961" w:rsidP="005C4961">
            <w:pPr>
              <w:spacing w:line="240" w:lineRule="auto"/>
              <w:jc w:val="center"/>
              <w:rPr>
                <w:rFonts w:eastAsia="Times New Roman" w:cs="Calibri"/>
                <w:b/>
                <w:bCs/>
                <w:color w:val="000000"/>
                <w:lang w:eastAsia="en-GB"/>
              </w:rPr>
            </w:pPr>
            <w:r w:rsidRPr="005C4961">
              <w:rPr>
                <w:rFonts w:eastAsia="Times New Roman" w:cs="Calibri"/>
                <w:b/>
                <w:bCs/>
                <w:color w:val="000000"/>
                <w:lang w:eastAsia="en-GB"/>
              </w:rPr>
              <w:t>%</w:t>
            </w:r>
          </w:p>
        </w:tc>
      </w:tr>
      <w:tr w:rsidR="005C4961" w:rsidRPr="005C4961" w14:paraId="08684BA0" w14:textId="77777777" w:rsidTr="005C4961">
        <w:trPr>
          <w:trHeight w:val="300"/>
        </w:trPr>
        <w:tc>
          <w:tcPr>
            <w:tcW w:w="1380" w:type="dxa"/>
            <w:tcBorders>
              <w:top w:val="nil"/>
              <w:left w:val="single" w:sz="4" w:space="0" w:color="auto"/>
              <w:bottom w:val="nil"/>
              <w:right w:val="nil"/>
            </w:tcBorders>
            <w:shd w:val="clear" w:color="auto" w:fill="auto"/>
            <w:noWrap/>
            <w:vAlign w:val="bottom"/>
            <w:hideMark/>
          </w:tcPr>
          <w:p w14:paraId="6C426CED" w14:textId="77777777" w:rsidR="005C4961" w:rsidRPr="005C4961" w:rsidRDefault="005C4961" w:rsidP="005C4961">
            <w:pPr>
              <w:spacing w:line="240" w:lineRule="auto"/>
              <w:jc w:val="center"/>
              <w:rPr>
                <w:rFonts w:eastAsia="Times New Roman" w:cs="Calibri"/>
                <w:color w:val="000000"/>
                <w:lang w:eastAsia="en-GB"/>
              </w:rPr>
            </w:pPr>
            <w:r w:rsidRPr="005C4961">
              <w:rPr>
                <w:rFonts w:eastAsia="Times New Roman" w:cs="Calibri"/>
                <w:color w:val="000000"/>
                <w:lang w:eastAsia="en-GB"/>
              </w:rPr>
              <w:t>2025/26</w:t>
            </w:r>
          </w:p>
        </w:tc>
        <w:tc>
          <w:tcPr>
            <w:tcW w:w="1380" w:type="dxa"/>
            <w:tcBorders>
              <w:top w:val="nil"/>
              <w:left w:val="single" w:sz="4" w:space="0" w:color="auto"/>
              <w:bottom w:val="nil"/>
              <w:right w:val="single" w:sz="4" w:space="0" w:color="auto"/>
            </w:tcBorders>
            <w:shd w:val="clear" w:color="auto" w:fill="auto"/>
            <w:noWrap/>
            <w:vAlign w:val="bottom"/>
            <w:hideMark/>
          </w:tcPr>
          <w:p w14:paraId="4B599E6F" w14:textId="77777777" w:rsidR="005C4961" w:rsidRPr="005C4961" w:rsidRDefault="005C4961" w:rsidP="005C4961">
            <w:pPr>
              <w:spacing w:line="240" w:lineRule="auto"/>
              <w:jc w:val="center"/>
              <w:rPr>
                <w:rFonts w:eastAsia="Times New Roman" w:cs="Calibri"/>
                <w:b/>
                <w:bCs/>
                <w:color w:val="000000"/>
                <w:lang w:eastAsia="en-GB"/>
              </w:rPr>
            </w:pPr>
            <w:r w:rsidRPr="005C4961">
              <w:rPr>
                <w:rFonts w:eastAsia="Times New Roman" w:cs="Calibri"/>
                <w:b/>
                <w:bCs/>
                <w:color w:val="000000"/>
                <w:lang w:eastAsia="en-GB"/>
              </w:rPr>
              <w:t>5.300</w:t>
            </w:r>
          </w:p>
        </w:tc>
        <w:tc>
          <w:tcPr>
            <w:tcW w:w="1380" w:type="dxa"/>
            <w:tcBorders>
              <w:top w:val="nil"/>
              <w:left w:val="nil"/>
              <w:bottom w:val="nil"/>
              <w:right w:val="single" w:sz="4" w:space="0" w:color="auto"/>
            </w:tcBorders>
            <w:shd w:val="clear" w:color="auto" w:fill="auto"/>
            <w:noWrap/>
            <w:vAlign w:val="bottom"/>
            <w:hideMark/>
          </w:tcPr>
          <w:p w14:paraId="481FD62D" w14:textId="77777777" w:rsidR="005C4961" w:rsidRPr="005C4961" w:rsidRDefault="005C4961" w:rsidP="005C4961">
            <w:pPr>
              <w:spacing w:line="240" w:lineRule="auto"/>
              <w:jc w:val="center"/>
              <w:rPr>
                <w:rFonts w:eastAsia="Times New Roman" w:cs="Calibri"/>
                <w:color w:val="000000"/>
                <w:lang w:eastAsia="en-GB"/>
              </w:rPr>
            </w:pPr>
            <w:r w:rsidRPr="005C4961">
              <w:rPr>
                <w:rFonts w:eastAsia="Times New Roman" w:cs="Calibri"/>
                <w:color w:val="000000"/>
                <w:lang w:eastAsia="en-GB"/>
              </w:rPr>
              <w:t>2.6%</w:t>
            </w:r>
          </w:p>
        </w:tc>
      </w:tr>
      <w:tr w:rsidR="005C4961" w:rsidRPr="005C4961" w14:paraId="2F995CEF" w14:textId="77777777" w:rsidTr="005C4961">
        <w:trPr>
          <w:trHeight w:val="300"/>
        </w:trPr>
        <w:tc>
          <w:tcPr>
            <w:tcW w:w="1380" w:type="dxa"/>
            <w:tcBorders>
              <w:top w:val="nil"/>
              <w:left w:val="single" w:sz="4" w:space="0" w:color="auto"/>
              <w:bottom w:val="nil"/>
              <w:right w:val="nil"/>
            </w:tcBorders>
            <w:shd w:val="clear" w:color="auto" w:fill="auto"/>
            <w:noWrap/>
            <w:vAlign w:val="bottom"/>
            <w:hideMark/>
          </w:tcPr>
          <w:p w14:paraId="2429F359" w14:textId="77777777" w:rsidR="005C4961" w:rsidRPr="005C4961" w:rsidRDefault="005C4961" w:rsidP="005C4961">
            <w:pPr>
              <w:spacing w:line="240" w:lineRule="auto"/>
              <w:jc w:val="center"/>
              <w:rPr>
                <w:rFonts w:eastAsia="Times New Roman" w:cs="Calibri"/>
                <w:color w:val="000000"/>
                <w:lang w:eastAsia="en-GB"/>
              </w:rPr>
            </w:pPr>
            <w:r w:rsidRPr="005C4961">
              <w:rPr>
                <w:rFonts w:eastAsia="Times New Roman" w:cs="Calibri"/>
                <w:color w:val="000000"/>
                <w:lang w:eastAsia="en-GB"/>
              </w:rPr>
              <w:t>2026/27</w:t>
            </w:r>
          </w:p>
        </w:tc>
        <w:tc>
          <w:tcPr>
            <w:tcW w:w="1380" w:type="dxa"/>
            <w:tcBorders>
              <w:top w:val="nil"/>
              <w:left w:val="single" w:sz="4" w:space="0" w:color="auto"/>
              <w:bottom w:val="nil"/>
              <w:right w:val="single" w:sz="4" w:space="0" w:color="auto"/>
            </w:tcBorders>
            <w:shd w:val="clear" w:color="auto" w:fill="auto"/>
            <w:noWrap/>
            <w:vAlign w:val="bottom"/>
            <w:hideMark/>
          </w:tcPr>
          <w:p w14:paraId="786955FA" w14:textId="77777777" w:rsidR="005C4961" w:rsidRPr="005C4961" w:rsidRDefault="005C4961" w:rsidP="005C4961">
            <w:pPr>
              <w:spacing w:line="240" w:lineRule="auto"/>
              <w:jc w:val="center"/>
              <w:rPr>
                <w:rFonts w:eastAsia="Times New Roman" w:cs="Calibri"/>
                <w:b/>
                <w:bCs/>
                <w:color w:val="000000"/>
                <w:lang w:eastAsia="en-GB"/>
              </w:rPr>
            </w:pPr>
            <w:r w:rsidRPr="005C4961">
              <w:rPr>
                <w:rFonts w:eastAsia="Times New Roman" w:cs="Calibri"/>
                <w:b/>
                <w:bCs/>
                <w:color w:val="000000"/>
                <w:lang w:eastAsia="en-GB"/>
              </w:rPr>
              <w:t>5.300</w:t>
            </w:r>
          </w:p>
        </w:tc>
        <w:tc>
          <w:tcPr>
            <w:tcW w:w="1380" w:type="dxa"/>
            <w:tcBorders>
              <w:top w:val="nil"/>
              <w:left w:val="nil"/>
              <w:bottom w:val="nil"/>
              <w:right w:val="single" w:sz="4" w:space="0" w:color="auto"/>
            </w:tcBorders>
            <w:shd w:val="clear" w:color="auto" w:fill="auto"/>
            <w:noWrap/>
            <w:vAlign w:val="bottom"/>
            <w:hideMark/>
          </w:tcPr>
          <w:p w14:paraId="7C143DF2" w14:textId="77777777" w:rsidR="005C4961" w:rsidRPr="005C4961" w:rsidRDefault="005C4961" w:rsidP="005C4961">
            <w:pPr>
              <w:spacing w:line="240" w:lineRule="auto"/>
              <w:jc w:val="center"/>
              <w:rPr>
                <w:rFonts w:eastAsia="Times New Roman" w:cs="Calibri"/>
                <w:color w:val="000000"/>
                <w:lang w:eastAsia="en-GB"/>
              </w:rPr>
            </w:pPr>
            <w:r w:rsidRPr="005C4961">
              <w:rPr>
                <w:rFonts w:eastAsia="Times New Roman" w:cs="Calibri"/>
                <w:color w:val="000000"/>
                <w:lang w:eastAsia="en-GB"/>
              </w:rPr>
              <w:t>2.6%</w:t>
            </w:r>
          </w:p>
        </w:tc>
      </w:tr>
      <w:tr w:rsidR="005C4961" w:rsidRPr="005C4961" w14:paraId="25D40EC4" w14:textId="77777777" w:rsidTr="005C4961">
        <w:trPr>
          <w:trHeight w:val="300"/>
        </w:trPr>
        <w:tc>
          <w:tcPr>
            <w:tcW w:w="1380" w:type="dxa"/>
            <w:tcBorders>
              <w:top w:val="nil"/>
              <w:left w:val="single" w:sz="4" w:space="0" w:color="auto"/>
              <w:bottom w:val="nil"/>
              <w:right w:val="nil"/>
            </w:tcBorders>
            <w:shd w:val="clear" w:color="auto" w:fill="auto"/>
            <w:noWrap/>
            <w:vAlign w:val="bottom"/>
            <w:hideMark/>
          </w:tcPr>
          <w:p w14:paraId="298F0595" w14:textId="77777777" w:rsidR="005C4961" w:rsidRPr="005C4961" w:rsidRDefault="005C4961" w:rsidP="005C4961">
            <w:pPr>
              <w:spacing w:line="240" w:lineRule="auto"/>
              <w:jc w:val="center"/>
              <w:rPr>
                <w:rFonts w:eastAsia="Times New Roman" w:cs="Calibri"/>
                <w:color w:val="000000"/>
                <w:lang w:eastAsia="en-GB"/>
              </w:rPr>
            </w:pPr>
            <w:r w:rsidRPr="005C4961">
              <w:rPr>
                <w:rFonts w:eastAsia="Times New Roman" w:cs="Calibri"/>
                <w:color w:val="000000"/>
                <w:lang w:eastAsia="en-GB"/>
              </w:rPr>
              <w:t>2027/28</w:t>
            </w:r>
          </w:p>
        </w:tc>
        <w:tc>
          <w:tcPr>
            <w:tcW w:w="1380" w:type="dxa"/>
            <w:tcBorders>
              <w:top w:val="nil"/>
              <w:left w:val="single" w:sz="4" w:space="0" w:color="auto"/>
              <w:bottom w:val="nil"/>
              <w:right w:val="single" w:sz="4" w:space="0" w:color="auto"/>
            </w:tcBorders>
            <w:shd w:val="clear" w:color="auto" w:fill="auto"/>
            <w:noWrap/>
            <w:vAlign w:val="bottom"/>
            <w:hideMark/>
          </w:tcPr>
          <w:p w14:paraId="6ED5E6EA" w14:textId="77777777" w:rsidR="005C4961" w:rsidRPr="005C4961" w:rsidRDefault="005C4961" w:rsidP="005C4961">
            <w:pPr>
              <w:spacing w:line="240" w:lineRule="auto"/>
              <w:jc w:val="center"/>
              <w:rPr>
                <w:rFonts w:eastAsia="Times New Roman" w:cs="Calibri"/>
                <w:b/>
                <w:bCs/>
                <w:color w:val="000000"/>
                <w:lang w:eastAsia="en-GB"/>
              </w:rPr>
            </w:pPr>
            <w:r w:rsidRPr="005C4961">
              <w:rPr>
                <w:rFonts w:eastAsia="Times New Roman" w:cs="Calibri"/>
                <w:b/>
                <w:bCs/>
                <w:color w:val="000000"/>
                <w:lang w:eastAsia="en-GB"/>
              </w:rPr>
              <w:t>5.350</w:t>
            </w:r>
          </w:p>
        </w:tc>
        <w:tc>
          <w:tcPr>
            <w:tcW w:w="1380" w:type="dxa"/>
            <w:tcBorders>
              <w:top w:val="nil"/>
              <w:left w:val="nil"/>
              <w:bottom w:val="nil"/>
              <w:right w:val="single" w:sz="4" w:space="0" w:color="auto"/>
            </w:tcBorders>
            <w:shd w:val="clear" w:color="auto" w:fill="auto"/>
            <w:noWrap/>
            <w:vAlign w:val="bottom"/>
            <w:hideMark/>
          </w:tcPr>
          <w:p w14:paraId="1F088B48" w14:textId="77777777" w:rsidR="005C4961" w:rsidRPr="005C4961" w:rsidRDefault="005C4961" w:rsidP="005C4961">
            <w:pPr>
              <w:spacing w:line="240" w:lineRule="auto"/>
              <w:jc w:val="center"/>
              <w:rPr>
                <w:rFonts w:eastAsia="Times New Roman" w:cs="Calibri"/>
                <w:color w:val="000000"/>
                <w:lang w:eastAsia="en-GB"/>
              </w:rPr>
            </w:pPr>
            <w:r w:rsidRPr="005C4961">
              <w:rPr>
                <w:rFonts w:eastAsia="Times New Roman" w:cs="Calibri"/>
                <w:color w:val="000000"/>
                <w:lang w:eastAsia="en-GB"/>
              </w:rPr>
              <w:t>2.5%</w:t>
            </w:r>
          </w:p>
        </w:tc>
      </w:tr>
      <w:tr w:rsidR="005C4961" w:rsidRPr="005C4961" w14:paraId="26565468" w14:textId="77777777" w:rsidTr="005C4961">
        <w:trPr>
          <w:trHeight w:val="300"/>
        </w:trPr>
        <w:tc>
          <w:tcPr>
            <w:tcW w:w="1380" w:type="dxa"/>
            <w:tcBorders>
              <w:top w:val="nil"/>
              <w:left w:val="single" w:sz="4" w:space="0" w:color="auto"/>
              <w:bottom w:val="nil"/>
              <w:right w:val="nil"/>
            </w:tcBorders>
            <w:shd w:val="clear" w:color="auto" w:fill="auto"/>
            <w:noWrap/>
            <w:vAlign w:val="bottom"/>
            <w:hideMark/>
          </w:tcPr>
          <w:p w14:paraId="5347453A" w14:textId="77777777" w:rsidR="005C4961" w:rsidRPr="005C4961" w:rsidRDefault="005C4961" w:rsidP="005C4961">
            <w:pPr>
              <w:spacing w:line="240" w:lineRule="auto"/>
              <w:jc w:val="center"/>
              <w:rPr>
                <w:rFonts w:eastAsia="Times New Roman" w:cs="Calibri"/>
                <w:color w:val="000000"/>
                <w:lang w:eastAsia="en-GB"/>
              </w:rPr>
            </w:pPr>
            <w:r w:rsidRPr="005C4961">
              <w:rPr>
                <w:rFonts w:eastAsia="Times New Roman" w:cs="Calibri"/>
                <w:color w:val="000000"/>
                <w:lang w:eastAsia="en-GB"/>
              </w:rPr>
              <w:t>2028/29</w:t>
            </w:r>
          </w:p>
        </w:tc>
        <w:tc>
          <w:tcPr>
            <w:tcW w:w="1380" w:type="dxa"/>
            <w:tcBorders>
              <w:top w:val="nil"/>
              <w:left w:val="single" w:sz="4" w:space="0" w:color="auto"/>
              <w:bottom w:val="nil"/>
              <w:right w:val="single" w:sz="4" w:space="0" w:color="auto"/>
            </w:tcBorders>
            <w:shd w:val="clear" w:color="auto" w:fill="auto"/>
            <w:noWrap/>
            <w:vAlign w:val="bottom"/>
            <w:hideMark/>
          </w:tcPr>
          <w:p w14:paraId="70379B9B" w14:textId="77777777" w:rsidR="005C4961" w:rsidRPr="005C4961" w:rsidRDefault="005C4961" w:rsidP="005C4961">
            <w:pPr>
              <w:spacing w:line="240" w:lineRule="auto"/>
              <w:jc w:val="center"/>
              <w:rPr>
                <w:rFonts w:eastAsia="Times New Roman" w:cs="Calibri"/>
                <w:b/>
                <w:bCs/>
                <w:color w:val="000000"/>
                <w:lang w:eastAsia="en-GB"/>
              </w:rPr>
            </w:pPr>
            <w:r w:rsidRPr="005C4961">
              <w:rPr>
                <w:rFonts w:eastAsia="Times New Roman" w:cs="Calibri"/>
                <w:b/>
                <w:bCs/>
                <w:color w:val="000000"/>
                <w:lang w:eastAsia="en-GB"/>
              </w:rPr>
              <w:t>5.400</w:t>
            </w:r>
          </w:p>
        </w:tc>
        <w:tc>
          <w:tcPr>
            <w:tcW w:w="1380" w:type="dxa"/>
            <w:tcBorders>
              <w:top w:val="nil"/>
              <w:left w:val="nil"/>
              <w:bottom w:val="nil"/>
              <w:right w:val="single" w:sz="4" w:space="0" w:color="auto"/>
            </w:tcBorders>
            <w:shd w:val="clear" w:color="auto" w:fill="auto"/>
            <w:noWrap/>
            <w:vAlign w:val="bottom"/>
            <w:hideMark/>
          </w:tcPr>
          <w:p w14:paraId="20598BD6" w14:textId="77777777" w:rsidR="005C4961" w:rsidRPr="005C4961" w:rsidRDefault="005C4961" w:rsidP="005C4961">
            <w:pPr>
              <w:spacing w:line="240" w:lineRule="auto"/>
              <w:jc w:val="center"/>
              <w:rPr>
                <w:rFonts w:eastAsia="Times New Roman" w:cs="Calibri"/>
                <w:color w:val="000000"/>
                <w:lang w:eastAsia="en-GB"/>
              </w:rPr>
            </w:pPr>
            <w:r w:rsidRPr="005C4961">
              <w:rPr>
                <w:rFonts w:eastAsia="Times New Roman" w:cs="Calibri"/>
                <w:color w:val="000000"/>
                <w:lang w:eastAsia="en-GB"/>
              </w:rPr>
              <w:t>2.5%</w:t>
            </w:r>
          </w:p>
        </w:tc>
      </w:tr>
      <w:tr w:rsidR="005C4961" w:rsidRPr="005C4961" w14:paraId="1CEA401F" w14:textId="77777777" w:rsidTr="005C4961">
        <w:trPr>
          <w:trHeight w:val="300"/>
        </w:trPr>
        <w:tc>
          <w:tcPr>
            <w:tcW w:w="1380" w:type="dxa"/>
            <w:tcBorders>
              <w:top w:val="nil"/>
              <w:left w:val="single" w:sz="4" w:space="0" w:color="auto"/>
              <w:bottom w:val="single" w:sz="4" w:space="0" w:color="auto"/>
              <w:right w:val="nil"/>
            </w:tcBorders>
            <w:shd w:val="clear" w:color="auto" w:fill="auto"/>
            <w:noWrap/>
            <w:vAlign w:val="bottom"/>
            <w:hideMark/>
          </w:tcPr>
          <w:p w14:paraId="58F0CE14" w14:textId="77777777" w:rsidR="005C4961" w:rsidRPr="005C4961" w:rsidRDefault="005C4961" w:rsidP="005C4961">
            <w:pPr>
              <w:spacing w:line="240" w:lineRule="auto"/>
              <w:jc w:val="center"/>
              <w:rPr>
                <w:rFonts w:eastAsia="Times New Roman" w:cs="Calibri"/>
                <w:color w:val="000000"/>
                <w:lang w:eastAsia="en-GB"/>
              </w:rPr>
            </w:pPr>
            <w:r w:rsidRPr="005C4961">
              <w:rPr>
                <w:rFonts w:eastAsia="Times New Roman" w:cs="Calibri"/>
                <w:color w:val="000000"/>
                <w:lang w:eastAsia="en-GB"/>
              </w:rPr>
              <w:t>2029/30</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91ECD3A" w14:textId="77777777" w:rsidR="005C4961" w:rsidRPr="005C4961" w:rsidRDefault="005C4961" w:rsidP="005C4961">
            <w:pPr>
              <w:spacing w:line="240" w:lineRule="auto"/>
              <w:jc w:val="center"/>
              <w:rPr>
                <w:rFonts w:eastAsia="Times New Roman" w:cs="Calibri"/>
                <w:b/>
                <w:bCs/>
                <w:color w:val="000000"/>
                <w:lang w:eastAsia="en-GB"/>
              </w:rPr>
            </w:pPr>
            <w:r w:rsidRPr="005C4961">
              <w:rPr>
                <w:rFonts w:eastAsia="Times New Roman" w:cs="Calibri"/>
                <w:b/>
                <w:bCs/>
                <w:color w:val="000000"/>
                <w:lang w:eastAsia="en-GB"/>
              </w:rPr>
              <w:t>5.500</w:t>
            </w:r>
          </w:p>
        </w:tc>
        <w:tc>
          <w:tcPr>
            <w:tcW w:w="1380" w:type="dxa"/>
            <w:tcBorders>
              <w:top w:val="nil"/>
              <w:left w:val="nil"/>
              <w:bottom w:val="single" w:sz="4" w:space="0" w:color="auto"/>
              <w:right w:val="single" w:sz="4" w:space="0" w:color="auto"/>
            </w:tcBorders>
            <w:shd w:val="clear" w:color="auto" w:fill="auto"/>
            <w:noWrap/>
            <w:vAlign w:val="bottom"/>
            <w:hideMark/>
          </w:tcPr>
          <w:p w14:paraId="1DB3FC7E" w14:textId="77777777" w:rsidR="005C4961" w:rsidRPr="005C4961" w:rsidRDefault="005C4961" w:rsidP="005C4961">
            <w:pPr>
              <w:spacing w:line="240" w:lineRule="auto"/>
              <w:jc w:val="center"/>
              <w:rPr>
                <w:rFonts w:eastAsia="Times New Roman" w:cs="Calibri"/>
                <w:color w:val="000000"/>
                <w:lang w:eastAsia="en-GB"/>
              </w:rPr>
            </w:pPr>
            <w:r w:rsidRPr="005C4961">
              <w:rPr>
                <w:rFonts w:eastAsia="Times New Roman" w:cs="Calibri"/>
                <w:color w:val="000000"/>
                <w:lang w:eastAsia="en-GB"/>
              </w:rPr>
              <w:t>2.6%</w:t>
            </w:r>
          </w:p>
        </w:tc>
      </w:tr>
    </w:tbl>
    <w:p w14:paraId="62C73C76" w14:textId="77777777" w:rsidR="00DC1AAF" w:rsidRPr="00A81E04" w:rsidRDefault="00DC1AAF" w:rsidP="00DC1AAF">
      <w:pPr>
        <w:spacing w:line="240" w:lineRule="auto"/>
        <w:ind w:left="1440" w:hanging="720"/>
        <w:jc w:val="both"/>
        <w:rPr>
          <w:rFonts w:eastAsia="Times New Roman" w:cs="Calibri"/>
          <w:sz w:val="24"/>
          <w:szCs w:val="24"/>
          <w:highlight w:val="yellow"/>
        </w:rPr>
      </w:pPr>
    </w:p>
    <w:p w14:paraId="10676CFC" w14:textId="06620523" w:rsidR="00DC1AAF" w:rsidRPr="00B81767" w:rsidRDefault="008F7527" w:rsidP="008722B8">
      <w:pPr>
        <w:pStyle w:val="ReservesBody"/>
      </w:pPr>
      <w:r w:rsidRPr="00B81767">
        <w:t>W</w:t>
      </w:r>
      <w:r w:rsidR="00DC1AAF" w:rsidRPr="00B81767">
        <w:t xml:space="preserve">here appropriate and if budget levels are higher than those forecast in the MTFP, the PFCC will </w:t>
      </w:r>
      <w:r w:rsidR="008722B8" w:rsidRPr="00B81767">
        <w:t>endeavour</w:t>
      </w:r>
      <w:r w:rsidR="00DC1AAF" w:rsidRPr="00B81767">
        <w:t xml:space="preserve"> to increase general reserves </w:t>
      </w:r>
      <w:r w:rsidR="00B81767" w:rsidRPr="00B81767">
        <w:t>for additional resilience</w:t>
      </w:r>
      <w:r w:rsidR="00DC1AAF" w:rsidRPr="00B81767">
        <w:t>.</w:t>
      </w:r>
    </w:p>
    <w:p w14:paraId="4DA8B490" w14:textId="62AED014" w:rsidR="00DC1AAF" w:rsidRPr="00C3224F" w:rsidRDefault="00DC1AAF" w:rsidP="008722B8">
      <w:pPr>
        <w:pStyle w:val="ReservesHeading"/>
      </w:pPr>
      <w:bookmarkStart w:id="65" w:name="_Hlk156925482"/>
      <w:r w:rsidRPr="00C3224F">
        <w:t>Earmarked Reserves</w:t>
      </w:r>
    </w:p>
    <w:p w14:paraId="6478BCE4" w14:textId="7CC73538" w:rsidR="00DC1AAF" w:rsidRPr="00C3224F" w:rsidRDefault="00DC1AAF" w:rsidP="008722B8">
      <w:pPr>
        <w:pStyle w:val="ReservesBody"/>
      </w:pPr>
      <w:r w:rsidRPr="00C3224F">
        <w:t xml:space="preserve">In addition to the </w:t>
      </w:r>
      <w:r w:rsidR="00F57399" w:rsidRPr="00C3224F">
        <w:t>g</w:t>
      </w:r>
      <w:r w:rsidRPr="00C3224F">
        <w:t xml:space="preserve">eneral </w:t>
      </w:r>
      <w:r w:rsidR="00F57399" w:rsidRPr="00C3224F">
        <w:t>r</w:t>
      </w:r>
      <w:r w:rsidRPr="00C3224F">
        <w:t>eserve, the PFCC holds a number of reserves which are earmarked for specific purposes.</w:t>
      </w:r>
    </w:p>
    <w:p w14:paraId="06F36427" w14:textId="506A176B" w:rsidR="00DC1AAF" w:rsidRPr="00C3224F" w:rsidRDefault="00DC1AAF" w:rsidP="008722B8">
      <w:pPr>
        <w:pStyle w:val="ReservesBody"/>
      </w:pPr>
      <w:r w:rsidRPr="00C3224F">
        <w:t>The predicted position for each earmarked reserve as at 31</w:t>
      </w:r>
      <w:r w:rsidR="008C0D2B" w:rsidRPr="008C0D2B">
        <w:rPr>
          <w:vertAlign w:val="superscript"/>
        </w:rPr>
        <w:t>st</w:t>
      </w:r>
      <w:r w:rsidR="008C0D2B">
        <w:t xml:space="preserve"> March </w:t>
      </w:r>
      <w:r w:rsidRPr="00C3224F">
        <w:t>202</w:t>
      </w:r>
      <w:r w:rsidR="00C3224F" w:rsidRPr="00C3224F">
        <w:t>5</w:t>
      </w:r>
      <w:r w:rsidRPr="00C3224F">
        <w:t xml:space="preserve">, together with an outline of its specific purpose is attached at Annexe 2. </w:t>
      </w:r>
    </w:p>
    <w:p w14:paraId="6A65DBA8" w14:textId="0C2EE686" w:rsidR="00DC1AAF" w:rsidRPr="00B81767" w:rsidRDefault="00DC1AAF" w:rsidP="008722B8">
      <w:pPr>
        <w:pStyle w:val="ReservesBody"/>
      </w:pPr>
      <w:r w:rsidRPr="00B81767">
        <w:t>At the 31</w:t>
      </w:r>
      <w:r w:rsidR="008C0D2B" w:rsidRPr="008C0D2B">
        <w:rPr>
          <w:vertAlign w:val="superscript"/>
        </w:rPr>
        <w:t>st</w:t>
      </w:r>
      <w:r w:rsidR="008C0D2B">
        <w:t xml:space="preserve"> March </w:t>
      </w:r>
      <w:r w:rsidRPr="00B81767">
        <w:t>202</w:t>
      </w:r>
      <w:r w:rsidR="00C3224F" w:rsidRPr="00B81767">
        <w:t>5</w:t>
      </w:r>
      <w:r w:rsidRPr="00B81767">
        <w:t>, it is estimated that the PFCC will hold £</w:t>
      </w:r>
      <w:r w:rsidR="00B81767" w:rsidRPr="00B81767">
        <w:t>16.109m</w:t>
      </w:r>
      <w:r w:rsidRPr="00B81767">
        <w:t xml:space="preserve"> in </w:t>
      </w:r>
      <w:r w:rsidR="00F57399" w:rsidRPr="00B81767">
        <w:t>e</w:t>
      </w:r>
      <w:r w:rsidRPr="00B81767">
        <w:t xml:space="preserve">armarked </w:t>
      </w:r>
      <w:r w:rsidR="00F57399" w:rsidRPr="00B81767">
        <w:t>r</w:t>
      </w:r>
      <w:r w:rsidRPr="00B81767">
        <w:t>eserves which are as follows</w:t>
      </w:r>
      <w:r w:rsidR="008722B8" w:rsidRPr="00B81767">
        <w:t xml:space="preserve"> and detailed in Annexe 3</w:t>
      </w:r>
      <w:r w:rsidRPr="00B81767">
        <w:t>:</w:t>
      </w:r>
    </w:p>
    <w:p w14:paraId="60A8B33E" w14:textId="5464B848" w:rsidR="00DC1AAF" w:rsidRPr="00C3224F" w:rsidRDefault="00DC1AAF" w:rsidP="008722B8">
      <w:pPr>
        <w:pStyle w:val="Reservesbullet"/>
      </w:pPr>
      <w:bookmarkStart w:id="66" w:name="_Hlk156925575"/>
      <w:bookmarkEnd w:id="65"/>
      <w:r w:rsidRPr="00B81767">
        <w:rPr>
          <w:b/>
          <w:bCs/>
        </w:rPr>
        <w:t>Insurance</w:t>
      </w:r>
      <w:r w:rsidRPr="00B81767">
        <w:t xml:space="preserve"> – </w:t>
      </w:r>
      <w:r w:rsidR="008F7527" w:rsidRPr="00B81767">
        <w:t>To</w:t>
      </w:r>
      <w:r w:rsidRPr="00B81767">
        <w:t xml:space="preserve"> set aside </w:t>
      </w:r>
      <w:r w:rsidR="000A52BE">
        <w:t xml:space="preserve">funds </w:t>
      </w:r>
      <w:r w:rsidR="00D52E21" w:rsidRPr="00B81767">
        <w:t>if</w:t>
      </w:r>
      <w:r w:rsidRPr="00B81767">
        <w:t xml:space="preserve"> considered prudent for </w:t>
      </w:r>
      <w:r w:rsidR="00F57399" w:rsidRPr="00B81767">
        <w:t>c</w:t>
      </w:r>
      <w:r w:rsidRPr="00B81767">
        <w:t xml:space="preserve">ivil </w:t>
      </w:r>
      <w:r w:rsidR="00F57399" w:rsidRPr="00B81767">
        <w:t>c</w:t>
      </w:r>
      <w:r w:rsidRPr="00B81767">
        <w:t>laims (Public and</w:t>
      </w:r>
      <w:r w:rsidRPr="00C3224F">
        <w:t xml:space="preserve"> Employer liability) in line with professional advice.</w:t>
      </w:r>
    </w:p>
    <w:bookmarkEnd w:id="66"/>
    <w:p w14:paraId="76363070" w14:textId="7620A6A9" w:rsidR="00DC1AAF" w:rsidRPr="00C3224F" w:rsidRDefault="00DC1AAF" w:rsidP="008722B8">
      <w:pPr>
        <w:pStyle w:val="Reservesbullet"/>
      </w:pPr>
      <w:r w:rsidRPr="00C3224F">
        <w:rPr>
          <w:b/>
          <w:bCs/>
        </w:rPr>
        <w:t>Operational Equipment</w:t>
      </w:r>
      <w:r w:rsidRPr="00C3224F">
        <w:t xml:space="preserve"> –</w:t>
      </w:r>
      <w:r w:rsidR="008F7527" w:rsidRPr="00C3224F">
        <w:t xml:space="preserve"> T</w:t>
      </w:r>
      <w:r w:rsidRPr="00C3224F">
        <w:t>o smooth the impact on the revenue budget in respect of the cost of replacing operational equipment, rather than impacting disproportionately on the budget in any one year.</w:t>
      </w:r>
    </w:p>
    <w:p w14:paraId="52CB7D72" w14:textId="0CBB9192" w:rsidR="00DC1AAF" w:rsidRPr="00B81767" w:rsidRDefault="008F7527" w:rsidP="008722B8">
      <w:pPr>
        <w:pStyle w:val="Reservesbullet"/>
      </w:pPr>
      <w:r w:rsidRPr="00B81767">
        <w:rPr>
          <w:b/>
          <w:bCs/>
        </w:rPr>
        <w:lastRenderedPageBreak/>
        <w:t>Carry</w:t>
      </w:r>
      <w:r w:rsidR="00B81767" w:rsidRPr="00B81767">
        <w:rPr>
          <w:b/>
          <w:bCs/>
        </w:rPr>
        <w:t xml:space="preserve"> </w:t>
      </w:r>
      <w:r w:rsidRPr="00B81767">
        <w:rPr>
          <w:b/>
          <w:bCs/>
        </w:rPr>
        <w:t>Forwards</w:t>
      </w:r>
      <w:r w:rsidRPr="00B81767">
        <w:t xml:space="preserve"> </w:t>
      </w:r>
      <w:r w:rsidR="00DC1AAF" w:rsidRPr="00B81767">
        <w:t xml:space="preserve">– </w:t>
      </w:r>
      <w:bookmarkStart w:id="67" w:name="_Hlk156925622"/>
      <w:r w:rsidRPr="00B81767">
        <w:t>T</w:t>
      </w:r>
      <w:r w:rsidR="00DC1AAF" w:rsidRPr="00B81767">
        <w:t xml:space="preserve">o </w:t>
      </w:r>
      <w:r w:rsidRPr="00B81767">
        <w:t xml:space="preserve">hold </w:t>
      </w:r>
      <w:r w:rsidR="00DC1AAF" w:rsidRPr="00B81767">
        <w:t>previous years underspends which are ring</w:t>
      </w:r>
      <w:r w:rsidRPr="00B81767">
        <w:t>-</w:t>
      </w:r>
      <w:r w:rsidR="00DC1AAF" w:rsidRPr="00B81767">
        <w:t>fence</w:t>
      </w:r>
      <w:r w:rsidRPr="00B81767">
        <w:t>d</w:t>
      </w:r>
      <w:r w:rsidR="00DC1AAF" w:rsidRPr="00B81767">
        <w:t xml:space="preserve"> and carried forward for specific purposes in the medium term.</w:t>
      </w:r>
      <w:bookmarkEnd w:id="67"/>
    </w:p>
    <w:p w14:paraId="692C1867" w14:textId="588860AE" w:rsidR="00DC1AAF" w:rsidRPr="00C3224F" w:rsidRDefault="00DC1AAF" w:rsidP="008722B8">
      <w:pPr>
        <w:pStyle w:val="Reservesbullet"/>
      </w:pPr>
      <w:r w:rsidRPr="00C3224F">
        <w:rPr>
          <w:b/>
          <w:bCs/>
        </w:rPr>
        <w:t>Pensions</w:t>
      </w:r>
      <w:r w:rsidRPr="00C3224F">
        <w:t xml:space="preserve"> –</w:t>
      </w:r>
      <w:r w:rsidR="008F7527" w:rsidRPr="00C3224F">
        <w:t xml:space="preserve"> T</w:t>
      </w:r>
      <w:r w:rsidRPr="00C3224F">
        <w:t xml:space="preserve">o smooth the impact of ill-health retirements and to meet the costs of any </w:t>
      </w:r>
      <w:r w:rsidR="008F7527" w:rsidRPr="00C3224F">
        <w:t>unexpected pension-related pressures in excess of budget provision where the timing of such pressures are uncertain</w:t>
      </w:r>
      <w:r w:rsidRPr="00C3224F">
        <w:t>.</w:t>
      </w:r>
    </w:p>
    <w:p w14:paraId="5F584EAE" w14:textId="035DED48" w:rsidR="00DC1AAF" w:rsidRPr="00C3224F" w:rsidRDefault="00DC1AAF" w:rsidP="008722B8">
      <w:pPr>
        <w:pStyle w:val="Reservesbullet"/>
      </w:pPr>
      <w:bookmarkStart w:id="68" w:name="_Hlk156925786"/>
      <w:r w:rsidRPr="00C3224F">
        <w:rPr>
          <w:b/>
          <w:bCs/>
        </w:rPr>
        <w:t>Smoothing</w:t>
      </w:r>
      <w:r w:rsidR="00856914" w:rsidRPr="00C3224F">
        <w:rPr>
          <w:b/>
          <w:bCs/>
        </w:rPr>
        <w:t xml:space="preserve"> </w:t>
      </w:r>
      <w:r w:rsidRPr="00C3224F">
        <w:t>–</w:t>
      </w:r>
      <w:r w:rsidR="00856914" w:rsidRPr="00C3224F">
        <w:t xml:space="preserve"> T</w:t>
      </w:r>
      <w:r w:rsidRPr="00C3224F">
        <w:t xml:space="preserve">o enable the savings generated to be </w:t>
      </w:r>
      <w:r w:rsidR="004F632E" w:rsidRPr="00C3224F">
        <w:t>earmarked</w:t>
      </w:r>
      <w:r w:rsidRPr="00C3224F">
        <w:t xml:space="preserve"> and released over future years as needed, smoothing the impact of </w:t>
      </w:r>
      <w:r w:rsidR="000A52BE">
        <w:t>funding fluctuations</w:t>
      </w:r>
      <w:r w:rsidRPr="00C3224F">
        <w:t xml:space="preserve"> </w:t>
      </w:r>
      <w:r w:rsidR="004F632E" w:rsidRPr="00C3224F">
        <w:t>and timing of savings programmes on</w:t>
      </w:r>
      <w:r w:rsidRPr="00C3224F">
        <w:t xml:space="preserve"> the revenue budget. </w:t>
      </w:r>
    </w:p>
    <w:bookmarkEnd w:id="68"/>
    <w:p w14:paraId="02BBB3D3" w14:textId="1503B38B" w:rsidR="00DC1AAF" w:rsidRPr="00C3224F" w:rsidRDefault="00DC1AAF" w:rsidP="008722B8">
      <w:pPr>
        <w:pStyle w:val="Reservesbullet"/>
      </w:pPr>
      <w:r w:rsidRPr="00C3224F">
        <w:rPr>
          <w:b/>
          <w:bCs/>
        </w:rPr>
        <w:t>PFCC Initiatives</w:t>
      </w:r>
      <w:r w:rsidRPr="00C3224F">
        <w:t xml:space="preserve"> –</w:t>
      </w:r>
      <w:r w:rsidR="00856914" w:rsidRPr="00C3224F">
        <w:t xml:space="preserve"> T</w:t>
      </w:r>
      <w:r w:rsidRPr="00C3224F">
        <w:t xml:space="preserve">o deliver funding towards the specific initiatives of the PFCC arising </w:t>
      </w:r>
      <w:r w:rsidR="00B81767">
        <w:t>to deliver against</w:t>
      </w:r>
      <w:r w:rsidRPr="00C3224F">
        <w:t xml:space="preserve"> the </w:t>
      </w:r>
      <w:r w:rsidR="00C3224F" w:rsidRPr="00C3224F">
        <w:t>Public Safety</w:t>
      </w:r>
      <w:r w:rsidRPr="00C3224F">
        <w:t xml:space="preserve"> Plan.</w:t>
      </w:r>
    </w:p>
    <w:p w14:paraId="548A90E7" w14:textId="530AF1B0" w:rsidR="00DC1AAF" w:rsidRPr="00C3224F" w:rsidRDefault="00DC1AAF" w:rsidP="008722B8">
      <w:pPr>
        <w:pStyle w:val="Reservesbullet"/>
      </w:pPr>
      <w:bookmarkStart w:id="69" w:name="_Hlk156925798"/>
      <w:r w:rsidRPr="00C3224F">
        <w:rPr>
          <w:b/>
          <w:bCs/>
        </w:rPr>
        <w:t>Transformation</w:t>
      </w:r>
      <w:r w:rsidR="00856914" w:rsidRPr="00C3224F">
        <w:t xml:space="preserve"> </w:t>
      </w:r>
      <w:r w:rsidRPr="00C3224F">
        <w:t>–</w:t>
      </w:r>
      <w:r w:rsidR="00856914" w:rsidRPr="00C3224F">
        <w:t xml:space="preserve"> T</w:t>
      </w:r>
      <w:r w:rsidRPr="00C3224F">
        <w:t xml:space="preserve">o support initiatives and transformative activities such as </w:t>
      </w:r>
      <w:r w:rsidR="00856914" w:rsidRPr="00C3224F">
        <w:t>investments in technology and other innovation</w:t>
      </w:r>
      <w:r w:rsidRPr="00C3224F">
        <w:t>.</w:t>
      </w:r>
    </w:p>
    <w:bookmarkEnd w:id="69"/>
    <w:p w14:paraId="3A51DA4C" w14:textId="3B2FE53A" w:rsidR="00856914" w:rsidRPr="00C3224F" w:rsidRDefault="00DC1AAF" w:rsidP="008722B8">
      <w:pPr>
        <w:pStyle w:val="Reservesbullet"/>
      </w:pPr>
      <w:r w:rsidRPr="00C3224F">
        <w:rPr>
          <w:b/>
        </w:rPr>
        <w:t xml:space="preserve">Safer Roads </w:t>
      </w:r>
      <w:r w:rsidRPr="00C3224F">
        <w:t xml:space="preserve">– </w:t>
      </w:r>
      <w:r w:rsidR="00856914" w:rsidRPr="00C3224F">
        <w:t>To</w:t>
      </w:r>
      <w:r w:rsidRPr="00C3224F">
        <w:t xml:space="preserve"> use in line with specific criteria for equipment or road safety initiatives.</w:t>
      </w:r>
      <w:r w:rsidR="00856914" w:rsidRPr="00C3224F">
        <w:t xml:space="preserve">  </w:t>
      </w:r>
      <w:r w:rsidR="00C3224F" w:rsidRPr="00C3224F">
        <w:t>A</w:t>
      </w:r>
      <w:r w:rsidRPr="00C3224F">
        <w:t xml:space="preserve"> Road Safety Alliance </w:t>
      </w:r>
      <w:r w:rsidR="00C3224F" w:rsidRPr="00C3224F">
        <w:t>is in place</w:t>
      </w:r>
      <w:r w:rsidRPr="00C3224F">
        <w:t xml:space="preserve"> with partners </w:t>
      </w:r>
      <w:r w:rsidR="00856914" w:rsidRPr="00C3224F">
        <w:t>to</w:t>
      </w:r>
      <w:r w:rsidRPr="00C3224F">
        <w:t xml:space="preserve"> produce priorities and the PFCC’s reserve is </w:t>
      </w:r>
      <w:r w:rsidR="00C3224F" w:rsidRPr="00C3224F">
        <w:t>held for this</w:t>
      </w:r>
      <w:r w:rsidRPr="00C3224F">
        <w:t>.</w:t>
      </w:r>
    </w:p>
    <w:p w14:paraId="474EF0CB" w14:textId="495D2B42" w:rsidR="00856914" w:rsidRPr="00B81767" w:rsidRDefault="00DC1AAF" w:rsidP="008722B8">
      <w:pPr>
        <w:pStyle w:val="Reservesbullet"/>
      </w:pPr>
      <w:r w:rsidRPr="00B81767">
        <w:rPr>
          <w:b/>
        </w:rPr>
        <w:t xml:space="preserve">Neighbourhood </w:t>
      </w:r>
      <w:r w:rsidRPr="00B81767">
        <w:t>–</w:t>
      </w:r>
      <w:r w:rsidR="00856914" w:rsidRPr="00B81767">
        <w:t xml:space="preserve"> T</w:t>
      </w:r>
      <w:r w:rsidRPr="00B81767">
        <w:t xml:space="preserve">o capture any underspends from the in-year </w:t>
      </w:r>
      <w:r w:rsidR="00856914" w:rsidRPr="00B81767">
        <w:t xml:space="preserve">Police Officer and </w:t>
      </w:r>
      <w:r w:rsidRPr="00B81767">
        <w:t>Police Community Support Officers (PCSO) budget</w:t>
      </w:r>
      <w:r w:rsidR="00856914" w:rsidRPr="00B81767">
        <w:t>s</w:t>
      </w:r>
      <w:r w:rsidRPr="00B81767">
        <w:t>.</w:t>
      </w:r>
      <w:r w:rsidR="00856914" w:rsidRPr="00B81767">
        <w:t xml:space="preserve"> </w:t>
      </w:r>
      <w:r w:rsidRPr="00B81767">
        <w:t xml:space="preserve"> It is intended that the </w:t>
      </w:r>
      <w:r w:rsidR="00856914" w:rsidRPr="00B81767">
        <w:t xml:space="preserve">PCSO </w:t>
      </w:r>
      <w:r w:rsidRPr="00B81767">
        <w:t>proceeds of this reserve will be</w:t>
      </w:r>
      <w:r w:rsidR="00856914" w:rsidRPr="00B81767">
        <w:t xml:space="preserve"> specifically</w:t>
      </w:r>
      <w:r w:rsidRPr="00B81767">
        <w:t xml:space="preserve"> used to support neighbourhoods</w:t>
      </w:r>
      <w:r w:rsidR="00856914" w:rsidRPr="00B81767">
        <w:t>, and that Police Officer funds are used to maintain officer strength where needed.</w:t>
      </w:r>
    </w:p>
    <w:p w14:paraId="5BBCB2D7" w14:textId="10A8BD41" w:rsidR="00856914" w:rsidRPr="00B81767" w:rsidRDefault="00856914" w:rsidP="008722B8">
      <w:pPr>
        <w:pStyle w:val="Reservesbullet"/>
      </w:pPr>
      <w:bookmarkStart w:id="70" w:name="_Hlk156926061"/>
      <w:r w:rsidRPr="00B81767">
        <w:rPr>
          <w:b/>
          <w:bCs/>
        </w:rPr>
        <w:t>Developer Contributions (S106)</w:t>
      </w:r>
      <w:r w:rsidRPr="00B81767">
        <w:t xml:space="preserve"> – To collect the drawn down developer contributions awarded to the PFCC in line with S106 planning arrangements.  These funds will be released in accordance with the terms of the agreements, usually to fund capital expenditure.  The reserve only accounts for funds once they have been drawn down</w:t>
      </w:r>
      <w:r w:rsidR="00B81767" w:rsidRPr="00B81767">
        <w:t xml:space="preserve"> and will apply funds against qualifying expenditure in line with </w:t>
      </w:r>
      <w:r w:rsidR="00B81767">
        <w:t>the T</w:t>
      </w:r>
      <w:r w:rsidR="00B81767" w:rsidRPr="00B81767">
        <w:t xml:space="preserve">reasury </w:t>
      </w:r>
      <w:r w:rsidR="00B81767">
        <w:t>M</w:t>
      </w:r>
      <w:r w:rsidR="00B81767" w:rsidRPr="00B81767">
        <w:t>anagement</w:t>
      </w:r>
      <w:r w:rsidR="00B81767">
        <w:t xml:space="preserve"> Strategy</w:t>
      </w:r>
      <w:r w:rsidRPr="00B81767">
        <w:t>.</w:t>
      </w:r>
    </w:p>
    <w:bookmarkEnd w:id="70"/>
    <w:p w14:paraId="56D5BD41" w14:textId="5982862C" w:rsidR="00856914" w:rsidRPr="00B81767" w:rsidRDefault="00856914" w:rsidP="008722B8">
      <w:pPr>
        <w:pStyle w:val="Reservesbullet"/>
      </w:pPr>
      <w:r w:rsidRPr="00B81767">
        <w:rPr>
          <w:b/>
          <w:bCs/>
        </w:rPr>
        <w:t xml:space="preserve">Capital </w:t>
      </w:r>
      <w:r w:rsidRPr="00B81767">
        <w:t>– To hold capital financing underspends or disposal proceeds</w:t>
      </w:r>
      <w:r w:rsidR="008722B8" w:rsidRPr="00B81767">
        <w:t>.  These are to be used to fund the capital programme and minimise borrowing in line with the Treasury Management Strategy.</w:t>
      </w:r>
    </w:p>
    <w:p w14:paraId="4509B363" w14:textId="5AD7F965" w:rsidR="00DC1AAF" w:rsidRPr="00C3224F" w:rsidRDefault="00DC1AAF" w:rsidP="008722B8">
      <w:pPr>
        <w:pStyle w:val="Reservesbullet"/>
      </w:pPr>
      <w:r w:rsidRPr="00C3224F">
        <w:rPr>
          <w:b/>
          <w:bCs/>
        </w:rPr>
        <w:t>Collaboration</w:t>
      </w:r>
      <w:r w:rsidRPr="00C3224F">
        <w:rPr>
          <w:b/>
        </w:rPr>
        <w:t xml:space="preserve"> </w:t>
      </w:r>
      <w:r w:rsidRPr="00C3224F">
        <w:t>–</w:t>
      </w:r>
      <w:r w:rsidR="008722B8" w:rsidRPr="00C3224F">
        <w:t xml:space="preserve"> T</w:t>
      </w:r>
      <w:r w:rsidRPr="00C3224F">
        <w:t xml:space="preserve">o </w:t>
      </w:r>
      <w:r w:rsidR="008722B8" w:rsidRPr="00C3224F">
        <w:t xml:space="preserve">hold </w:t>
      </w:r>
      <w:r w:rsidRPr="00C3224F">
        <w:t xml:space="preserve">previous years underspends on regional collaboration </w:t>
      </w:r>
      <w:r w:rsidR="008722B8" w:rsidRPr="00C3224F">
        <w:t>to</w:t>
      </w:r>
      <w:r w:rsidRPr="00C3224F">
        <w:t xml:space="preserve"> fund regional asset replacements. </w:t>
      </w:r>
      <w:r w:rsidR="008722B8" w:rsidRPr="00C3224F">
        <w:t xml:space="preserve"> </w:t>
      </w:r>
      <w:r w:rsidRPr="00C3224F">
        <w:t>Each P</w:t>
      </w:r>
      <w:r w:rsidR="00B81767">
        <w:t>(F)</w:t>
      </w:r>
      <w:r w:rsidRPr="00C3224F">
        <w:t>CC holds their share of the regional reserves</w:t>
      </w:r>
      <w:r w:rsidR="008722B8" w:rsidRPr="00C3224F">
        <w:t>,</w:t>
      </w:r>
      <w:r w:rsidRPr="00C3224F">
        <w:t xml:space="preserve"> set aside to meet future regional costs.</w:t>
      </w:r>
    </w:p>
    <w:p w14:paraId="43C179E1" w14:textId="35BA4298" w:rsidR="00360A96" w:rsidRPr="00C3224F" w:rsidRDefault="00DC1AAF" w:rsidP="008722B8">
      <w:pPr>
        <w:pStyle w:val="ReservesBody"/>
      </w:pPr>
      <w:bookmarkStart w:id="71" w:name="_Hlk156926190"/>
      <w:r w:rsidRPr="00C3224F">
        <w:t>The forecast balance on the reserves, taking into account a prudent estimate of timings for proposals which are currently being developed is detailed within Annexe 3.</w:t>
      </w:r>
    </w:p>
    <w:p w14:paraId="63EEE0E5" w14:textId="6C48BB14" w:rsidR="00DC1AAF" w:rsidRPr="00C3224F" w:rsidRDefault="00DC1AAF" w:rsidP="008722B8">
      <w:pPr>
        <w:pStyle w:val="ReservesHeading"/>
      </w:pPr>
      <w:bookmarkStart w:id="72" w:name="_Hlk156926258"/>
      <w:bookmarkEnd w:id="71"/>
      <w:r w:rsidRPr="00C3224F">
        <w:t>Provisions</w:t>
      </w:r>
    </w:p>
    <w:p w14:paraId="71A253FC" w14:textId="22CF1512" w:rsidR="00DC1AAF" w:rsidRDefault="00DC1AAF" w:rsidP="008722B8">
      <w:pPr>
        <w:pStyle w:val="ReservesBody"/>
      </w:pPr>
      <w:r w:rsidRPr="00C3224F">
        <w:t xml:space="preserve">The CIPFA Statement of Recommended Practice is prescriptive about when provisions are required (and when they are not permitted). </w:t>
      </w:r>
      <w:r w:rsidR="008722B8" w:rsidRPr="00C3224F">
        <w:t xml:space="preserve"> A</w:t>
      </w:r>
      <w:r w:rsidRPr="00C3224F">
        <w:t xml:space="preserve"> provision must be established for any material liabilities of uncertain timings or amount, to be settled by the transfer of economic benefits.</w:t>
      </w:r>
      <w:r w:rsidR="008722B8" w:rsidRPr="00C3224F">
        <w:t xml:space="preserve"> </w:t>
      </w:r>
      <w:r w:rsidRPr="00C3224F">
        <w:t xml:space="preserve"> In accordance with this statutory guidance, the Force hold an established ‘Insurance Provision’ which is reviewed as part of the closedown process for each year</w:t>
      </w:r>
      <w:r w:rsidR="008722B8" w:rsidRPr="00C3224F">
        <w:t>.</w:t>
      </w:r>
    </w:p>
    <w:p w14:paraId="2B26B2FF" w14:textId="77777777" w:rsidR="00F21CDC" w:rsidRDefault="00F21CDC" w:rsidP="00F21CDC">
      <w:pPr>
        <w:pStyle w:val="ReservesBody"/>
        <w:numPr>
          <w:ilvl w:val="0"/>
          <w:numId w:val="0"/>
        </w:numPr>
        <w:ind w:left="567"/>
      </w:pPr>
    </w:p>
    <w:p w14:paraId="260A91EB" w14:textId="77777777" w:rsidR="00F21CDC" w:rsidRPr="00C3224F" w:rsidRDefault="00F21CDC" w:rsidP="00F21CDC">
      <w:pPr>
        <w:pStyle w:val="ReservesBody"/>
        <w:numPr>
          <w:ilvl w:val="0"/>
          <w:numId w:val="0"/>
        </w:numPr>
        <w:ind w:left="567"/>
      </w:pPr>
    </w:p>
    <w:p w14:paraId="7F277D72" w14:textId="23411909" w:rsidR="00DC1AAF" w:rsidRPr="00C3224F" w:rsidRDefault="00DC1AAF" w:rsidP="00396F75">
      <w:pPr>
        <w:pStyle w:val="ReservesHeading"/>
      </w:pPr>
      <w:bookmarkStart w:id="73" w:name="_Hlk156926281"/>
      <w:bookmarkEnd w:id="72"/>
      <w:r w:rsidRPr="00C3224F">
        <w:lastRenderedPageBreak/>
        <w:t>Procedures for management and control</w:t>
      </w:r>
    </w:p>
    <w:p w14:paraId="2CAE02D2" w14:textId="19CAC5E1" w:rsidR="00DC1AAF" w:rsidRPr="00C3224F" w:rsidRDefault="00DC1AAF" w:rsidP="008722B8">
      <w:pPr>
        <w:pStyle w:val="ReservesBody"/>
        <w:rPr>
          <w:lang w:val="en-US"/>
        </w:rPr>
      </w:pPr>
      <w:r w:rsidRPr="00C3224F">
        <w:rPr>
          <w:lang w:val="en-US"/>
        </w:rPr>
        <w:t xml:space="preserve">Any drawdown from </w:t>
      </w:r>
      <w:r w:rsidR="00F57399" w:rsidRPr="00C3224F">
        <w:rPr>
          <w:lang w:val="en-US"/>
        </w:rPr>
        <w:t>r</w:t>
      </w:r>
      <w:r w:rsidRPr="00C3224F">
        <w:rPr>
          <w:lang w:val="en-US"/>
        </w:rPr>
        <w:t xml:space="preserve">eserves is subject to the approval of the PFCC, on advice from </w:t>
      </w:r>
      <w:r w:rsidR="00C3224F" w:rsidRPr="00C3224F">
        <w:rPr>
          <w:lang w:val="en-US"/>
        </w:rPr>
        <w:t>their</w:t>
      </w:r>
      <w:r w:rsidRPr="00C3224F">
        <w:rPr>
          <w:lang w:val="en-US"/>
        </w:rPr>
        <w:t xml:space="preserve"> Chief Finance Officer (</w:t>
      </w:r>
      <w:r w:rsidR="00C3224F" w:rsidRPr="00C3224F">
        <w:rPr>
          <w:lang w:val="en-US"/>
        </w:rPr>
        <w:t>s151 officer</w:t>
      </w:r>
      <w:r w:rsidRPr="00C3224F">
        <w:rPr>
          <w:lang w:val="en-US"/>
        </w:rPr>
        <w:t>) or under the</w:t>
      </w:r>
      <w:r w:rsidR="00C3224F" w:rsidRPr="00C3224F">
        <w:rPr>
          <w:lang w:val="en-US"/>
        </w:rPr>
        <w:t>ir</w:t>
      </w:r>
      <w:r w:rsidRPr="00C3224F">
        <w:rPr>
          <w:lang w:val="en-US"/>
        </w:rPr>
        <w:t xml:space="preserve"> delegated authority. </w:t>
      </w:r>
    </w:p>
    <w:p w14:paraId="140D323B" w14:textId="71C7F5A8" w:rsidR="00DC1AAF" w:rsidRPr="00C3224F" w:rsidRDefault="00DC1AAF" w:rsidP="008722B8">
      <w:pPr>
        <w:pStyle w:val="ReservesBody"/>
        <w:rPr>
          <w:lang w:val="en"/>
        </w:rPr>
      </w:pPr>
      <w:r w:rsidRPr="00C3224F">
        <w:rPr>
          <w:lang w:val="en"/>
        </w:rPr>
        <w:t xml:space="preserve">The Local Government Act 2003 requires the </w:t>
      </w:r>
      <w:r w:rsidR="00C3224F" w:rsidRPr="00C3224F">
        <w:rPr>
          <w:lang w:val="en"/>
        </w:rPr>
        <w:t>s</w:t>
      </w:r>
      <w:r w:rsidRPr="00C3224F">
        <w:rPr>
          <w:lang w:val="en"/>
        </w:rPr>
        <w:t xml:space="preserve">151 officer to report annually on the adequacy of the reserves and this is included within the statement on the robustness of the </w:t>
      </w:r>
      <w:r w:rsidR="002F313D">
        <w:rPr>
          <w:lang w:val="en"/>
        </w:rPr>
        <w:t xml:space="preserve">budgeting </w:t>
      </w:r>
      <w:r w:rsidRPr="00C3224F">
        <w:rPr>
          <w:lang w:val="en"/>
        </w:rPr>
        <w:t xml:space="preserve">estimates. </w:t>
      </w:r>
    </w:p>
    <w:p w14:paraId="6EB6C0F6" w14:textId="60C78175" w:rsidR="00DC1AAF" w:rsidRPr="002F313D" w:rsidRDefault="00DC1AAF" w:rsidP="008722B8">
      <w:pPr>
        <w:pStyle w:val="ReservesBody"/>
        <w:rPr>
          <w:lang w:val="en"/>
        </w:rPr>
      </w:pPr>
      <w:r w:rsidRPr="002F313D">
        <w:t xml:space="preserve">The Strategy will be reviewed annually by the </w:t>
      </w:r>
      <w:r w:rsidR="002F313D" w:rsidRPr="002F313D">
        <w:t>s151 Officer</w:t>
      </w:r>
      <w:r w:rsidRPr="002F313D">
        <w:t xml:space="preserve"> as part of the Budget and Precept process. </w:t>
      </w:r>
      <w:r w:rsidRPr="002F313D">
        <w:rPr>
          <w:bCs/>
          <w:color w:val="FF0000"/>
          <w:lang w:val="en-US"/>
        </w:rPr>
        <w:t xml:space="preserve"> </w:t>
      </w:r>
    </w:p>
    <w:bookmarkEnd w:id="73"/>
    <w:p w14:paraId="74158B5C" w14:textId="77777777" w:rsidR="00DC1AAF" w:rsidRPr="00795B28" w:rsidRDefault="00DC1AAF" w:rsidP="008722B8">
      <w:pPr>
        <w:spacing w:line="240" w:lineRule="auto"/>
        <w:rPr>
          <w:rFonts w:eastAsia="Times New Roman" w:cs="Calibri"/>
          <w:b/>
          <w:sz w:val="24"/>
          <w:szCs w:val="24"/>
        </w:rPr>
      </w:pPr>
      <w:r w:rsidRPr="002F313D">
        <w:rPr>
          <w:rFonts w:eastAsia="Times New Roman" w:cs="Calibri"/>
          <w:sz w:val="24"/>
          <w:szCs w:val="24"/>
        </w:rPr>
        <w:br w:type="page"/>
      </w:r>
      <w:r w:rsidRPr="00795B28">
        <w:rPr>
          <w:rFonts w:eastAsia="Times New Roman" w:cs="Calibri"/>
          <w:b/>
          <w:sz w:val="24"/>
          <w:szCs w:val="24"/>
        </w:rPr>
        <w:lastRenderedPageBreak/>
        <w:t>Annexe 1</w:t>
      </w:r>
    </w:p>
    <w:p w14:paraId="2D398B27" w14:textId="259A0C88" w:rsidR="00DC1AAF" w:rsidRPr="00795B28" w:rsidRDefault="00DC1AAF" w:rsidP="008722B8">
      <w:pPr>
        <w:spacing w:line="240" w:lineRule="auto"/>
        <w:rPr>
          <w:rFonts w:eastAsia="Times New Roman" w:cs="Calibri"/>
          <w:b/>
          <w:sz w:val="24"/>
          <w:szCs w:val="24"/>
        </w:rPr>
      </w:pPr>
      <w:r w:rsidRPr="00795B28">
        <w:rPr>
          <w:rFonts w:eastAsia="Times New Roman" w:cs="Calibri"/>
          <w:b/>
          <w:sz w:val="24"/>
          <w:szCs w:val="24"/>
        </w:rPr>
        <w:t xml:space="preserve">Northamptonshire </w:t>
      </w:r>
      <w:r w:rsidR="008722B8" w:rsidRPr="00795B28">
        <w:rPr>
          <w:rFonts w:eastAsia="Times New Roman" w:cs="Calibri"/>
          <w:b/>
          <w:sz w:val="24"/>
          <w:szCs w:val="24"/>
        </w:rPr>
        <w:t xml:space="preserve">OPFCC - </w:t>
      </w:r>
      <w:r w:rsidRPr="00795B28">
        <w:rPr>
          <w:rFonts w:eastAsia="Times New Roman" w:cs="Calibri"/>
          <w:b/>
          <w:sz w:val="24"/>
          <w:szCs w:val="24"/>
        </w:rPr>
        <w:t xml:space="preserve">Compliance with the 7 Key CIPFA Principles to assess the adequacy of </w:t>
      </w:r>
      <w:r w:rsidR="00F21CDC">
        <w:rPr>
          <w:rFonts w:eastAsia="Times New Roman" w:cs="Calibri"/>
          <w:b/>
          <w:sz w:val="24"/>
          <w:szCs w:val="24"/>
        </w:rPr>
        <w:t>r</w:t>
      </w:r>
      <w:r w:rsidRPr="00795B28">
        <w:rPr>
          <w:rFonts w:eastAsia="Times New Roman" w:cs="Calibri"/>
          <w:b/>
          <w:sz w:val="24"/>
          <w:szCs w:val="24"/>
        </w:rPr>
        <w:t>eserves</w:t>
      </w:r>
    </w:p>
    <w:p w14:paraId="139C1E21" w14:textId="77777777" w:rsidR="00DC1AAF" w:rsidRPr="00A81E04" w:rsidRDefault="00DC1AAF" w:rsidP="00DC1AAF">
      <w:pPr>
        <w:spacing w:line="240" w:lineRule="auto"/>
        <w:jc w:val="center"/>
        <w:rPr>
          <w:rFonts w:eastAsia="Times New Roman" w:cs="Calibri"/>
          <w:b/>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6"/>
        <w:gridCol w:w="5762"/>
      </w:tblGrid>
      <w:tr w:rsidR="00DC1AAF" w:rsidRPr="00795B28" w14:paraId="7C0ACD8A" w14:textId="77777777" w:rsidTr="000C6617">
        <w:tc>
          <w:tcPr>
            <w:tcW w:w="3936" w:type="dxa"/>
            <w:shd w:val="clear" w:color="auto" w:fill="auto"/>
          </w:tcPr>
          <w:p w14:paraId="7AC4269D" w14:textId="77777777" w:rsidR="00795B28" w:rsidRPr="00795B28" w:rsidRDefault="00DC1AAF" w:rsidP="00795B28">
            <w:pPr>
              <w:spacing w:line="240" w:lineRule="auto"/>
              <w:rPr>
                <w:rFonts w:eastAsia="Times New Roman" w:cs="Calibri"/>
                <w:b/>
                <w:sz w:val="24"/>
                <w:szCs w:val="24"/>
              </w:rPr>
            </w:pPr>
            <w:r w:rsidRPr="00795B28">
              <w:rPr>
                <w:rFonts w:eastAsia="Times New Roman" w:cs="Calibri"/>
                <w:b/>
                <w:sz w:val="24"/>
                <w:szCs w:val="24"/>
              </w:rPr>
              <w:t xml:space="preserve">Budget Assumptions </w:t>
            </w:r>
          </w:p>
          <w:p w14:paraId="673C8BFD" w14:textId="74E470B1" w:rsidR="00DC1AAF" w:rsidRPr="00795B28" w:rsidRDefault="00DC1AAF" w:rsidP="00795B28">
            <w:pPr>
              <w:spacing w:line="240" w:lineRule="auto"/>
              <w:rPr>
                <w:rFonts w:eastAsia="Times New Roman" w:cs="Calibri"/>
                <w:b/>
                <w:sz w:val="24"/>
                <w:szCs w:val="24"/>
              </w:rPr>
            </w:pPr>
            <w:r w:rsidRPr="00795B28">
              <w:rPr>
                <w:rFonts w:eastAsia="Times New Roman" w:cs="Calibri"/>
                <w:b/>
                <w:sz w:val="24"/>
                <w:szCs w:val="24"/>
              </w:rPr>
              <w:t>(CIPFA Principles)</w:t>
            </w:r>
          </w:p>
        </w:tc>
        <w:tc>
          <w:tcPr>
            <w:tcW w:w="5918" w:type="dxa"/>
            <w:shd w:val="clear" w:color="auto" w:fill="auto"/>
          </w:tcPr>
          <w:p w14:paraId="18D34500" w14:textId="0A297E71" w:rsidR="00DC1AAF" w:rsidRPr="00795B28" w:rsidRDefault="00DC1AAF" w:rsidP="00DC1AAF">
            <w:pPr>
              <w:spacing w:line="240" w:lineRule="auto"/>
              <w:jc w:val="center"/>
              <w:rPr>
                <w:rFonts w:eastAsia="Times New Roman" w:cs="Calibri"/>
                <w:b/>
                <w:sz w:val="24"/>
                <w:szCs w:val="24"/>
              </w:rPr>
            </w:pPr>
            <w:r w:rsidRPr="00795B28">
              <w:rPr>
                <w:rFonts w:eastAsia="Times New Roman" w:cs="Calibri"/>
                <w:b/>
                <w:sz w:val="24"/>
                <w:szCs w:val="24"/>
              </w:rPr>
              <w:t>202</w:t>
            </w:r>
            <w:r w:rsidR="00795B28" w:rsidRPr="00795B28">
              <w:rPr>
                <w:rFonts w:eastAsia="Times New Roman" w:cs="Calibri"/>
                <w:b/>
                <w:sz w:val="24"/>
                <w:szCs w:val="24"/>
              </w:rPr>
              <w:t>5</w:t>
            </w:r>
            <w:r w:rsidRPr="00795B28">
              <w:rPr>
                <w:rFonts w:eastAsia="Times New Roman" w:cs="Calibri"/>
                <w:b/>
                <w:sz w:val="24"/>
                <w:szCs w:val="24"/>
              </w:rPr>
              <w:t>/2</w:t>
            </w:r>
            <w:r w:rsidR="00795B28" w:rsidRPr="00795B28">
              <w:rPr>
                <w:rFonts w:eastAsia="Times New Roman" w:cs="Calibri"/>
                <w:b/>
                <w:sz w:val="24"/>
                <w:szCs w:val="24"/>
              </w:rPr>
              <w:t>6</w:t>
            </w:r>
            <w:r w:rsidRPr="00795B28">
              <w:rPr>
                <w:rFonts w:eastAsia="Times New Roman" w:cs="Calibri"/>
                <w:b/>
                <w:sz w:val="24"/>
                <w:szCs w:val="24"/>
              </w:rPr>
              <w:t xml:space="preserve"> Situation in Northamptonshire</w:t>
            </w:r>
          </w:p>
        </w:tc>
      </w:tr>
      <w:tr w:rsidR="00DC1AAF" w:rsidRPr="00795B28" w14:paraId="739FA66A" w14:textId="77777777" w:rsidTr="000C6617">
        <w:tc>
          <w:tcPr>
            <w:tcW w:w="3936" w:type="dxa"/>
            <w:shd w:val="clear" w:color="auto" w:fill="auto"/>
          </w:tcPr>
          <w:p w14:paraId="457C1E58" w14:textId="77777777" w:rsidR="00DC1AAF" w:rsidRPr="00795B28" w:rsidRDefault="00DC1AAF" w:rsidP="00DC1AAF">
            <w:pPr>
              <w:spacing w:line="240" w:lineRule="auto"/>
              <w:rPr>
                <w:rFonts w:eastAsia="Times New Roman" w:cs="Calibri"/>
                <w:b/>
                <w:sz w:val="24"/>
                <w:szCs w:val="24"/>
              </w:rPr>
            </w:pPr>
            <w:r w:rsidRPr="00795B28">
              <w:rPr>
                <w:rFonts w:eastAsia="Times New Roman" w:cs="Calibri"/>
                <w:b/>
                <w:sz w:val="24"/>
                <w:szCs w:val="24"/>
              </w:rPr>
              <w:t>The treatment of inflation and interest rates</w:t>
            </w:r>
          </w:p>
        </w:tc>
        <w:tc>
          <w:tcPr>
            <w:tcW w:w="5918" w:type="dxa"/>
            <w:shd w:val="clear" w:color="auto" w:fill="auto"/>
          </w:tcPr>
          <w:p w14:paraId="45A4EF82" w14:textId="77777777" w:rsidR="00DC1AAF" w:rsidRPr="00795B28" w:rsidRDefault="00DC1AAF" w:rsidP="00DC1AAF">
            <w:pPr>
              <w:spacing w:line="240" w:lineRule="auto"/>
              <w:rPr>
                <w:rFonts w:eastAsia="Times New Roman" w:cs="Calibri"/>
                <w:sz w:val="24"/>
                <w:szCs w:val="24"/>
              </w:rPr>
            </w:pPr>
            <w:r w:rsidRPr="00795B28">
              <w:rPr>
                <w:rFonts w:eastAsia="Times New Roman" w:cs="Calibri"/>
                <w:sz w:val="24"/>
                <w:szCs w:val="24"/>
              </w:rPr>
              <w:t>Northamptonshire makes full and appropriate provision for pay and price increases, informed by benchmarking with peers.</w:t>
            </w:r>
          </w:p>
          <w:p w14:paraId="63852A63" w14:textId="77777777" w:rsidR="00DC1AAF" w:rsidRPr="00795B28" w:rsidRDefault="00DC1AAF" w:rsidP="00DC1AAF">
            <w:pPr>
              <w:spacing w:line="240" w:lineRule="auto"/>
              <w:rPr>
                <w:rFonts w:eastAsia="Times New Roman" w:cs="Calibri"/>
                <w:sz w:val="24"/>
                <w:szCs w:val="24"/>
              </w:rPr>
            </w:pPr>
          </w:p>
          <w:p w14:paraId="06B801D8" w14:textId="77777777" w:rsidR="00DC1AAF" w:rsidRPr="00795B28" w:rsidRDefault="00DC1AAF" w:rsidP="00DC1AAF">
            <w:pPr>
              <w:spacing w:line="240" w:lineRule="auto"/>
              <w:rPr>
                <w:rFonts w:eastAsia="Times New Roman" w:cs="Calibri"/>
                <w:sz w:val="24"/>
                <w:szCs w:val="24"/>
              </w:rPr>
            </w:pPr>
            <w:r w:rsidRPr="00795B28">
              <w:rPr>
                <w:rFonts w:eastAsia="Times New Roman" w:cs="Calibri"/>
                <w:sz w:val="24"/>
                <w:szCs w:val="24"/>
              </w:rPr>
              <w:t xml:space="preserve">An informed assessment is made in the Treasury Management Strategy of interest rate movements. </w:t>
            </w:r>
          </w:p>
          <w:p w14:paraId="5C2B61D5" w14:textId="77777777" w:rsidR="00DC1AAF" w:rsidRPr="00795B28" w:rsidRDefault="00DC1AAF" w:rsidP="00DC1AAF">
            <w:pPr>
              <w:spacing w:line="240" w:lineRule="auto"/>
              <w:rPr>
                <w:rFonts w:eastAsia="Times New Roman" w:cs="Calibri"/>
                <w:sz w:val="24"/>
                <w:szCs w:val="24"/>
              </w:rPr>
            </w:pPr>
          </w:p>
          <w:p w14:paraId="07550239" w14:textId="77777777" w:rsidR="00DC1AAF" w:rsidRPr="00795B28" w:rsidRDefault="00DC1AAF" w:rsidP="00DC1AAF">
            <w:pPr>
              <w:spacing w:line="240" w:lineRule="auto"/>
              <w:rPr>
                <w:rFonts w:eastAsia="Times New Roman" w:cs="Calibri"/>
                <w:sz w:val="24"/>
                <w:szCs w:val="24"/>
              </w:rPr>
            </w:pPr>
            <w:r w:rsidRPr="00795B28">
              <w:rPr>
                <w:rFonts w:eastAsia="Times New Roman" w:cs="Calibri"/>
                <w:sz w:val="24"/>
                <w:szCs w:val="24"/>
              </w:rPr>
              <w:t>All income and expenditure in the budget is prepared and published at outturn prices.</w:t>
            </w:r>
          </w:p>
          <w:p w14:paraId="6342F004" w14:textId="77777777" w:rsidR="00DC1AAF" w:rsidRPr="00795B28" w:rsidRDefault="00DC1AAF" w:rsidP="00DC1AAF">
            <w:pPr>
              <w:spacing w:line="240" w:lineRule="auto"/>
              <w:rPr>
                <w:rFonts w:eastAsia="Times New Roman" w:cs="Calibri"/>
                <w:sz w:val="24"/>
                <w:szCs w:val="24"/>
              </w:rPr>
            </w:pPr>
          </w:p>
          <w:p w14:paraId="19FEA2D8" w14:textId="00280CA8" w:rsidR="00DC1AAF" w:rsidRPr="00795B28" w:rsidRDefault="00DC1AAF" w:rsidP="00DC1AAF">
            <w:pPr>
              <w:spacing w:line="240" w:lineRule="auto"/>
              <w:rPr>
                <w:rFonts w:eastAsia="Times New Roman" w:cs="Calibri"/>
                <w:sz w:val="24"/>
                <w:szCs w:val="24"/>
              </w:rPr>
            </w:pPr>
            <w:r w:rsidRPr="00795B28">
              <w:rPr>
                <w:rFonts w:eastAsia="Times New Roman" w:cs="Calibri"/>
                <w:sz w:val="24"/>
                <w:szCs w:val="24"/>
              </w:rPr>
              <w:t xml:space="preserve">Additionally, there are operational and inflation contingencies to mitigate any volatility </w:t>
            </w:r>
            <w:r w:rsidR="00E70CEB" w:rsidRPr="00795B28">
              <w:rPr>
                <w:rFonts w:eastAsia="Times New Roman" w:cs="Calibri"/>
                <w:sz w:val="24"/>
                <w:szCs w:val="24"/>
              </w:rPr>
              <w:t>during the year</w:t>
            </w:r>
            <w:r w:rsidRPr="00795B28">
              <w:rPr>
                <w:rFonts w:eastAsia="Times New Roman" w:cs="Calibri"/>
                <w:sz w:val="24"/>
                <w:szCs w:val="24"/>
              </w:rPr>
              <w:t>.</w:t>
            </w:r>
          </w:p>
          <w:p w14:paraId="58BA06B1" w14:textId="77777777" w:rsidR="00DC1AAF" w:rsidRPr="00795B28" w:rsidRDefault="00DC1AAF" w:rsidP="00DC1AAF">
            <w:pPr>
              <w:spacing w:line="240" w:lineRule="auto"/>
              <w:rPr>
                <w:rFonts w:eastAsia="Times New Roman" w:cs="Calibri"/>
                <w:sz w:val="24"/>
                <w:szCs w:val="24"/>
              </w:rPr>
            </w:pPr>
          </w:p>
        </w:tc>
      </w:tr>
      <w:tr w:rsidR="00DC1AAF" w:rsidRPr="00795B28" w14:paraId="2E653D6D" w14:textId="77777777" w:rsidTr="000C6617">
        <w:tc>
          <w:tcPr>
            <w:tcW w:w="3936" w:type="dxa"/>
            <w:shd w:val="clear" w:color="auto" w:fill="auto"/>
          </w:tcPr>
          <w:p w14:paraId="4EC022D9" w14:textId="77777777" w:rsidR="00DC1AAF" w:rsidRPr="00795B28" w:rsidRDefault="00DC1AAF" w:rsidP="00DC1AAF">
            <w:pPr>
              <w:spacing w:line="240" w:lineRule="auto"/>
              <w:rPr>
                <w:rFonts w:eastAsia="Times New Roman" w:cs="Calibri"/>
                <w:b/>
                <w:sz w:val="24"/>
                <w:szCs w:val="24"/>
              </w:rPr>
            </w:pPr>
            <w:r w:rsidRPr="00795B28">
              <w:rPr>
                <w:rFonts w:eastAsia="Times New Roman" w:cs="Calibri"/>
                <w:b/>
                <w:sz w:val="24"/>
                <w:szCs w:val="24"/>
              </w:rPr>
              <w:t>Estimates of the level and timing of capital receipts</w:t>
            </w:r>
          </w:p>
        </w:tc>
        <w:tc>
          <w:tcPr>
            <w:tcW w:w="5918" w:type="dxa"/>
            <w:shd w:val="clear" w:color="auto" w:fill="auto"/>
          </w:tcPr>
          <w:p w14:paraId="3C05BFDD" w14:textId="77777777" w:rsidR="00DC1AAF" w:rsidRPr="00795B28" w:rsidRDefault="00DC1AAF" w:rsidP="00DC1AAF">
            <w:pPr>
              <w:spacing w:line="240" w:lineRule="auto"/>
              <w:rPr>
                <w:rFonts w:eastAsia="Times New Roman" w:cs="Calibri"/>
                <w:sz w:val="24"/>
                <w:szCs w:val="24"/>
              </w:rPr>
            </w:pPr>
            <w:r w:rsidRPr="00795B28">
              <w:rPr>
                <w:rFonts w:eastAsia="Times New Roman" w:cs="Calibri"/>
                <w:sz w:val="24"/>
                <w:szCs w:val="24"/>
              </w:rPr>
              <w:t>Northamptonshire has recently reviewed its estates strategy as a fundamental part of the capital programme and has made a prudent assumption of future capital receipts across the programme which are being used to fund capital expenditure and minimise the impact of borrowing on the budget.</w:t>
            </w:r>
          </w:p>
          <w:p w14:paraId="439E63BE" w14:textId="77777777" w:rsidR="00DC1AAF" w:rsidRPr="00795B28" w:rsidRDefault="00DC1AAF" w:rsidP="00DC1AAF">
            <w:pPr>
              <w:spacing w:line="240" w:lineRule="auto"/>
              <w:jc w:val="center"/>
              <w:rPr>
                <w:rFonts w:eastAsia="Times New Roman" w:cs="Calibri"/>
                <w:b/>
                <w:sz w:val="24"/>
                <w:szCs w:val="24"/>
              </w:rPr>
            </w:pPr>
          </w:p>
        </w:tc>
      </w:tr>
      <w:tr w:rsidR="00DC1AAF" w:rsidRPr="00795B28" w14:paraId="1EBF5B90" w14:textId="77777777" w:rsidTr="000C6617">
        <w:tc>
          <w:tcPr>
            <w:tcW w:w="3936" w:type="dxa"/>
            <w:shd w:val="clear" w:color="auto" w:fill="auto"/>
          </w:tcPr>
          <w:p w14:paraId="7CF24A6C" w14:textId="77777777" w:rsidR="00DC1AAF" w:rsidRPr="00795B28" w:rsidRDefault="00DC1AAF" w:rsidP="00DC1AAF">
            <w:pPr>
              <w:spacing w:line="240" w:lineRule="auto"/>
              <w:rPr>
                <w:rFonts w:eastAsia="Times New Roman" w:cs="Calibri"/>
                <w:b/>
                <w:sz w:val="24"/>
                <w:szCs w:val="24"/>
              </w:rPr>
            </w:pPr>
            <w:r w:rsidRPr="00795B28">
              <w:rPr>
                <w:rFonts w:eastAsia="Times New Roman" w:cs="Calibri"/>
                <w:b/>
                <w:sz w:val="24"/>
                <w:szCs w:val="24"/>
              </w:rPr>
              <w:t>The treatment of demand led pressures</w:t>
            </w:r>
          </w:p>
        </w:tc>
        <w:tc>
          <w:tcPr>
            <w:tcW w:w="5918" w:type="dxa"/>
            <w:shd w:val="clear" w:color="auto" w:fill="auto"/>
          </w:tcPr>
          <w:p w14:paraId="761E0A8A" w14:textId="1B7A3D09" w:rsidR="00DC1AAF" w:rsidRPr="00795B28" w:rsidRDefault="00DC1AAF" w:rsidP="00DC1AAF">
            <w:pPr>
              <w:spacing w:line="240" w:lineRule="auto"/>
              <w:rPr>
                <w:rFonts w:eastAsia="Times New Roman" w:cs="Calibri"/>
                <w:sz w:val="24"/>
                <w:szCs w:val="24"/>
              </w:rPr>
            </w:pPr>
            <w:r w:rsidRPr="00795B28">
              <w:rPr>
                <w:rFonts w:eastAsia="Times New Roman" w:cs="Calibri"/>
                <w:sz w:val="24"/>
                <w:szCs w:val="24"/>
              </w:rPr>
              <w:t xml:space="preserve">The Force is required to operate and manage within its annual budget allocation. </w:t>
            </w:r>
            <w:r w:rsidR="00E70CEB" w:rsidRPr="00795B28">
              <w:rPr>
                <w:rFonts w:eastAsia="Times New Roman" w:cs="Calibri"/>
                <w:sz w:val="24"/>
                <w:szCs w:val="24"/>
              </w:rPr>
              <w:t xml:space="preserve"> </w:t>
            </w:r>
            <w:r w:rsidRPr="00795B28">
              <w:rPr>
                <w:rFonts w:eastAsia="Times New Roman" w:cs="Calibri"/>
                <w:sz w:val="24"/>
                <w:szCs w:val="24"/>
              </w:rPr>
              <w:t xml:space="preserve">Overtime budgets are devolved within the Force to enable operational leaders to make decisions and the Chief Constable retains an operational contingency to support additional major incidents. </w:t>
            </w:r>
          </w:p>
          <w:p w14:paraId="79875354" w14:textId="77777777" w:rsidR="00DC1AAF" w:rsidRPr="00795B28" w:rsidRDefault="00DC1AAF" w:rsidP="00DC1AAF">
            <w:pPr>
              <w:spacing w:line="240" w:lineRule="auto"/>
              <w:rPr>
                <w:rFonts w:eastAsia="Times New Roman" w:cs="Calibri"/>
                <w:sz w:val="24"/>
                <w:szCs w:val="24"/>
              </w:rPr>
            </w:pPr>
          </w:p>
          <w:p w14:paraId="5794BFD1" w14:textId="77777777" w:rsidR="00DC1AAF" w:rsidRPr="00795B28" w:rsidRDefault="00DC1AAF" w:rsidP="00DC1AAF">
            <w:pPr>
              <w:spacing w:line="240" w:lineRule="auto"/>
              <w:rPr>
                <w:rFonts w:eastAsia="Times New Roman" w:cs="Calibri"/>
                <w:sz w:val="24"/>
                <w:szCs w:val="24"/>
              </w:rPr>
            </w:pPr>
            <w:r w:rsidRPr="00795B28">
              <w:rPr>
                <w:rFonts w:eastAsia="Times New Roman" w:cs="Calibri"/>
                <w:sz w:val="24"/>
                <w:szCs w:val="24"/>
              </w:rPr>
              <w:t>On an exceptional basis, agreement is sought from the PFCC to utilise carry forwards to meet one off demand led pressures and demand led pressures are scrutinised and built into the budget set by the PFCC.</w:t>
            </w:r>
          </w:p>
          <w:p w14:paraId="008F89F9" w14:textId="77777777" w:rsidR="00DC1AAF" w:rsidRPr="00795B28" w:rsidRDefault="00DC1AAF" w:rsidP="00DC1AAF">
            <w:pPr>
              <w:spacing w:line="240" w:lineRule="auto"/>
              <w:rPr>
                <w:rFonts w:eastAsia="Times New Roman" w:cs="Calibri"/>
                <w:sz w:val="24"/>
                <w:szCs w:val="24"/>
              </w:rPr>
            </w:pPr>
          </w:p>
          <w:p w14:paraId="1DACCF27" w14:textId="77777777" w:rsidR="00DC1AAF" w:rsidRPr="00795B28" w:rsidRDefault="00DC1AAF" w:rsidP="00DC1AAF">
            <w:pPr>
              <w:spacing w:line="240" w:lineRule="auto"/>
              <w:rPr>
                <w:rFonts w:eastAsia="Times New Roman" w:cs="Calibri"/>
                <w:sz w:val="24"/>
                <w:szCs w:val="24"/>
              </w:rPr>
            </w:pPr>
            <w:r w:rsidRPr="00795B28">
              <w:rPr>
                <w:rFonts w:eastAsia="Times New Roman" w:cs="Calibri"/>
                <w:sz w:val="24"/>
                <w:szCs w:val="24"/>
              </w:rPr>
              <w:t xml:space="preserve">Northamptonshire have identified savings in previous years which mean that opportunities for efficiencies are less than in previous years. </w:t>
            </w:r>
          </w:p>
          <w:p w14:paraId="0993DFC4" w14:textId="77777777" w:rsidR="00DC1AAF" w:rsidRPr="00795B28" w:rsidRDefault="00DC1AAF" w:rsidP="00DC1AAF">
            <w:pPr>
              <w:spacing w:line="240" w:lineRule="auto"/>
              <w:rPr>
                <w:rFonts w:eastAsia="Times New Roman" w:cs="Calibri"/>
                <w:sz w:val="24"/>
                <w:szCs w:val="24"/>
              </w:rPr>
            </w:pPr>
          </w:p>
          <w:p w14:paraId="08FC23F5" w14:textId="70AEF827" w:rsidR="00DC1AAF" w:rsidRPr="00795B28" w:rsidRDefault="00DC1AAF" w:rsidP="00DC1AAF">
            <w:pPr>
              <w:spacing w:line="240" w:lineRule="auto"/>
              <w:rPr>
                <w:rFonts w:eastAsia="Times New Roman" w:cs="Calibri"/>
                <w:sz w:val="24"/>
                <w:szCs w:val="24"/>
              </w:rPr>
            </w:pPr>
            <w:r w:rsidRPr="00795B28">
              <w:rPr>
                <w:rFonts w:eastAsia="Times New Roman" w:cs="Calibri"/>
                <w:sz w:val="24"/>
                <w:szCs w:val="24"/>
              </w:rPr>
              <w:t>The PFCC is keen to ensure the Force continue to identify efficiencies where it makes sense to do so, and a</w:t>
            </w:r>
            <w:r w:rsidR="00795B28">
              <w:rPr>
                <w:rFonts w:eastAsia="Times New Roman" w:cs="Calibri"/>
                <w:sz w:val="24"/>
                <w:szCs w:val="24"/>
              </w:rPr>
              <w:t>n</w:t>
            </w:r>
            <w:r w:rsidRPr="00795B28">
              <w:rPr>
                <w:rFonts w:eastAsia="Times New Roman" w:cs="Calibri"/>
                <w:sz w:val="24"/>
                <w:szCs w:val="24"/>
              </w:rPr>
              <w:t xml:space="preserve"> efficiency target is set as part of the budget and MTFP and detailed within the annual strategic outcomes agreed with the Chief Constable.</w:t>
            </w:r>
          </w:p>
          <w:p w14:paraId="4BFC1D3F" w14:textId="77777777" w:rsidR="00DC1AAF" w:rsidRPr="00795B28" w:rsidRDefault="00DC1AAF" w:rsidP="00DC1AAF">
            <w:pPr>
              <w:spacing w:line="240" w:lineRule="auto"/>
              <w:rPr>
                <w:rFonts w:eastAsia="Times New Roman" w:cs="Calibri"/>
                <w:sz w:val="24"/>
                <w:szCs w:val="24"/>
              </w:rPr>
            </w:pPr>
          </w:p>
          <w:p w14:paraId="21FAD4AA" w14:textId="77777777" w:rsidR="00DC1AAF" w:rsidRPr="00795B28" w:rsidRDefault="00DC1AAF" w:rsidP="00DC1AAF">
            <w:pPr>
              <w:spacing w:line="240" w:lineRule="auto"/>
              <w:rPr>
                <w:rFonts w:eastAsia="Times New Roman" w:cs="Calibri"/>
                <w:sz w:val="24"/>
                <w:szCs w:val="24"/>
              </w:rPr>
            </w:pPr>
            <w:r w:rsidRPr="00795B28">
              <w:rPr>
                <w:rFonts w:eastAsia="Times New Roman" w:cs="Calibri"/>
                <w:sz w:val="24"/>
                <w:szCs w:val="24"/>
              </w:rPr>
              <w:lastRenderedPageBreak/>
              <w:t>Depending on funding availability, the PFCC has and will continue to support investment in areas that reduce demand, or which increase efficiency/capacity to deal with demand.</w:t>
            </w:r>
          </w:p>
          <w:p w14:paraId="2EBD4697" w14:textId="77777777" w:rsidR="00DC1AAF" w:rsidRPr="00795B28" w:rsidRDefault="00DC1AAF" w:rsidP="00DC1AAF">
            <w:pPr>
              <w:spacing w:line="240" w:lineRule="auto"/>
              <w:rPr>
                <w:rFonts w:eastAsia="Times New Roman" w:cs="Calibri"/>
                <w:sz w:val="24"/>
                <w:szCs w:val="24"/>
              </w:rPr>
            </w:pPr>
          </w:p>
          <w:p w14:paraId="2E49D79D" w14:textId="052B32FF" w:rsidR="00DC1AAF" w:rsidRPr="00795B28" w:rsidRDefault="00DC1AAF" w:rsidP="00DC1AAF">
            <w:pPr>
              <w:spacing w:line="240" w:lineRule="auto"/>
              <w:rPr>
                <w:rFonts w:eastAsia="Times New Roman" w:cs="Calibri"/>
                <w:sz w:val="24"/>
                <w:szCs w:val="24"/>
              </w:rPr>
            </w:pPr>
            <w:r w:rsidRPr="00795B28">
              <w:rPr>
                <w:rFonts w:eastAsia="Times New Roman" w:cs="Calibri"/>
                <w:sz w:val="24"/>
                <w:szCs w:val="24"/>
              </w:rPr>
              <w:t xml:space="preserve">General reserves are </w:t>
            </w:r>
            <w:r w:rsidR="00E70CEB" w:rsidRPr="00795B28">
              <w:rPr>
                <w:rFonts w:eastAsia="Times New Roman" w:cs="Calibri"/>
                <w:sz w:val="24"/>
                <w:szCs w:val="24"/>
              </w:rPr>
              <w:t xml:space="preserve">only </w:t>
            </w:r>
            <w:r w:rsidRPr="00795B28">
              <w:rPr>
                <w:rFonts w:eastAsia="Times New Roman" w:cs="Calibri"/>
                <w:sz w:val="24"/>
                <w:szCs w:val="24"/>
              </w:rPr>
              <w:t>used as a last resort to manage and fund demand led pressures.</w:t>
            </w:r>
          </w:p>
          <w:p w14:paraId="61E163D2" w14:textId="77777777" w:rsidR="00DC1AAF" w:rsidRPr="00795B28" w:rsidRDefault="00DC1AAF" w:rsidP="00DC1AAF">
            <w:pPr>
              <w:spacing w:line="240" w:lineRule="auto"/>
              <w:rPr>
                <w:rFonts w:eastAsia="Times New Roman" w:cs="Calibri"/>
                <w:sz w:val="24"/>
                <w:szCs w:val="24"/>
              </w:rPr>
            </w:pPr>
          </w:p>
        </w:tc>
      </w:tr>
      <w:tr w:rsidR="00DC1AAF" w:rsidRPr="00A81E04" w14:paraId="3CBE7429" w14:textId="77777777" w:rsidTr="000C6617">
        <w:tc>
          <w:tcPr>
            <w:tcW w:w="3936" w:type="dxa"/>
            <w:shd w:val="clear" w:color="auto" w:fill="auto"/>
          </w:tcPr>
          <w:p w14:paraId="2E2868D9" w14:textId="77777777" w:rsidR="00DC1AAF" w:rsidRPr="00AA14C4" w:rsidRDefault="00DC1AAF" w:rsidP="00DC1AAF">
            <w:pPr>
              <w:spacing w:line="240" w:lineRule="auto"/>
              <w:rPr>
                <w:rFonts w:eastAsia="Times New Roman" w:cs="Calibri"/>
                <w:b/>
                <w:sz w:val="24"/>
                <w:szCs w:val="24"/>
              </w:rPr>
            </w:pPr>
            <w:r w:rsidRPr="00AA14C4">
              <w:rPr>
                <w:rFonts w:eastAsia="Times New Roman" w:cs="Calibri"/>
                <w:b/>
                <w:sz w:val="24"/>
                <w:szCs w:val="24"/>
              </w:rPr>
              <w:lastRenderedPageBreak/>
              <w:t>The treatment of Planned Efficiency Savings/Productivity Gains</w:t>
            </w:r>
          </w:p>
        </w:tc>
        <w:tc>
          <w:tcPr>
            <w:tcW w:w="5918" w:type="dxa"/>
            <w:shd w:val="clear" w:color="auto" w:fill="auto"/>
          </w:tcPr>
          <w:p w14:paraId="650C0A44" w14:textId="77777777" w:rsidR="00AA14C4" w:rsidRPr="00AA14C4" w:rsidRDefault="00DC1AAF" w:rsidP="00DC1AAF">
            <w:pPr>
              <w:spacing w:line="240" w:lineRule="auto"/>
              <w:rPr>
                <w:rFonts w:eastAsia="Times New Roman" w:cs="Calibri"/>
                <w:sz w:val="24"/>
                <w:szCs w:val="24"/>
              </w:rPr>
            </w:pPr>
            <w:r w:rsidRPr="00AA14C4">
              <w:rPr>
                <w:rFonts w:eastAsia="Times New Roman" w:cs="Calibri"/>
                <w:sz w:val="24"/>
                <w:szCs w:val="24"/>
              </w:rPr>
              <w:t xml:space="preserve">The Force </w:t>
            </w:r>
            <w:r w:rsidR="00AA14C4" w:rsidRPr="00AA14C4">
              <w:rPr>
                <w:rFonts w:eastAsia="Times New Roman" w:cs="Calibri"/>
                <w:sz w:val="24"/>
                <w:szCs w:val="24"/>
              </w:rPr>
              <w:t>has a plan to meet</w:t>
            </w:r>
            <w:r w:rsidRPr="00AA14C4">
              <w:rPr>
                <w:rFonts w:eastAsia="Times New Roman" w:cs="Calibri"/>
                <w:sz w:val="24"/>
                <w:szCs w:val="24"/>
              </w:rPr>
              <w:t xml:space="preserve"> financial savings and challenges </w:t>
            </w:r>
            <w:r w:rsidR="00AA14C4" w:rsidRPr="00AA14C4">
              <w:rPr>
                <w:rFonts w:eastAsia="Times New Roman" w:cs="Calibri"/>
                <w:sz w:val="24"/>
                <w:szCs w:val="24"/>
              </w:rPr>
              <w:t xml:space="preserve">and has a good track record of achieving required efficiencies. </w:t>
            </w:r>
          </w:p>
          <w:p w14:paraId="11449A78" w14:textId="77777777" w:rsidR="00AA14C4" w:rsidRPr="00AA14C4" w:rsidRDefault="00AA14C4" w:rsidP="00DC1AAF">
            <w:pPr>
              <w:spacing w:line="240" w:lineRule="auto"/>
              <w:rPr>
                <w:rFonts w:eastAsia="Times New Roman" w:cs="Calibri"/>
                <w:sz w:val="24"/>
                <w:szCs w:val="24"/>
              </w:rPr>
            </w:pPr>
          </w:p>
          <w:p w14:paraId="5C1A3E69" w14:textId="07B1F563" w:rsidR="00DC1AAF" w:rsidRPr="00AA14C4" w:rsidRDefault="00DC1AAF" w:rsidP="00DC1AAF">
            <w:pPr>
              <w:spacing w:line="240" w:lineRule="auto"/>
              <w:rPr>
                <w:rFonts w:eastAsia="Times New Roman" w:cs="Calibri"/>
                <w:sz w:val="24"/>
                <w:szCs w:val="24"/>
              </w:rPr>
            </w:pPr>
            <w:r w:rsidRPr="00AA14C4">
              <w:rPr>
                <w:rFonts w:eastAsia="Times New Roman" w:cs="Calibri"/>
                <w:sz w:val="24"/>
                <w:szCs w:val="24"/>
              </w:rPr>
              <w:t>The Force undertake</w:t>
            </w:r>
            <w:r w:rsidR="00AA14C4" w:rsidRPr="00AA14C4">
              <w:rPr>
                <w:rFonts w:eastAsia="Times New Roman" w:cs="Calibri"/>
                <w:sz w:val="24"/>
                <w:szCs w:val="24"/>
              </w:rPr>
              <w:t>s</w:t>
            </w:r>
            <w:r w:rsidRPr="00AA14C4">
              <w:rPr>
                <w:rFonts w:eastAsia="Times New Roman" w:cs="Calibri"/>
                <w:sz w:val="24"/>
                <w:szCs w:val="24"/>
              </w:rPr>
              <w:t xml:space="preserve"> budget challenge meetings and </w:t>
            </w:r>
            <w:r w:rsidR="00AA14C4" w:rsidRPr="00AA14C4">
              <w:rPr>
                <w:rFonts w:eastAsia="Times New Roman" w:cs="Calibri"/>
                <w:sz w:val="24"/>
                <w:szCs w:val="24"/>
              </w:rPr>
              <w:t>reports on savings that are earmarked to offset pressures in the MTFP</w:t>
            </w:r>
            <w:r w:rsidRPr="00AA14C4">
              <w:rPr>
                <w:rFonts w:eastAsia="Times New Roman" w:cs="Calibri"/>
                <w:sz w:val="24"/>
                <w:szCs w:val="24"/>
              </w:rPr>
              <w:t xml:space="preserve">. </w:t>
            </w:r>
          </w:p>
          <w:p w14:paraId="75D92F89" w14:textId="77777777" w:rsidR="00DC1AAF" w:rsidRPr="00AA14C4" w:rsidRDefault="00DC1AAF" w:rsidP="00DC1AAF">
            <w:pPr>
              <w:spacing w:line="240" w:lineRule="auto"/>
              <w:rPr>
                <w:rFonts w:eastAsia="Times New Roman" w:cs="Calibri"/>
                <w:sz w:val="24"/>
                <w:szCs w:val="24"/>
              </w:rPr>
            </w:pPr>
          </w:p>
          <w:p w14:paraId="2801A277" w14:textId="71AD56D0" w:rsidR="00DC1AAF" w:rsidRPr="00AA14C4" w:rsidRDefault="00DC1AAF" w:rsidP="00DC1AAF">
            <w:pPr>
              <w:spacing w:line="240" w:lineRule="auto"/>
              <w:rPr>
                <w:rFonts w:eastAsia="Times New Roman" w:cs="Calibri"/>
                <w:sz w:val="24"/>
                <w:szCs w:val="24"/>
              </w:rPr>
            </w:pPr>
            <w:r w:rsidRPr="00AA14C4">
              <w:rPr>
                <w:rFonts w:eastAsia="Times New Roman" w:cs="Calibri"/>
                <w:sz w:val="24"/>
                <w:szCs w:val="24"/>
              </w:rPr>
              <w:t xml:space="preserve">The Force operates a </w:t>
            </w:r>
            <w:r w:rsidR="00E70CEB" w:rsidRPr="00AA14C4">
              <w:rPr>
                <w:rFonts w:eastAsia="Times New Roman" w:cs="Calibri"/>
                <w:sz w:val="24"/>
                <w:szCs w:val="24"/>
              </w:rPr>
              <w:t>Strategic Planning Board</w:t>
            </w:r>
            <w:r w:rsidRPr="00AA14C4">
              <w:rPr>
                <w:rFonts w:eastAsia="Times New Roman" w:cs="Calibri"/>
                <w:sz w:val="24"/>
                <w:szCs w:val="24"/>
              </w:rPr>
              <w:t xml:space="preserve"> which monitors investments, savings and efficiencies and is attended by OPFCC representatives.</w:t>
            </w:r>
          </w:p>
          <w:p w14:paraId="61C28745" w14:textId="77777777" w:rsidR="00DC1AAF" w:rsidRPr="00AA14C4" w:rsidRDefault="00DC1AAF" w:rsidP="00DC1AAF">
            <w:pPr>
              <w:spacing w:line="240" w:lineRule="auto"/>
              <w:rPr>
                <w:rFonts w:eastAsia="Times New Roman" w:cs="Calibri"/>
                <w:sz w:val="24"/>
                <w:szCs w:val="24"/>
              </w:rPr>
            </w:pPr>
          </w:p>
          <w:p w14:paraId="7ECC4C50" w14:textId="389F5CA5" w:rsidR="00DC1AAF" w:rsidRPr="00AA14C4" w:rsidRDefault="00DC1AAF" w:rsidP="00DC1AAF">
            <w:pPr>
              <w:spacing w:line="240" w:lineRule="auto"/>
              <w:rPr>
                <w:rFonts w:eastAsia="Times New Roman" w:cs="Calibri"/>
                <w:sz w:val="24"/>
                <w:szCs w:val="24"/>
              </w:rPr>
            </w:pPr>
            <w:r w:rsidRPr="00AA14C4">
              <w:rPr>
                <w:rFonts w:eastAsia="Times New Roman" w:cs="Calibri"/>
                <w:sz w:val="24"/>
                <w:szCs w:val="24"/>
              </w:rPr>
              <w:t>There are efficiency requirements aligned to the MTFP and any identified savings and efficiencies will be monitored and reviewed regularly and are only included as achieved in budgets when confirmed and verified.</w:t>
            </w:r>
          </w:p>
          <w:p w14:paraId="7E9888A1" w14:textId="77777777" w:rsidR="00DC1AAF" w:rsidRPr="00AA14C4" w:rsidRDefault="00DC1AAF" w:rsidP="00DC1AAF">
            <w:pPr>
              <w:spacing w:line="240" w:lineRule="auto"/>
              <w:rPr>
                <w:rFonts w:eastAsia="Times New Roman" w:cs="Calibri"/>
                <w:sz w:val="24"/>
                <w:szCs w:val="24"/>
              </w:rPr>
            </w:pPr>
          </w:p>
        </w:tc>
      </w:tr>
      <w:tr w:rsidR="00DC1AAF" w:rsidRPr="00A81E04" w14:paraId="05A3CA1F" w14:textId="77777777" w:rsidTr="000C6617">
        <w:tc>
          <w:tcPr>
            <w:tcW w:w="3936" w:type="dxa"/>
            <w:shd w:val="clear" w:color="auto" w:fill="auto"/>
          </w:tcPr>
          <w:p w14:paraId="717B237B" w14:textId="77777777" w:rsidR="00DC1AAF" w:rsidRPr="00CA6FF7" w:rsidRDefault="00DC1AAF" w:rsidP="00DC1AAF">
            <w:pPr>
              <w:spacing w:line="240" w:lineRule="auto"/>
              <w:rPr>
                <w:rFonts w:eastAsia="Times New Roman" w:cs="Calibri"/>
                <w:b/>
                <w:sz w:val="24"/>
                <w:szCs w:val="24"/>
              </w:rPr>
            </w:pPr>
            <w:r w:rsidRPr="00CA6FF7">
              <w:rPr>
                <w:rFonts w:eastAsia="Times New Roman" w:cs="Calibri"/>
                <w:b/>
                <w:sz w:val="24"/>
                <w:szCs w:val="24"/>
              </w:rPr>
              <w:t>The financial risks inherent in any significant new funding partnerships, collaboration, major outsourcing arrangements or major capital developments.</w:t>
            </w:r>
          </w:p>
        </w:tc>
        <w:tc>
          <w:tcPr>
            <w:tcW w:w="5918" w:type="dxa"/>
            <w:shd w:val="clear" w:color="auto" w:fill="auto"/>
          </w:tcPr>
          <w:p w14:paraId="1C0D16AE" w14:textId="696B35C3" w:rsidR="00DC1AAF" w:rsidRPr="00CA6FF7" w:rsidRDefault="00DC1AAF" w:rsidP="00DC1AAF">
            <w:pPr>
              <w:spacing w:line="240" w:lineRule="auto"/>
              <w:rPr>
                <w:rFonts w:eastAsia="Times New Roman" w:cs="Calibri"/>
                <w:sz w:val="24"/>
                <w:szCs w:val="24"/>
              </w:rPr>
            </w:pPr>
            <w:r w:rsidRPr="00CA6FF7">
              <w:rPr>
                <w:rFonts w:eastAsia="Times New Roman" w:cs="Calibri"/>
                <w:sz w:val="24"/>
                <w:szCs w:val="24"/>
              </w:rPr>
              <w:t xml:space="preserve">The financial consequences of partnership collaboration working outsourcing arrangements or capital investment are reported to the PFCC as part of the </w:t>
            </w:r>
            <w:r w:rsidR="00360A96" w:rsidRPr="00CA6FF7">
              <w:rPr>
                <w:rFonts w:eastAsia="Times New Roman" w:cs="Calibri"/>
                <w:sz w:val="24"/>
                <w:szCs w:val="24"/>
              </w:rPr>
              <w:t>medium-term</w:t>
            </w:r>
            <w:r w:rsidRPr="00CA6FF7">
              <w:rPr>
                <w:rFonts w:eastAsia="Times New Roman" w:cs="Calibri"/>
                <w:sz w:val="24"/>
                <w:szCs w:val="24"/>
              </w:rPr>
              <w:t xml:space="preserve"> planning process. </w:t>
            </w:r>
            <w:r w:rsidR="00E70CEB" w:rsidRPr="00CA6FF7">
              <w:rPr>
                <w:rFonts w:eastAsia="Times New Roman" w:cs="Calibri"/>
                <w:sz w:val="24"/>
                <w:szCs w:val="24"/>
              </w:rPr>
              <w:t xml:space="preserve"> </w:t>
            </w:r>
            <w:r w:rsidRPr="00CA6FF7">
              <w:rPr>
                <w:rFonts w:eastAsia="Times New Roman" w:cs="Calibri"/>
                <w:sz w:val="24"/>
                <w:szCs w:val="24"/>
              </w:rPr>
              <w:t>Where relevant, any additional costs are incorporated into the annual revenue budget and/or capital programme.</w:t>
            </w:r>
          </w:p>
          <w:p w14:paraId="3D2BC164" w14:textId="77777777" w:rsidR="00DC1AAF" w:rsidRPr="00CA6FF7" w:rsidRDefault="00DC1AAF" w:rsidP="00DC1AAF">
            <w:pPr>
              <w:spacing w:line="240" w:lineRule="auto"/>
              <w:rPr>
                <w:rFonts w:eastAsia="Times New Roman" w:cs="Calibri"/>
                <w:sz w:val="24"/>
                <w:szCs w:val="24"/>
              </w:rPr>
            </w:pPr>
          </w:p>
          <w:p w14:paraId="52A6EB4D" w14:textId="77777777" w:rsidR="00DC1AAF" w:rsidRPr="00CA6FF7" w:rsidRDefault="00DC1AAF" w:rsidP="00DC1AAF">
            <w:pPr>
              <w:spacing w:line="240" w:lineRule="auto"/>
              <w:rPr>
                <w:rFonts w:eastAsia="Times New Roman" w:cs="Calibri"/>
                <w:sz w:val="24"/>
                <w:szCs w:val="24"/>
              </w:rPr>
            </w:pPr>
            <w:r w:rsidRPr="00CA6FF7">
              <w:rPr>
                <w:rFonts w:eastAsia="Times New Roman" w:cs="Calibri"/>
                <w:sz w:val="24"/>
                <w:szCs w:val="24"/>
              </w:rPr>
              <w:t xml:space="preserve">There is a risk that partners will withdraw funding as their own budgets are squeezed, or that the continued viability of private sector commercial partners will be exposed to risk in the face of an economic recession. </w:t>
            </w:r>
          </w:p>
          <w:p w14:paraId="689DB7DF" w14:textId="77777777" w:rsidR="00DC1AAF" w:rsidRPr="00CA6FF7" w:rsidRDefault="00DC1AAF" w:rsidP="00DC1AAF">
            <w:pPr>
              <w:spacing w:line="240" w:lineRule="auto"/>
              <w:rPr>
                <w:rFonts w:eastAsia="Times New Roman" w:cs="Calibri"/>
                <w:sz w:val="24"/>
                <w:szCs w:val="24"/>
              </w:rPr>
            </w:pPr>
          </w:p>
        </w:tc>
      </w:tr>
      <w:tr w:rsidR="00DC1AAF" w:rsidRPr="00CA6FF7" w14:paraId="5F85B932" w14:textId="77777777" w:rsidTr="000C6617">
        <w:tc>
          <w:tcPr>
            <w:tcW w:w="3936" w:type="dxa"/>
            <w:shd w:val="clear" w:color="auto" w:fill="auto"/>
          </w:tcPr>
          <w:p w14:paraId="778DAE25" w14:textId="77777777" w:rsidR="00DC1AAF" w:rsidRPr="00CA6FF7" w:rsidRDefault="00DC1AAF" w:rsidP="00DC1AAF">
            <w:pPr>
              <w:spacing w:line="240" w:lineRule="auto"/>
              <w:rPr>
                <w:rFonts w:eastAsia="Times New Roman" w:cs="Calibri"/>
                <w:b/>
                <w:sz w:val="24"/>
                <w:szCs w:val="24"/>
              </w:rPr>
            </w:pPr>
            <w:r w:rsidRPr="00CA6FF7">
              <w:rPr>
                <w:rFonts w:eastAsia="Times New Roman" w:cs="Calibri"/>
                <w:b/>
                <w:sz w:val="24"/>
                <w:szCs w:val="24"/>
              </w:rPr>
              <w:t>The availability of reserves, government grants and other funds to deal with major contingencies and the adequacy of provisions.</w:t>
            </w:r>
          </w:p>
        </w:tc>
        <w:tc>
          <w:tcPr>
            <w:tcW w:w="5918" w:type="dxa"/>
            <w:shd w:val="clear" w:color="auto" w:fill="auto"/>
          </w:tcPr>
          <w:p w14:paraId="115ECC10" w14:textId="2BA7ED3D" w:rsidR="00DC1AAF" w:rsidRPr="00CA6FF7" w:rsidRDefault="00DC1AAF" w:rsidP="00DC1AAF">
            <w:pPr>
              <w:spacing w:line="240" w:lineRule="auto"/>
              <w:rPr>
                <w:rFonts w:eastAsia="Times New Roman" w:cs="Calibri"/>
                <w:sz w:val="24"/>
                <w:szCs w:val="24"/>
              </w:rPr>
            </w:pPr>
            <w:r w:rsidRPr="00CA6FF7">
              <w:rPr>
                <w:rFonts w:eastAsia="Times New Roman" w:cs="Calibri"/>
                <w:sz w:val="24"/>
                <w:szCs w:val="24"/>
              </w:rPr>
              <w:t xml:space="preserve">Northamptonshire </w:t>
            </w:r>
            <w:r w:rsidR="00E70CEB" w:rsidRPr="00CA6FF7">
              <w:rPr>
                <w:rFonts w:eastAsia="Times New Roman" w:cs="Calibri"/>
                <w:sz w:val="24"/>
                <w:szCs w:val="24"/>
              </w:rPr>
              <w:t xml:space="preserve">OPFCC </w:t>
            </w:r>
            <w:r w:rsidRPr="00CA6FF7">
              <w:rPr>
                <w:rFonts w:eastAsia="Times New Roman" w:cs="Calibri"/>
                <w:sz w:val="24"/>
                <w:szCs w:val="24"/>
              </w:rPr>
              <w:t>have created earmarked reserves and provisions to meet specific expenditure items and have added to these further in this strategy. Their use and balances are detailed in Annexe 3.</w:t>
            </w:r>
          </w:p>
          <w:p w14:paraId="7CC736C9" w14:textId="77777777" w:rsidR="00DC1AAF" w:rsidRPr="00CA6FF7" w:rsidRDefault="00DC1AAF" w:rsidP="00DC1AAF">
            <w:pPr>
              <w:spacing w:line="240" w:lineRule="auto"/>
              <w:rPr>
                <w:rFonts w:eastAsia="Times New Roman" w:cs="Calibri"/>
                <w:sz w:val="24"/>
                <w:szCs w:val="24"/>
              </w:rPr>
            </w:pPr>
          </w:p>
          <w:p w14:paraId="018DA6F9" w14:textId="33681DDA" w:rsidR="00DC1AAF" w:rsidRPr="00CA6FF7" w:rsidRDefault="00DC1AAF" w:rsidP="00DC1AAF">
            <w:pPr>
              <w:spacing w:line="240" w:lineRule="auto"/>
              <w:rPr>
                <w:rFonts w:eastAsia="Times New Roman" w:cs="Calibri"/>
                <w:sz w:val="24"/>
                <w:szCs w:val="24"/>
              </w:rPr>
            </w:pPr>
            <w:r w:rsidRPr="00CA6FF7">
              <w:rPr>
                <w:rFonts w:eastAsia="Times New Roman" w:cs="Calibri"/>
                <w:sz w:val="24"/>
                <w:szCs w:val="24"/>
              </w:rPr>
              <w:t xml:space="preserve">Northamptonshire maintains an insurance provision, the adequacy of which is monitored in detail by the legal services insurance advisors, together with our insurance advisors. </w:t>
            </w:r>
            <w:r w:rsidR="00E70CEB" w:rsidRPr="00CA6FF7">
              <w:rPr>
                <w:rFonts w:eastAsia="Times New Roman" w:cs="Calibri"/>
                <w:sz w:val="24"/>
                <w:szCs w:val="24"/>
              </w:rPr>
              <w:t xml:space="preserve"> </w:t>
            </w:r>
            <w:r w:rsidRPr="00CA6FF7">
              <w:rPr>
                <w:rFonts w:eastAsia="Times New Roman" w:cs="Calibri"/>
                <w:sz w:val="24"/>
                <w:szCs w:val="24"/>
              </w:rPr>
              <w:t xml:space="preserve">The access criteria for special grants state that PFCCS may be required to fund up to 1% of their net budget requirement themselves before the Government considers </w:t>
            </w:r>
            <w:r w:rsidR="00E70CEB" w:rsidRPr="00CA6FF7">
              <w:rPr>
                <w:rFonts w:eastAsia="Times New Roman" w:cs="Calibri"/>
                <w:sz w:val="24"/>
                <w:szCs w:val="24"/>
              </w:rPr>
              <w:t>g</w:t>
            </w:r>
            <w:r w:rsidRPr="00CA6FF7">
              <w:rPr>
                <w:rFonts w:eastAsia="Times New Roman" w:cs="Calibri"/>
                <w:sz w:val="24"/>
                <w:szCs w:val="24"/>
              </w:rPr>
              <w:t>rant</w:t>
            </w:r>
            <w:r w:rsidR="00E70CEB" w:rsidRPr="00CA6FF7">
              <w:rPr>
                <w:rFonts w:eastAsia="Times New Roman" w:cs="Calibri"/>
                <w:sz w:val="24"/>
                <w:szCs w:val="24"/>
              </w:rPr>
              <w:t xml:space="preserve"> a</w:t>
            </w:r>
            <w:r w:rsidRPr="00CA6FF7">
              <w:rPr>
                <w:rFonts w:eastAsia="Times New Roman" w:cs="Calibri"/>
                <w:sz w:val="24"/>
                <w:szCs w:val="24"/>
              </w:rPr>
              <w:t xml:space="preserve">id. </w:t>
            </w:r>
            <w:r w:rsidR="00E70CEB" w:rsidRPr="00CA6FF7">
              <w:rPr>
                <w:rFonts w:eastAsia="Times New Roman" w:cs="Calibri"/>
                <w:sz w:val="24"/>
                <w:szCs w:val="24"/>
              </w:rPr>
              <w:t xml:space="preserve"> </w:t>
            </w:r>
            <w:r w:rsidRPr="00CA6FF7">
              <w:rPr>
                <w:rFonts w:eastAsia="Times New Roman" w:cs="Calibri"/>
                <w:sz w:val="24"/>
                <w:szCs w:val="24"/>
              </w:rPr>
              <w:t>This applies on an annual basis.</w:t>
            </w:r>
          </w:p>
          <w:p w14:paraId="324B4BF1" w14:textId="77777777" w:rsidR="00DC1AAF" w:rsidRPr="00CA6FF7" w:rsidRDefault="00DC1AAF" w:rsidP="00DC1AAF">
            <w:pPr>
              <w:spacing w:line="240" w:lineRule="auto"/>
              <w:rPr>
                <w:rFonts w:eastAsia="Times New Roman" w:cs="Calibri"/>
                <w:sz w:val="24"/>
                <w:szCs w:val="24"/>
              </w:rPr>
            </w:pPr>
          </w:p>
          <w:p w14:paraId="0DAD19D9" w14:textId="30126EBD" w:rsidR="00DC1AAF" w:rsidRPr="00CA6FF7" w:rsidRDefault="00DC1AAF" w:rsidP="00DC1AAF">
            <w:pPr>
              <w:spacing w:line="240" w:lineRule="auto"/>
              <w:rPr>
                <w:rFonts w:eastAsia="Times New Roman" w:cs="Calibri"/>
                <w:sz w:val="24"/>
                <w:szCs w:val="24"/>
              </w:rPr>
            </w:pPr>
            <w:r w:rsidRPr="00CA6FF7">
              <w:rPr>
                <w:rFonts w:eastAsia="Times New Roman" w:cs="Calibri"/>
                <w:sz w:val="24"/>
                <w:szCs w:val="24"/>
              </w:rPr>
              <w:t xml:space="preserve">Northamptonshire’s </w:t>
            </w:r>
            <w:r w:rsidR="00F57399" w:rsidRPr="00CA6FF7">
              <w:rPr>
                <w:rFonts w:eastAsia="Times New Roman" w:cs="Calibri"/>
                <w:sz w:val="24"/>
                <w:szCs w:val="24"/>
              </w:rPr>
              <w:t>g</w:t>
            </w:r>
            <w:r w:rsidRPr="00CA6FF7">
              <w:rPr>
                <w:rFonts w:eastAsia="Times New Roman" w:cs="Calibri"/>
                <w:sz w:val="24"/>
                <w:szCs w:val="24"/>
              </w:rPr>
              <w:t xml:space="preserve">eneral </w:t>
            </w:r>
            <w:r w:rsidR="00F57399" w:rsidRPr="00CA6FF7">
              <w:rPr>
                <w:rFonts w:eastAsia="Times New Roman" w:cs="Calibri"/>
                <w:sz w:val="24"/>
                <w:szCs w:val="24"/>
              </w:rPr>
              <w:t>r</w:t>
            </w:r>
            <w:r w:rsidRPr="00CA6FF7">
              <w:rPr>
                <w:rFonts w:eastAsia="Times New Roman" w:cs="Calibri"/>
                <w:sz w:val="24"/>
                <w:szCs w:val="24"/>
              </w:rPr>
              <w:t>eserve provides sufficient scope to cover this eventuality.</w:t>
            </w:r>
          </w:p>
          <w:p w14:paraId="44C548C6" w14:textId="77777777" w:rsidR="00DC1AAF" w:rsidRPr="00CA6FF7" w:rsidRDefault="00DC1AAF" w:rsidP="00DC1AAF">
            <w:pPr>
              <w:spacing w:line="240" w:lineRule="auto"/>
              <w:rPr>
                <w:rFonts w:eastAsia="Times New Roman" w:cs="Calibri"/>
                <w:sz w:val="24"/>
                <w:szCs w:val="24"/>
              </w:rPr>
            </w:pPr>
          </w:p>
        </w:tc>
      </w:tr>
      <w:tr w:rsidR="00DC1AAF" w:rsidRPr="00CA6FF7" w14:paraId="2E075307" w14:textId="77777777" w:rsidTr="000C6617">
        <w:tc>
          <w:tcPr>
            <w:tcW w:w="3936" w:type="dxa"/>
            <w:shd w:val="clear" w:color="auto" w:fill="auto"/>
          </w:tcPr>
          <w:p w14:paraId="281E8C7B" w14:textId="77777777" w:rsidR="00DC1AAF" w:rsidRPr="00CA6FF7" w:rsidRDefault="00DC1AAF" w:rsidP="00DC1AAF">
            <w:pPr>
              <w:spacing w:line="240" w:lineRule="auto"/>
              <w:rPr>
                <w:rFonts w:eastAsia="Times New Roman" w:cs="Calibri"/>
                <w:b/>
                <w:sz w:val="24"/>
                <w:szCs w:val="24"/>
              </w:rPr>
            </w:pPr>
            <w:r w:rsidRPr="00CA6FF7">
              <w:rPr>
                <w:rFonts w:eastAsia="Times New Roman" w:cs="Calibri"/>
                <w:b/>
                <w:sz w:val="24"/>
                <w:szCs w:val="24"/>
              </w:rPr>
              <w:lastRenderedPageBreak/>
              <w:t>The general financial climate to which the Authority is subject</w:t>
            </w:r>
          </w:p>
        </w:tc>
        <w:tc>
          <w:tcPr>
            <w:tcW w:w="5918" w:type="dxa"/>
            <w:shd w:val="clear" w:color="auto" w:fill="auto"/>
          </w:tcPr>
          <w:p w14:paraId="370011F1" w14:textId="5CD9280A" w:rsidR="00DC1AAF" w:rsidRPr="00CA6FF7" w:rsidRDefault="00DC1AAF" w:rsidP="00DC1AAF">
            <w:pPr>
              <w:spacing w:line="240" w:lineRule="auto"/>
              <w:rPr>
                <w:rFonts w:eastAsia="Times New Roman" w:cs="Calibri"/>
                <w:sz w:val="24"/>
                <w:szCs w:val="24"/>
              </w:rPr>
            </w:pPr>
            <w:r w:rsidRPr="00CA6FF7">
              <w:rPr>
                <w:rFonts w:eastAsia="Times New Roman" w:cs="Calibri"/>
                <w:sz w:val="24"/>
                <w:szCs w:val="24"/>
              </w:rPr>
              <w:t>It is anticipated that the financial climate will</w:t>
            </w:r>
            <w:r w:rsidR="00E70CEB" w:rsidRPr="00CA6FF7">
              <w:rPr>
                <w:rFonts w:eastAsia="Times New Roman" w:cs="Calibri"/>
                <w:sz w:val="24"/>
                <w:szCs w:val="24"/>
              </w:rPr>
              <w:t xml:space="preserve"> continue to</w:t>
            </w:r>
            <w:r w:rsidRPr="00CA6FF7">
              <w:rPr>
                <w:rFonts w:eastAsia="Times New Roman" w:cs="Calibri"/>
                <w:sz w:val="24"/>
                <w:szCs w:val="24"/>
              </w:rPr>
              <w:t xml:space="preserve"> be challenging and the </w:t>
            </w:r>
            <w:r w:rsidR="00360A96" w:rsidRPr="00CA6FF7">
              <w:rPr>
                <w:rFonts w:eastAsia="Times New Roman" w:cs="Calibri"/>
                <w:sz w:val="24"/>
                <w:szCs w:val="24"/>
              </w:rPr>
              <w:t>medium-term</w:t>
            </w:r>
            <w:r w:rsidRPr="00CA6FF7">
              <w:rPr>
                <w:rFonts w:eastAsia="Times New Roman" w:cs="Calibri"/>
                <w:sz w:val="24"/>
                <w:szCs w:val="24"/>
              </w:rPr>
              <w:t xml:space="preserve"> financial plan reflect</w:t>
            </w:r>
            <w:r w:rsidR="00E70CEB" w:rsidRPr="00CA6FF7">
              <w:rPr>
                <w:rFonts w:eastAsia="Times New Roman" w:cs="Calibri"/>
                <w:sz w:val="24"/>
                <w:szCs w:val="24"/>
              </w:rPr>
              <w:t>s</w:t>
            </w:r>
            <w:r w:rsidRPr="00CA6FF7">
              <w:rPr>
                <w:rFonts w:eastAsia="Times New Roman" w:cs="Calibri"/>
                <w:sz w:val="24"/>
                <w:szCs w:val="24"/>
              </w:rPr>
              <w:t xml:space="preserve"> the “best estimate” of future inflation rates and increases in government grants and contributions.</w:t>
            </w:r>
          </w:p>
          <w:p w14:paraId="18BD1A6D" w14:textId="77777777" w:rsidR="00DC1AAF" w:rsidRPr="00CA6FF7" w:rsidRDefault="00DC1AAF" w:rsidP="00DC1AAF">
            <w:pPr>
              <w:spacing w:line="240" w:lineRule="auto"/>
              <w:rPr>
                <w:rFonts w:eastAsia="Times New Roman" w:cs="Calibri"/>
                <w:sz w:val="24"/>
                <w:szCs w:val="24"/>
              </w:rPr>
            </w:pPr>
          </w:p>
          <w:p w14:paraId="55A83341" w14:textId="20393BC9" w:rsidR="00E70CEB" w:rsidRPr="00CA6FF7" w:rsidRDefault="00E70CEB" w:rsidP="00DC1AAF">
            <w:pPr>
              <w:spacing w:line="240" w:lineRule="auto"/>
              <w:rPr>
                <w:rFonts w:eastAsia="Times New Roman" w:cs="Calibri"/>
                <w:sz w:val="24"/>
                <w:szCs w:val="24"/>
              </w:rPr>
            </w:pPr>
            <w:r w:rsidRPr="00CA6FF7">
              <w:rPr>
                <w:rFonts w:eastAsia="Times New Roman" w:cs="Calibri"/>
                <w:sz w:val="24"/>
                <w:szCs w:val="24"/>
              </w:rPr>
              <w:t>The Commercial team keep the authority updated on matters/risks affecting large contracts and supply chain.</w:t>
            </w:r>
          </w:p>
          <w:p w14:paraId="4AD57E65" w14:textId="77777777" w:rsidR="00E70CEB" w:rsidRPr="00CA6FF7" w:rsidRDefault="00E70CEB" w:rsidP="00DC1AAF">
            <w:pPr>
              <w:spacing w:line="240" w:lineRule="auto"/>
              <w:rPr>
                <w:rFonts w:eastAsia="Times New Roman" w:cs="Calibri"/>
                <w:sz w:val="24"/>
                <w:szCs w:val="24"/>
              </w:rPr>
            </w:pPr>
          </w:p>
          <w:p w14:paraId="0E136697" w14:textId="30C32E57" w:rsidR="00DC1AAF" w:rsidRPr="00CA6FF7" w:rsidRDefault="00DC1AAF" w:rsidP="00DC1AAF">
            <w:pPr>
              <w:spacing w:line="240" w:lineRule="auto"/>
              <w:rPr>
                <w:rFonts w:eastAsia="Times New Roman" w:cs="Calibri"/>
                <w:sz w:val="24"/>
                <w:szCs w:val="24"/>
              </w:rPr>
            </w:pPr>
            <w:r w:rsidRPr="00CA6FF7">
              <w:rPr>
                <w:rFonts w:eastAsia="Times New Roman" w:cs="Calibri"/>
                <w:sz w:val="24"/>
                <w:szCs w:val="24"/>
              </w:rPr>
              <w:t xml:space="preserve">The MTFP will be regularly </w:t>
            </w:r>
            <w:r w:rsidR="00E70CEB" w:rsidRPr="00CA6FF7">
              <w:rPr>
                <w:rFonts w:eastAsia="Times New Roman" w:cs="Calibri"/>
                <w:sz w:val="24"/>
                <w:szCs w:val="24"/>
              </w:rPr>
              <w:t xml:space="preserve">reviewed and </w:t>
            </w:r>
            <w:r w:rsidRPr="00CA6FF7">
              <w:rPr>
                <w:rFonts w:eastAsia="Times New Roman" w:cs="Calibri"/>
                <w:sz w:val="24"/>
                <w:szCs w:val="24"/>
              </w:rPr>
              <w:t>updated to support operational decision making.</w:t>
            </w:r>
          </w:p>
          <w:p w14:paraId="19535C44" w14:textId="77777777" w:rsidR="00DC1AAF" w:rsidRPr="00CA6FF7" w:rsidRDefault="00DC1AAF" w:rsidP="00DC1AAF">
            <w:pPr>
              <w:spacing w:line="240" w:lineRule="auto"/>
              <w:rPr>
                <w:rFonts w:eastAsia="Times New Roman" w:cs="Calibri"/>
                <w:b/>
                <w:sz w:val="24"/>
                <w:szCs w:val="24"/>
              </w:rPr>
            </w:pPr>
          </w:p>
        </w:tc>
      </w:tr>
    </w:tbl>
    <w:p w14:paraId="6A090177" w14:textId="77777777" w:rsidR="00DC1AAF" w:rsidRPr="00A81E04" w:rsidRDefault="00DC1AAF" w:rsidP="00DC1AAF">
      <w:pPr>
        <w:spacing w:line="240" w:lineRule="auto"/>
        <w:jc w:val="center"/>
        <w:rPr>
          <w:rFonts w:ascii="Arial" w:eastAsia="Times New Roman" w:hAnsi="Arial"/>
          <w:b/>
          <w:highlight w:val="yellow"/>
        </w:rPr>
        <w:sectPr w:rsidR="00DC1AAF" w:rsidRPr="00A81E04" w:rsidSect="00966F7F">
          <w:headerReference w:type="even" r:id="rId16"/>
          <w:headerReference w:type="default" r:id="rId17"/>
          <w:footerReference w:type="even" r:id="rId18"/>
          <w:footerReference w:type="default" r:id="rId19"/>
          <w:headerReference w:type="first" r:id="rId20"/>
          <w:footerReference w:type="first" r:id="rId21"/>
          <w:pgSz w:w="11906" w:h="16838" w:code="9"/>
          <w:pgMar w:top="1134" w:right="1134" w:bottom="1134" w:left="1134" w:header="709" w:footer="709" w:gutter="0"/>
          <w:cols w:space="708"/>
          <w:docGrid w:linePitch="360"/>
        </w:sectPr>
      </w:pPr>
    </w:p>
    <w:p w14:paraId="768A2ED5" w14:textId="67A61351" w:rsidR="00DC1AAF" w:rsidRPr="00CA6FF7" w:rsidRDefault="00DC1AAF" w:rsidP="00E70CEB">
      <w:pPr>
        <w:spacing w:line="240" w:lineRule="auto"/>
        <w:rPr>
          <w:rFonts w:asciiTheme="minorHAnsi" w:eastAsia="Times New Roman" w:hAnsiTheme="minorHAnsi" w:cstheme="minorHAnsi"/>
          <w:b/>
        </w:rPr>
      </w:pPr>
      <w:r w:rsidRPr="00CA6FF7">
        <w:rPr>
          <w:rFonts w:ascii="Arial" w:eastAsia="Times New Roman" w:hAnsi="Arial"/>
          <w:b/>
        </w:rPr>
        <w:lastRenderedPageBreak/>
        <w:t xml:space="preserve"> </w:t>
      </w:r>
      <w:r w:rsidRPr="00CA6FF7">
        <w:rPr>
          <w:rFonts w:asciiTheme="minorHAnsi" w:eastAsia="Times New Roman" w:hAnsiTheme="minorHAnsi" w:cstheme="minorHAnsi"/>
          <w:b/>
        </w:rPr>
        <w:t xml:space="preserve">Annexe 2      </w:t>
      </w:r>
    </w:p>
    <w:p w14:paraId="2E33A435" w14:textId="77777777" w:rsidR="00DC1AAF" w:rsidRPr="00CA6FF7" w:rsidRDefault="00DC1AAF" w:rsidP="00DC1AAF">
      <w:pPr>
        <w:spacing w:line="240" w:lineRule="auto"/>
        <w:rPr>
          <w:rFonts w:asciiTheme="minorHAnsi" w:eastAsia="Times New Roman" w:hAnsiTheme="minorHAnsi" w:cstheme="minorHAnsi"/>
          <w:b/>
        </w:rPr>
      </w:pPr>
    </w:p>
    <w:p w14:paraId="0E2F3E6D" w14:textId="70E305D3" w:rsidR="00DC1AAF" w:rsidRPr="00CA6FF7" w:rsidRDefault="00DC1AAF" w:rsidP="00DC1AAF">
      <w:pPr>
        <w:spacing w:line="240" w:lineRule="auto"/>
        <w:jc w:val="center"/>
        <w:rPr>
          <w:rFonts w:asciiTheme="minorHAnsi" w:eastAsia="Times New Roman" w:hAnsiTheme="minorHAnsi" w:cstheme="minorHAnsi"/>
          <w:b/>
        </w:rPr>
      </w:pPr>
      <w:r w:rsidRPr="00CA6FF7">
        <w:rPr>
          <w:rFonts w:asciiTheme="minorHAnsi" w:eastAsia="Times New Roman" w:hAnsiTheme="minorHAnsi" w:cstheme="minorHAnsi"/>
          <w:b/>
        </w:rPr>
        <w:t xml:space="preserve">RESERVES OF THE </w:t>
      </w:r>
      <w:r w:rsidR="00E70CEB" w:rsidRPr="00CA6FF7">
        <w:rPr>
          <w:rFonts w:asciiTheme="minorHAnsi" w:eastAsia="Times New Roman" w:hAnsiTheme="minorHAnsi" w:cstheme="minorHAnsi"/>
          <w:b/>
        </w:rPr>
        <w:t>NORTHAMPTONSHIRE</w:t>
      </w:r>
      <w:r w:rsidRPr="00CA6FF7">
        <w:rPr>
          <w:rFonts w:asciiTheme="minorHAnsi" w:eastAsia="Times New Roman" w:hAnsiTheme="minorHAnsi" w:cstheme="minorHAnsi"/>
          <w:b/>
        </w:rPr>
        <w:t xml:space="preserve"> PFCC</w:t>
      </w:r>
    </w:p>
    <w:p w14:paraId="457AA5C7" w14:textId="25C793DB" w:rsidR="00DC1AAF" w:rsidRPr="00CA6FF7" w:rsidRDefault="00DC1AAF" w:rsidP="00DC1AAF">
      <w:pPr>
        <w:spacing w:line="240" w:lineRule="auto"/>
        <w:jc w:val="center"/>
        <w:rPr>
          <w:rFonts w:asciiTheme="minorHAnsi" w:eastAsia="Times New Roman" w:hAnsiTheme="minorHAnsi" w:cstheme="minorHAnsi"/>
          <w:b/>
        </w:rPr>
      </w:pPr>
      <w:bookmarkStart w:id="74" w:name="_Hlk188269933"/>
      <w:r w:rsidRPr="00CA6FF7">
        <w:rPr>
          <w:rFonts w:asciiTheme="minorHAnsi" w:eastAsia="Times New Roman" w:hAnsiTheme="minorHAnsi" w:cstheme="minorHAnsi"/>
          <w:b/>
        </w:rPr>
        <w:t>202</w:t>
      </w:r>
      <w:r w:rsidR="00CA6FF7" w:rsidRPr="00CA6FF7">
        <w:rPr>
          <w:rFonts w:asciiTheme="minorHAnsi" w:eastAsia="Times New Roman" w:hAnsiTheme="minorHAnsi" w:cstheme="minorHAnsi"/>
          <w:b/>
        </w:rPr>
        <w:t>5</w:t>
      </w:r>
      <w:r w:rsidRPr="00CA6FF7">
        <w:rPr>
          <w:rFonts w:asciiTheme="minorHAnsi" w:eastAsia="Times New Roman" w:hAnsiTheme="minorHAnsi" w:cstheme="minorHAnsi"/>
          <w:b/>
        </w:rPr>
        <w:t>/2</w:t>
      </w:r>
      <w:r w:rsidR="00CA6FF7" w:rsidRPr="00CA6FF7">
        <w:rPr>
          <w:rFonts w:asciiTheme="minorHAnsi" w:eastAsia="Times New Roman" w:hAnsiTheme="minorHAnsi" w:cstheme="minorHAnsi"/>
          <w:b/>
        </w:rPr>
        <w:t>6</w:t>
      </w:r>
      <w:r w:rsidRPr="00CA6FF7">
        <w:rPr>
          <w:rFonts w:asciiTheme="minorHAnsi" w:eastAsia="Times New Roman" w:hAnsiTheme="minorHAnsi" w:cstheme="minorHAnsi"/>
          <w:b/>
        </w:rPr>
        <w:t xml:space="preserve"> to 202</w:t>
      </w:r>
      <w:r w:rsidR="00CA6FF7" w:rsidRPr="00CA6FF7">
        <w:rPr>
          <w:rFonts w:asciiTheme="minorHAnsi" w:eastAsia="Times New Roman" w:hAnsiTheme="minorHAnsi" w:cstheme="minorHAnsi"/>
          <w:b/>
        </w:rPr>
        <w:t>9</w:t>
      </w:r>
      <w:r w:rsidRPr="00CA6FF7">
        <w:rPr>
          <w:rFonts w:asciiTheme="minorHAnsi" w:eastAsia="Times New Roman" w:hAnsiTheme="minorHAnsi" w:cstheme="minorHAnsi"/>
          <w:b/>
        </w:rPr>
        <w:t>/</w:t>
      </w:r>
      <w:r w:rsidR="00CA6FF7" w:rsidRPr="00CA6FF7">
        <w:rPr>
          <w:rFonts w:asciiTheme="minorHAnsi" w:eastAsia="Times New Roman" w:hAnsiTheme="minorHAnsi" w:cstheme="minorHAnsi"/>
          <w:b/>
        </w:rPr>
        <w:t>30</w:t>
      </w:r>
    </w:p>
    <w:bookmarkEnd w:id="74"/>
    <w:p w14:paraId="0D369664" w14:textId="77777777" w:rsidR="00DC1AAF" w:rsidRPr="00A81E04" w:rsidRDefault="00DC1AAF" w:rsidP="00DC1AAF">
      <w:pPr>
        <w:spacing w:line="240" w:lineRule="auto"/>
        <w:rPr>
          <w:rFonts w:asciiTheme="minorHAnsi" w:eastAsia="Times New Roman" w:hAnsiTheme="minorHAnsi" w:cstheme="minorHAnsi"/>
          <w:highlight w:val="yellow"/>
        </w:rPr>
      </w:pPr>
    </w:p>
    <w:tbl>
      <w:tblPr>
        <w:tblW w:w="14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3119"/>
        <w:gridCol w:w="2118"/>
        <w:gridCol w:w="1420"/>
        <w:gridCol w:w="3833"/>
        <w:gridCol w:w="1332"/>
        <w:gridCol w:w="990"/>
      </w:tblGrid>
      <w:tr w:rsidR="001F1FB5" w:rsidRPr="00CA6FF7" w14:paraId="614A2D2C" w14:textId="77777777" w:rsidTr="007C11AF">
        <w:trPr>
          <w:cantSplit/>
          <w:tblHeader/>
          <w:jc w:val="center"/>
        </w:trPr>
        <w:tc>
          <w:tcPr>
            <w:tcW w:w="1838" w:type="dxa"/>
          </w:tcPr>
          <w:p w14:paraId="02343EAB" w14:textId="77777777" w:rsidR="001F1FB5" w:rsidRPr="00CA6FF7" w:rsidRDefault="001F1FB5" w:rsidP="001F1FB5">
            <w:pPr>
              <w:spacing w:line="240" w:lineRule="auto"/>
              <w:jc w:val="center"/>
              <w:rPr>
                <w:rFonts w:asciiTheme="minorHAnsi" w:eastAsia="Times New Roman" w:hAnsiTheme="minorHAnsi" w:cstheme="minorHAnsi"/>
                <w:b/>
                <w:bCs/>
                <w:sz w:val="20"/>
                <w:szCs w:val="20"/>
              </w:rPr>
            </w:pPr>
          </w:p>
        </w:tc>
        <w:tc>
          <w:tcPr>
            <w:tcW w:w="3119" w:type="dxa"/>
          </w:tcPr>
          <w:p w14:paraId="2954CC69" w14:textId="77777777" w:rsidR="001F1FB5" w:rsidRPr="00CA6FF7" w:rsidRDefault="001F1FB5" w:rsidP="001F1FB5">
            <w:pPr>
              <w:spacing w:line="240" w:lineRule="auto"/>
              <w:rPr>
                <w:rFonts w:asciiTheme="minorHAnsi" w:eastAsia="Times New Roman" w:hAnsiTheme="minorHAnsi" w:cstheme="minorHAnsi"/>
                <w:b/>
                <w:bCs/>
                <w:sz w:val="20"/>
                <w:szCs w:val="20"/>
              </w:rPr>
            </w:pPr>
            <w:r w:rsidRPr="00CA6FF7">
              <w:rPr>
                <w:rFonts w:asciiTheme="minorHAnsi" w:eastAsia="Times New Roman" w:hAnsiTheme="minorHAnsi" w:cstheme="minorHAnsi"/>
                <w:b/>
                <w:bCs/>
                <w:sz w:val="20"/>
                <w:szCs w:val="20"/>
              </w:rPr>
              <w:t>Rationale</w:t>
            </w:r>
          </w:p>
        </w:tc>
        <w:tc>
          <w:tcPr>
            <w:tcW w:w="2118" w:type="dxa"/>
          </w:tcPr>
          <w:p w14:paraId="3532AB05" w14:textId="77777777" w:rsidR="001F1FB5" w:rsidRPr="00CA6FF7" w:rsidRDefault="001F1FB5" w:rsidP="001F1FB5">
            <w:pPr>
              <w:spacing w:line="240" w:lineRule="auto"/>
              <w:rPr>
                <w:rFonts w:asciiTheme="minorHAnsi" w:eastAsia="Times New Roman" w:hAnsiTheme="minorHAnsi" w:cstheme="minorHAnsi"/>
                <w:b/>
                <w:bCs/>
                <w:sz w:val="20"/>
                <w:szCs w:val="20"/>
              </w:rPr>
            </w:pPr>
            <w:r w:rsidRPr="00CA6FF7">
              <w:rPr>
                <w:rFonts w:asciiTheme="minorHAnsi" w:eastAsia="Times New Roman" w:hAnsiTheme="minorHAnsi" w:cstheme="minorHAnsi"/>
                <w:b/>
                <w:bCs/>
                <w:sz w:val="20"/>
                <w:szCs w:val="20"/>
              </w:rPr>
              <w:t>How and when used</w:t>
            </w:r>
          </w:p>
        </w:tc>
        <w:tc>
          <w:tcPr>
            <w:tcW w:w="1420" w:type="dxa"/>
          </w:tcPr>
          <w:p w14:paraId="73D7A53F" w14:textId="77777777" w:rsidR="001F1FB5" w:rsidRPr="00CA6FF7" w:rsidRDefault="001F1FB5" w:rsidP="001F1FB5">
            <w:pPr>
              <w:spacing w:line="240" w:lineRule="auto"/>
              <w:rPr>
                <w:rFonts w:asciiTheme="minorHAnsi" w:eastAsia="Times New Roman" w:hAnsiTheme="minorHAnsi" w:cstheme="minorHAnsi"/>
                <w:b/>
                <w:bCs/>
                <w:sz w:val="20"/>
                <w:szCs w:val="20"/>
              </w:rPr>
            </w:pPr>
            <w:r w:rsidRPr="00CA6FF7">
              <w:rPr>
                <w:rFonts w:asciiTheme="minorHAnsi" w:eastAsia="Times New Roman" w:hAnsiTheme="minorHAnsi" w:cstheme="minorHAnsi"/>
                <w:b/>
                <w:bCs/>
                <w:sz w:val="20"/>
                <w:szCs w:val="20"/>
              </w:rPr>
              <w:t>Level</w:t>
            </w:r>
          </w:p>
        </w:tc>
        <w:tc>
          <w:tcPr>
            <w:tcW w:w="3833" w:type="dxa"/>
          </w:tcPr>
          <w:p w14:paraId="09A36F2D" w14:textId="77777777" w:rsidR="001F1FB5" w:rsidRPr="00CA6FF7" w:rsidRDefault="001F1FB5" w:rsidP="001F1FB5">
            <w:pPr>
              <w:spacing w:line="240" w:lineRule="auto"/>
              <w:rPr>
                <w:rFonts w:asciiTheme="minorHAnsi" w:eastAsia="Times New Roman" w:hAnsiTheme="minorHAnsi" w:cstheme="minorHAnsi"/>
                <w:b/>
                <w:bCs/>
                <w:sz w:val="20"/>
                <w:szCs w:val="20"/>
              </w:rPr>
            </w:pPr>
            <w:r w:rsidRPr="00CA6FF7">
              <w:rPr>
                <w:rFonts w:asciiTheme="minorHAnsi" w:eastAsia="Times New Roman" w:hAnsiTheme="minorHAnsi" w:cstheme="minorHAnsi"/>
                <w:b/>
                <w:bCs/>
                <w:sz w:val="20"/>
                <w:szCs w:val="20"/>
              </w:rPr>
              <w:t>Risk If Reserve Not Held</w:t>
            </w:r>
          </w:p>
        </w:tc>
        <w:tc>
          <w:tcPr>
            <w:tcW w:w="1332" w:type="dxa"/>
          </w:tcPr>
          <w:p w14:paraId="30B214B6" w14:textId="0FA38CD3" w:rsidR="001F1FB5" w:rsidRPr="00CA6FF7" w:rsidRDefault="001F1FB5" w:rsidP="001F1FB5">
            <w:pPr>
              <w:spacing w:line="240" w:lineRule="auto"/>
              <w:jc w:val="center"/>
              <w:rPr>
                <w:rFonts w:asciiTheme="minorHAnsi" w:eastAsia="Times New Roman" w:hAnsiTheme="minorHAnsi" w:cstheme="minorHAnsi"/>
                <w:b/>
                <w:bCs/>
                <w:sz w:val="20"/>
                <w:szCs w:val="20"/>
              </w:rPr>
            </w:pPr>
            <w:r w:rsidRPr="00CA6FF7">
              <w:rPr>
                <w:rFonts w:asciiTheme="minorHAnsi" w:eastAsia="Times New Roman" w:hAnsiTheme="minorHAnsi" w:cstheme="minorHAnsi"/>
                <w:b/>
                <w:bCs/>
                <w:sz w:val="20"/>
                <w:szCs w:val="20"/>
              </w:rPr>
              <w:t>Management and control</w:t>
            </w:r>
          </w:p>
        </w:tc>
        <w:tc>
          <w:tcPr>
            <w:tcW w:w="990" w:type="dxa"/>
          </w:tcPr>
          <w:p w14:paraId="5DECD23C" w14:textId="19ECE8F7" w:rsidR="001F1FB5" w:rsidRPr="00CA6FF7" w:rsidRDefault="001F1FB5" w:rsidP="001F1FB5">
            <w:pPr>
              <w:spacing w:line="240" w:lineRule="auto"/>
              <w:jc w:val="center"/>
              <w:rPr>
                <w:rFonts w:asciiTheme="minorHAnsi" w:eastAsia="Times New Roman" w:hAnsiTheme="minorHAnsi" w:cstheme="minorHAnsi"/>
                <w:b/>
                <w:bCs/>
                <w:sz w:val="20"/>
                <w:szCs w:val="20"/>
              </w:rPr>
            </w:pPr>
            <w:r w:rsidRPr="00CA6FF7">
              <w:rPr>
                <w:rFonts w:asciiTheme="minorHAnsi" w:eastAsia="Times New Roman" w:hAnsiTheme="minorHAnsi" w:cstheme="minorHAnsi"/>
                <w:b/>
                <w:bCs/>
                <w:sz w:val="20"/>
                <w:szCs w:val="20"/>
              </w:rPr>
              <w:t>Review</w:t>
            </w:r>
          </w:p>
        </w:tc>
      </w:tr>
      <w:tr w:rsidR="001F1FB5" w:rsidRPr="00CA6FF7" w14:paraId="1E32431D" w14:textId="77777777" w:rsidTr="007C11AF">
        <w:trPr>
          <w:cantSplit/>
          <w:jc w:val="center"/>
        </w:trPr>
        <w:tc>
          <w:tcPr>
            <w:tcW w:w="1838" w:type="dxa"/>
          </w:tcPr>
          <w:p w14:paraId="75B3E7F8" w14:textId="77777777" w:rsidR="001F1FB5" w:rsidRPr="00CA6FF7" w:rsidRDefault="001F1FB5" w:rsidP="001F1FB5">
            <w:pPr>
              <w:spacing w:line="240" w:lineRule="auto"/>
              <w:rPr>
                <w:rFonts w:asciiTheme="minorHAnsi" w:eastAsia="Times New Roman" w:hAnsiTheme="minorHAnsi" w:cstheme="minorHAnsi"/>
                <w:b/>
                <w:bCs/>
                <w:sz w:val="20"/>
                <w:szCs w:val="20"/>
              </w:rPr>
            </w:pPr>
          </w:p>
          <w:p w14:paraId="11D70005" w14:textId="77777777" w:rsidR="001F1FB5" w:rsidRPr="00CA6FF7" w:rsidRDefault="001F1FB5" w:rsidP="001F1FB5">
            <w:pPr>
              <w:spacing w:line="240" w:lineRule="auto"/>
              <w:rPr>
                <w:rFonts w:asciiTheme="minorHAnsi" w:eastAsia="Times New Roman" w:hAnsiTheme="minorHAnsi" w:cstheme="minorHAnsi"/>
                <w:b/>
                <w:bCs/>
                <w:sz w:val="20"/>
                <w:szCs w:val="20"/>
              </w:rPr>
            </w:pPr>
            <w:r w:rsidRPr="00CA6FF7">
              <w:rPr>
                <w:rFonts w:asciiTheme="minorHAnsi" w:eastAsia="Times New Roman" w:hAnsiTheme="minorHAnsi" w:cstheme="minorHAnsi"/>
                <w:b/>
                <w:bCs/>
                <w:sz w:val="20"/>
                <w:szCs w:val="20"/>
              </w:rPr>
              <w:t>GENERAL RESERVE</w:t>
            </w:r>
          </w:p>
          <w:p w14:paraId="00287B17" w14:textId="77777777" w:rsidR="001F1FB5" w:rsidRPr="00CA6FF7" w:rsidRDefault="001F1FB5" w:rsidP="001F1FB5">
            <w:pPr>
              <w:spacing w:line="240" w:lineRule="auto"/>
              <w:rPr>
                <w:rFonts w:asciiTheme="minorHAnsi" w:eastAsia="Times New Roman" w:hAnsiTheme="minorHAnsi" w:cstheme="minorHAnsi"/>
                <w:b/>
                <w:bCs/>
                <w:sz w:val="20"/>
                <w:szCs w:val="20"/>
              </w:rPr>
            </w:pPr>
          </w:p>
          <w:p w14:paraId="2C06C878" w14:textId="77777777" w:rsidR="001F1FB5" w:rsidRPr="00CA6FF7" w:rsidRDefault="001F1FB5" w:rsidP="001F1FB5">
            <w:pPr>
              <w:spacing w:line="240" w:lineRule="auto"/>
              <w:rPr>
                <w:rFonts w:asciiTheme="minorHAnsi" w:eastAsia="Times New Roman" w:hAnsiTheme="minorHAnsi" w:cstheme="minorHAnsi"/>
                <w:b/>
                <w:bCs/>
                <w:sz w:val="20"/>
                <w:szCs w:val="20"/>
              </w:rPr>
            </w:pPr>
          </w:p>
          <w:p w14:paraId="1B457665" w14:textId="77777777" w:rsidR="001F1FB5" w:rsidRPr="00CA6FF7" w:rsidRDefault="001F1FB5" w:rsidP="001F1FB5">
            <w:pPr>
              <w:spacing w:line="240" w:lineRule="auto"/>
              <w:rPr>
                <w:rFonts w:asciiTheme="minorHAnsi" w:eastAsia="Times New Roman" w:hAnsiTheme="minorHAnsi" w:cstheme="minorHAnsi"/>
                <w:b/>
                <w:bCs/>
                <w:sz w:val="20"/>
                <w:szCs w:val="20"/>
              </w:rPr>
            </w:pPr>
          </w:p>
        </w:tc>
        <w:tc>
          <w:tcPr>
            <w:tcW w:w="3119" w:type="dxa"/>
          </w:tcPr>
          <w:p w14:paraId="52DBB78A" w14:textId="77777777" w:rsidR="001F1FB5" w:rsidRPr="00CA6FF7" w:rsidRDefault="001F1FB5" w:rsidP="001F1FB5">
            <w:pPr>
              <w:spacing w:line="240" w:lineRule="auto"/>
              <w:rPr>
                <w:rFonts w:asciiTheme="minorHAnsi" w:eastAsia="Times New Roman" w:hAnsiTheme="minorHAnsi" w:cstheme="minorHAnsi"/>
                <w:sz w:val="20"/>
                <w:szCs w:val="20"/>
              </w:rPr>
            </w:pPr>
          </w:p>
          <w:p w14:paraId="521D0179" w14:textId="226AACDC"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To maintain a degree of in-year financial flexibility</w:t>
            </w:r>
            <w:r w:rsidR="00BF4D7C">
              <w:rPr>
                <w:rFonts w:asciiTheme="minorHAnsi" w:eastAsia="Times New Roman" w:hAnsiTheme="minorHAnsi" w:cstheme="minorHAnsi"/>
                <w:sz w:val="20"/>
                <w:szCs w:val="20"/>
              </w:rPr>
              <w:t>.</w:t>
            </w:r>
          </w:p>
          <w:p w14:paraId="3DCE5EB7" w14:textId="77777777" w:rsidR="001F1FB5" w:rsidRPr="00CA6FF7" w:rsidRDefault="001F1FB5" w:rsidP="001F1FB5">
            <w:pPr>
              <w:spacing w:line="240" w:lineRule="auto"/>
              <w:rPr>
                <w:rFonts w:asciiTheme="minorHAnsi" w:eastAsia="Times New Roman" w:hAnsiTheme="minorHAnsi" w:cstheme="minorHAnsi"/>
                <w:sz w:val="20"/>
                <w:szCs w:val="20"/>
              </w:rPr>
            </w:pPr>
          </w:p>
          <w:p w14:paraId="31147191" w14:textId="717648E3"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To enable the PFCC to deal with unforeseen circumstances and incidents</w:t>
            </w:r>
            <w:r w:rsidR="00BF4D7C">
              <w:rPr>
                <w:rFonts w:asciiTheme="minorHAnsi" w:eastAsia="Times New Roman" w:hAnsiTheme="minorHAnsi" w:cstheme="minorHAnsi"/>
                <w:sz w:val="20"/>
                <w:szCs w:val="20"/>
              </w:rPr>
              <w:t>.</w:t>
            </w:r>
          </w:p>
          <w:p w14:paraId="78558E68" w14:textId="77777777" w:rsidR="001F1FB5" w:rsidRPr="00CA6FF7" w:rsidRDefault="001F1FB5" w:rsidP="001F1FB5">
            <w:pPr>
              <w:spacing w:line="240" w:lineRule="auto"/>
              <w:rPr>
                <w:rFonts w:asciiTheme="minorHAnsi" w:eastAsia="Times New Roman" w:hAnsiTheme="minorHAnsi" w:cstheme="minorHAnsi"/>
                <w:sz w:val="20"/>
                <w:szCs w:val="20"/>
              </w:rPr>
            </w:pPr>
          </w:p>
          <w:p w14:paraId="0545179B" w14:textId="61D72BEB"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To set aside sums for known and potential liabilities</w:t>
            </w:r>
            <w:r w:rsidR="00BF4D7C">
              <w:rPr>
                <w:rFonts w:asciiTheme="minorHAnsi" w:eastAsia="Times New Roman" w:hAnsiTheme="minorHAnsi" w:cstheme="minorHAnsi"/>
                <w:sz w:val="20"/>
                <w:szCs w:val="20"/>
              </w:rPr>
              <w:t>.</w:t>
            </w:r>
          </w:p>
          <w:p w14:paraId="46A75778" w14:textId="77777777" w:rsidR="001F1FB5" w:rsidRPr="00CA6FF7" w:rsidRDefault="001F1FB5" w:rsidP="001F1FB5">
            <w:pPr>
              <w:spacing w:line="240" w:lineRule="auto"/>
              <w:rPr>
                <w:rFonts w:asciiTheme="minorHAnsi" w:eastAsia="Times New Roman" w:hAnsiTheme="minorHAnsi" w:cstheme="minorHAnsi"/>
                <w:sz w:val="20"/>
                <w:szCs w:val="20"/>
              </w:rPr>
            </w:pPr>
          </w:p>
          <w:p w14:paraId="1CD37F59" w14:textId="77777777"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To support the operational contingency held at service level if demands on them exceed the contingency levels held.</w:t>
            </w:r>
          </w:p>
          <w:p w14:paraId="78C92A42" w14:textId="77777777" w:rsidR="001F1FB5" w:rsidRPr="00CA6FF7" w:rsidRDefault="001F1FB5" w:rsidP="001F1FB5">
            <w:pPr>
              <w:spacing w:line="240" w:lineRule="auto"/>
              <w:rPr>
                <w:rFonts w:asciiTheme="minorHAnsi" w:eastAsia="Times New Roman" w:hAnsiTheme="minorHAnsi" w:cstheme="minorHAnsi"/>
                <w:sz w:val="20"/>
                <w:szCs w:val="20"/>
              </w:rPr>
            </w:pPr>
          </w:p>
        </w:tc>
        <w:tc>
          <w:tcPr>
            <w:tcW w:w="2118" w:type="dxa"/>
          </w:tcPr>
          <w:p w14:paraId="58671744" w14:textId="77777777" w:rsidR="001F1FB5" w:rsidRPr="00CA6FF7" w:rsidRDefault="001F1FB5" w:rsidP="001F1FB5">
            <w:pPr>
              <w:spacing w:line="240" w:lineRule="auto"/>
              <w:rPr>
                <w:rFonts w:asciiTheme="minorHAnsi" w:eastAsia="Times New Roman" w:hAnsiTheme="minorHAnsi" w:cstheme="minorHAnsi"/>
                <w:sz w:val="20"/>
                <w:szCs w:val="20"/>
              </w:rPr>
            </w:pPr>
          </w:p>
          <w:p w14:paraId="05F47E1F" w14:textId="77777777"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 xml:space="preserve">To meet exceptional spending needs or overspends which are unable to be otherwise financed at the year end. </w:t>
            </w:r>
          </w:p>
          <w:p w14:paraId="0F972CC1" w14:textId="77777777" w:rsidR="001F1FB5" w:rsidRPr="00CA6FF7" w:rsidRDefault="001F1FB5" w:rsidP="001F1FB5">
            <w:pPr>
              <w:spacing w:line="240" w:lineRule="auto"/>
              <w:rPr>
                <w:rFonts w:asciiTheme="minorHAnsi" w:eastAsia="Times New Roman" w:hAnsiTheme="minorHAnsi" w:cstheme="minorHAnsi"/>
                <w:sz w:val="20"/>
                <w:szCs w:val="20"/>
              </w:rPr>
            </w:pPr>
          </w:p>
          <w:p w14:paraId="359C9226" w14:textId="77777777"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To smooth the profile of funding revenue over a medium term financial period</w:t>
            </w:r>
          </w:p>
          <w:p w14:paraId="529F91D2" w14:textId="77777777" w:rsidR="001F1FB5" w:rsidRPr="00CA6FF7" w:rsidRDefault="001F1FB5" w:rsidP="001F1FB5">
            <w:pPr>
              <w:spacing w:line="240" w:lineRule="auto"/>
              <w:rPr>
                <w:rFonts w:asciiTheme="minorHAnsi" w:eastAsia="Times New Roman" w:hAnsiTheme="minorHAnsi" w:cstheme="minorHAnsi"/>
                <w:sz w:val="20"/>
                <w:szCs w:val="20"/>
              </w:rPr>
            </w:pPr>
          </w:p>
          <w:p w14:paraId="4EAA1335" w14:textId="77777777"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 xml:space="preserve">To allow higher spending without raising council tax on a one-off basis </w:t>
            </w:r>
          </w:p>
          <w:p w14:paraId="6DAFC400" w14:textId="77777777" w:rsidR="001F1FB5" w:rsidRPr="00CA6FF7" w:rsidRDefault="001F1FB5" w:rsidP="001F1FB5">
            <w:pPr>
              <w:spacing w:line="240" w:lineRule="auto"/>
              <w:rPr>
                <w:rFonts w:asciiTheme="minorHAnsi" w:eastAsia="Times New Roman" w:hAnsiTheme="minorHAnsi" w:cstheme="minorHAnsi"/>
                <w:sz w:val="20"/>
                <w:szCs w:val="20"/>
              </w:rPr>
            </w:pPr>
          </w:p>
          <w:p w14:paraId="0AFF157C" w14:textId="77777777" w:rsidR="001F1FB5" w:rsidRPr="00CA6FF7" w:rsidRDefault="001F1FB5" w:rsidP="001F1FB5">
            <w:pPr>
              <w:spacing w:line="240" w:lineRule="auto"/>
              <w:rPr>
                <w:rFonts w:asciiTheme="minorHAnsi" w:eastAsia="Times New Roman" w:hAnsiTheme="minorHAnsi" w:cstheme="minorHAnsi"/>
                <w:sz w:val="20"/>
                <w:szCs w:val="20"/>
              </w:rPr>
            </w:pPr>
          </w:p>
        </w:tc>
        <w:tc>
          <w:tcPr>
            <w:tcW w:w="1420" w:type="dxa"/>
          </w:tcPr>
          <w:p w14:paraId="76E7F5A8" w14:textId="77777777" w:rsidR="001F1FB5" w:rsidRPr="00CA6FF7" w:rsidRDefault="001F1FB5" w:rsidP="001F1FB5">
            <w:pPr>
              <w:spacing w:line="240" w:lineRule="auto"/>
              <w:rPr>
                <w:rFonts w:asciiTheme="minorHAnsi" w:eastAsia="Times New Roman" w:hAnsiTheme="minorHAnsi" w:cstheme="minorHAnsi"/>
                <w:sz w:val="20"/>
                <w:szCs w:val="20"/>
              </w:rPr>
            </w:pPr>
          </w:p>
          <w:p w14:paraId="3BC83667" w14:textId="2EB722EE" w:rsidR="001F1FB5" w:rsidRPr="00CA6FF7" w:rsidRDefault="00AA14C4" w:rsidP="001F1FB5">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Maintained at least 2.5%</w:t>
            </w:r>
            <w:r w:rsidR="001F1FB5" w:rsidRPr="00CA6FF7">
              <w:rPr>
                <w:rFonts w:asciiTheme="minorHAnsi" w:eastAsia="Times New Roman" w:hAnsiTheme="minorHAnsi" w:cstheme="minorHAnsi"/>
                <w:sz w:val="20"/>
                <w:szCs w:val="20"/>
              </w:rPr>
              <w:t xml:space="preserve"> of net budget requirement</w:t>
            </w:r>
            <w:r>
              <w:rPr>
                <w:rFonts w:asciiTheme="minorHAnsi" w:eastAsia="Times New Roman" w:hAnsiTheme="minorHAnsi" w:cstheme="minorHAnsi"/>
                <w:sz w:val="20"/>
                <w:szCs w:val="20"/>
              </w:rPr>
              <w:t>.</w:t>
            </w:r>
          </w:p>
          <w:p w14:paraId="0ADBD760" w14:textId="77777777" w:rsidR="001F1FB5" w:rsidRPr="00CA6FF7" w:rsidRDefault="001F1FB5" w:rsidP="001F1FB5">
            <w:pPr>
              <w:spacing w:line="240" w:lineRule="auto"/>
              <w:rPr>
                <w:rFonts w:asciiTheme="minorHAnsi" w:eastAsia="Times New Roman" w:hAnsiTheme="minorHAnsi" w:cstheme="minorHAnsi"/>
                <w:sz w:val="20"/>
                <w:szCs w:val="20"/>
              </w:rPr>
            </w:pPr>
          </w:p>
          <w:p w14:paraId="2EE23C11" w14:textId="77777777" w:rsidR="001F1FB5" w:rsidRPr="00CA6FF7" w:rsidRDefault="001F1FB5" w:rsidP="001F1FB5">
            <w:pPr>
              <w:spacing w:line="240" w:lineRule="auto"/>
              <w:rPr>
                <w:rFonts w:asciiTheme="minorHAnsi" w:eastAsia="Times New Roman" w:hAnsiTheme="minorHAnsi" w:cstheme="minorHAnsi"/>
                <w:sz w:val="20"/>
                <w:szCs w:val="20"/>
              </w:rPr>
            </w:pPr>
          </w:p>
        </w:tc>
        <w:tc>
          <w:tcPr>
            <w:tcW w:w="3833" w:type="dxa"/>
          </w:tcPr>
          <w:p w14:paraId="33F54F5B" w14:textId="77777777" w:rsidR="001F1FB5" w:rsidRPr="00CA6FF7" w:rsidRDefault="001F1FB5" w:rsidP="001F1FB5">
            <w:pPr>
              <w:spacing w:line="240" w:lineRule="auto"/>
              <w:rPr>
                <w:rFonts w:asciiTheme="minorHAnsi" w:eastAsia="Times New Roman" w:hAnsiTheme="minorHAnsi" w:cstheme="minorHAnsi"/>
                <w:sz w:val="20"/>
                <w:szCs w:val="20"/>
              </w:rPr>
            </w:pPr>
          </w:p>
          <w:p w14:paraId="64F21CF0" w14:textId="77777777"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The general reserve is held at a level which reflects risk, uncertainties, and volatility.</w:t>
            </w:r>
          </w:p>
          <w:p w14:paraId="374D1CF2" w14:textId="77777777" w:rsidR="001F1FB5" w:rsidRPr="00CA6FF7" w:rsidRDefault="001F1FB5" w:rsidP="001F1FB5">
            <w:pPr>
              <w:spacing w:line="240" w:lineRule="auto"/>
              <w:rPr>
                <w:rFonts w:asciiTheme="minorHAnsi" w:eastAsia="Times New Roman" w:hAnsiTheme="minorHAnsi" w:cstheme="minorHAnsi"/>
                <w:sz w:val="20"/>
                <w:szCs w:val="20"/>
              </w:rPr>
            </w:pPr>
          </w:p>
          <w:p w14:paraId="245C5020" w14:textId="77777777"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 xml:space="preserve">If no reserve is held there may be insufficient resources available for major catastrophe, which could jeopardise financial status and reputation of the PFCC. </w:t>
            </w:r>
          </w:p>
          <w:p w14:paraId="047A97CC" w14:textId="77777777" w:rsidR="001F1FB5" w:rsidRPr="00CA6FF7" w:rsidRDefault="001F1FB5" w:rsidP="001F1FB5">
            <w:pPr>
              <w:spacing w:line="240" w:lineRule="auto"/>
              <w:rPr>
                <w:rFonts w:asciiTheme="minorHAnsi" w:eastAsia="Times New Roman" w:hAnsiTheme="minorHAnsi" w:cstheme="minorHAnsi"/>
                <w:sz w:val="20"/>
                <w:szCs w:val="20"/>
              </w:rPr>
            </w:pPr>
          </w:p>
          <w:p w14:paraId="6E1E1B1D" w14:textId="42C3BE02"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The PFCC would have recourse to Home Office discretionary special grant if costs exceed 1% of budget or Bel</w:t>
            </w:r>
            <w:r w:rsidR="00CC09C1" w:rsidRPr="00CA6FF7">
              <w:rPr>
                <w:rFonts w:asciiTheme="minorHAnsi" w:eastAsia="Times New Roman" w:hAnsiTheme="minorHAnsi" w:cstheme="minorHAnsi"/>
                <w:sz w:val="20"/>
                <w:szCs w:val="20"/>
              </w:rPr>
              <w:t>l</w:t>
            </w:r>
            <w:r w:rsidRPr="00CA6FF7">
              <w:rPr>
                <w:rFonts w:asciiTheme="minorHAnsi" w:eastAsia="Times New Roman" w:hAnsiTheme="minorHAnsi" w:cstheme="minorHAnsi"/>
                <w:sz w:val="20"/>
                <w:szCs w:val="20"/>
              </w:rPr>
              <w:t xml:space="preserve">win scheme for natural </w:t>
            </w:r>
            <w:r w:rsidR="00CA6FF7" w:rsidRPr="00CA6FF7">
              <w:rPr>
                <w:rFonts w:asciiTheme="minorHAnsi" w:eastAsia="Times New Roman" w:hAnsiTheme="minorHAnsi" w:cstheme="minorHAnsi"/>
                <w:sz w:val="20"/>
                <w:szCs w:val="20"/>
              </w:rPr>
              <w:t>disasters.</w:t>
            </w:r>
            <w:r w:rsidRPr="00CA6FF7">
              <w:rPr>
                <w:rFonts w:asciiTheme="minorHAnsi" w:eastAsia="Times New Roman" w:hAnsiTheme="minorHAnsi" w:cstheme="minorHAnsi"/>
                <w:sz w:val="20"/>
                <w:szCs w:val="20"/>
              </w:rPr>
              <w:t xml:space="preserve"> </w:t>
            </w:r>
          </w:p>
          <w:p w14:paraId="1403159C" w14:textId="77777777" w:rsidR="001F1FB5" w:rsidRPr="00CA6FF7" w:rsidRDefault="001F1FB5" w:rsidP="001F1FB5">
            <w:pPr>
              <w:spacing w:line="240" w:lineRule="auto"/>
              <w:rPr>
                <w:rFonts w:asciiTheme="minorHAnsi" w:eastAsia="Times New Roman" w:hAnsiTheme="minorHAnsi" w:cstheme="minorHAnsi"/>
                <w:sz w:val="20"/>
                <w:szCs w:val="20"/>
              </w:rPr>
            </w:pPr>
          </w:p>
        </w:tc>
        <w:tc>
          <w:tcPr>
            <w:tcW w:w="1332" w:type="dxa"/>
          </w:tcPr>
          <w:p w14:paraId="105E2D75" w14:textId="77777777" w:rsidR="001F1FB5" w:rsidRPr="00CA6FF7" w:rsidRDefault="001F1FB5" w:rsidP="001F1FB5">
            <w:pPr>
              <w:spacing w:line="240" w:lineRule="auto"/>
              <w:rPr>
                <w:rFonts w:asciiTheme="minorHAnsi" w:eastAsia="Times New Roman" w:hAnsiTheme="minorHAnsi" w:cstheme="minorHAnsi"/>
                <w:sz w:val="20"/>
                <w:szCs w:val="20"/>
              </w:rPr>
            </w:pPr>
          </w:p>
          <w:p w14:paraId="0D7BC51C" w14:textId="08029AD4"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 xml:space="preserve">PFCC, on advice from PFCC CFO </w:t>
            </w:r>
          </w:p>
        </w:tc>
        <w:tc>
          <w:tcPr>
            <w:tcW w:w="990" w:type="dxa"/>
          </w:tcPr>
          <w:p w14:paraId="5560AEB4" w14:textId="3AD160CF" w:rsidR="001F1FB5" w:rsidRPr="00CA6FF7" w:rsidRDefault="001F1FB5" w:rsidP="001F1FB5">
            <w:pPr>
              <w:spacing w:line="240" w:lineRule="auto"/>
              <w:rPr>
                <w:rFonts w:asciiTheme="minorHAnsi" w:eastAsia="Times New Roman" w:hAnsiTheme="minorHAnsi" w:cstheme="minorHAnsi"/>
                <w:sz w:val="20"/>
                <w:szCs w:val="20"/>
              </w:rPr>
            </w:pPr>
          </w:p>
          <w:p w14:paraId="791B0F98" w14:textId="77777777"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Annual</w:t>
            </w:r>
          </w:p>
        </w:tc>
      </w:tr>
      <w:tr w:rsidR="001F1FB5" w:rsidRPr="00CA6FF7" w14:paraId="19E17DE0" w14:textId="77777777" w:rsidTr="007C11AF">
        <w:trPr>
          <w:cantSplit/>
          <w:jc w:val="center"/>
        </w:trPr>
        <w:tc>
          <w:tcPr>
            <w:tcW w:w="1838" w:type="dxa"/>
          </w:tcPr>
          <w:p w14:paraId="094583FC" w14:textId="77777777" w:rsidR="001F1FB5" w:rsidRPr="00CA6FF7" w:rsidRDefault="001F1FB5" w:rsidP="001F1FB5">
            <w:pPr>
              <w:spacing w:line="240" w:lineRule="auto"/>
              <w:rPr>
                <w:rFonts w:asciiTheme="minorHAnsi" w:eastAsia="Times New Roman" w:hAnsiTheme="minorHAnsi" w:cstheme="minorHAnsi"/>
                <w:b/>
                <w:bCs/>
                <w:sz w:val="20"/>
                <w:szCs w:val="20"/>
              </w:rPr>
            </w:pPr>
          </w:p>
          <w:p w14:paraId="4AE502DC" w14:textId="77777777" w:rsidR="001F1FB5" w:rsidRPr="00CA6FF7" w:rsidRDefault="001F1FB5" w:rsidP="001F1FB5">
            <w:pPr>
              <w:spacing w:line="240" w:lineRule="auto"/>
              <w:rPr>
                <w:rFonts w:asciiTheme="minorHAnsi" w:eastAsia="Times New Roman" w:hAnsiTheme="minorHAnsi" w:cstheme="minorHAnsi"/>
                <w:b/>
                <w:bCs/>
                <w:sz w:val="20"/>
                <w:szCs w:val="20"/>
              </w:rPr>
            </w:pPr>
            <w:r w:rsidRPr="00CA6FF7">
              <w:rPr>
                <w:rFonts w:asciiTheme="minorHAnsi" w:eastAsia="Times New Roman" w:hAnsiTheme="minorHAnsi" w:cstheme="minorHAnsi"/>
                <w:b/>
                <w:bCs/>
                <w:sz w:val="20"/>
                <w:szCs w:val="20"/>
              </w:rPr>
              <w:t xml:space="preserve">EARMARKED - INSURANCE </w:t>
            </w:r>
          </w:p>
          <w:p w14:paraId="4EAB811F" w14:textId="77777777" w:rsidR="001F1FB5" w:rsidRPr="00CA6FF7" w:rsidRDefault="001F1FB5" w:rsidP="001F1FB5">
            <w:pPr>
              <w:spacing w:line="240" w:lineRule="auto"/>
              <w:rPr>
                <w:rFonts w:asciiTheme="minorHAnsi" w:eastAsia="Times New Roman" w:hAnsiTheme="minorHAnsi" w:cstheme="minorHAnsi"/>
                <w:b/>
                <w:bCs/>
                <w:sz w:val="20"/>
                <w:szCs w:val="20"/>
              </w:rPr>
            </w:pPr>
          </w:p>
          <w:p w14:paraId="24855BE1" w14:textId="77777777" w:rsidR="001F1FB5" w:rsidRPr="00CA6FF7" w:rsidRDefault="001F1FB5" w:rsidP="001F1FB5">
            <w:pPr>
              <w:spacing w:line="240" w:lineRule="auto"/>
              <w:rPr>
                <w:rFonts w:asciiTheme="minorHAnsi" w:eastAsia="Times New Roman" w:hAnsiTheme="minorHAnsi" w:cstheme="minorHAnsi"/>
                <w:b/>
                <w:bCs/>
                <w:sz w:val="20"/>
                <w:szCs w:val="20"/>
              </w:rPr>
            </w:pPr>
          </w:p>
        </w:tc>
        <w:tc>
          <w:tcPr>
            <w:tcW w:w="3119" w:type="dxa"/>
          </w:tcPr>
          <w:p w14:paraId="2B228382" w14:textId="77777777" w:rsidR="001F1FB5" w:rsidRPr="00CA6FF7" w:rsidRDefault="001F1FB5" w:rsidP="001F1FB5">
            <w:pPr>
              <w:spacing w:line="240" w:lineRule="auto"/>
              <w:rPr>
                <w:rFonts w:asciiTheme="minorHAnsi" w:eastAsia="Times New Roman" w:hAnsiTheme="minorHAnsi" w:cstheme="minorHAnsi"/>
                <w:sz w:val="20"/>
                <w:szCs w:val="20"/>
              </w:rPr>
            </w:pPr>
          </w:p>
          <w:p w14:paraId="661BD19D" w14:textId="77777777"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To cover the potential and contingent liabilities of uninsured risks as assessed annually by our insurers based on claims outstanding.</w:t>
            </w:r>
          </w:p>
        </w:tc>
        <w:tc>
          <w:tcPr>
            <w:tcW w:w="2118" w:type="dxa"/>
          </w:tcPr>
          <w:p w14:paraId="54456780" w14:textId="77777777" w:rsidR="001F1FB5" w:rsidRPr="00CA6FF7" w:rsidRDefault="001F1FB5" w:rsidP="001F1FB5">
            <w:pPr>
              <w:spacing w:line="240" w:lineRule="auto"/>
              <w:rPr>
                <w:rFonts w:asciiTheme="minorHAnsi" w:eastAsia="Times New Roman" w:hAnsiTheme="minorHAnsi" w:cstheme="minorHAnsi"/>
                <w:sz w:val="20"/>
                <w:szCs w:val="20"/>
              </w:rPr>
            </w:pPr>
          </w:p>
          <w:p w14:paraId="05A06FD2" w14:textId="03A24CB3" w:rsidR="001F1FB5" w:rsidRPr="00CA6FF7" w:rsidRDefault="007C11AF" w:rsidP="001F1FB5">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The b</w:t>
            </w:r>
            <w:r w:rsidR="001F1FB5" w:rsidRPr="00CA6FF7">
              <w:rPr>
                <w:rFonts w:asciiTheme="minorHAnsi" w:eastAsia="Times New Roman" w:hAnsiTheme="minorHAnsi" w:cstheme="minorHAnsi"/>
                <w:sz w:val="20"/>
                <w:szCs w:val="20"/>
              </w:rPr>
              <w:t>alance will increase or reduce annually dependent on the PFCC’s outstanding claims record.</w:t>
            </w:r>
          </w:p>
          <w:p w14:paraId="76EE885A" w14:textId="77777777" w:rsidR="001F1FB5" w:rsidRPr="00CA6FF7" w:rsidRDefault="001F1FB5" w:rsidP="001F1FB5">
            <w:pPr>
              <w:spacing w:line="240" w:lineRule="auto"/>
              <w:rPr>
                <w:rFonts w:asciiTheme="minorHAnsi" w:eastAsia="Times New Roman" w:hAnsiTheme="minorHAnsi" w:cstheme="minorHAnsi"/>
                <w:sz w:val="20"/>
                <w:szCs w:val="20"/>
              </w:rPr>
            </w:pPr>
          </w:p>
          <w:p w14:paraId="00ADC1EF" w14:textId="26B94EAA" w:rsidR="00CC09C1"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Reviewed</w:t>
            </w:r>
            <w:r w:rsidR="00CC09C1" w:rsidRPr="00CA6FF7">
              <w:rPr>
                <w:rFonts w:asciiTheme="minorHAnsi" w:eastAsia="Times New Roman" w:hAnsiTheme="minorHAnsi" w:cstheme="minorHAnsi"/>
                <w:sz w:val="20"/>
                <w:szCs w:val="20"/>
              </w:rPr>
              <w:t>/</w:t>
            </w:r>
            <w:r w:rsidRPr="00CA6FF7">
              <w:rPr>
                <w:rFonts w:asciiTheme="minorHAnsi" w:eastAsia="Times New Roman" w:hAnsiTheme="minorHAnsi" w:cstheme="minorHAnsi"/>
                <w:sz w:val="20"/>
                <w:szCs w:val="20"/>
              </w:rPr>
              <w:t>scrutinised by the Joint Finance team and by legal and claims handling experts</w:t>
            </w:r>
            <w:r w:rsidR="00CA6FF7" w:rsidRPr="00CA6FF7">
              <w:rPr>
                <w:rFonts w:asciiTheme="minorHAnsi" w:eastAsia="Times New Roman" w:hAnsiTheme="minorHAnsi" w:cstheme="minorHAnsi"/>
                <w:sz w:val="20"/>
                <w:szCs w:val="20"/>
              </w:rPr>
              <w:t>; the a</w:t>
            </w:r>
            <w:r w:rsidRPr="00CA6FF7">
              <w:rPr>
                <w:rFonts w:asciiTheme="minorHAnsi" w:eastAsia="Times New Roman" w:hAnsiTheme="minorHAnsi" w:cstheme="minorHAnsi"/>
                <w:sz w:val="20"/>
                <w:szCs w:val="20"/>
              </w:rPr>
              <w:t>nnual actuarial assessment determines the level of the reserve.</w:t>
            </w:r>
          </w:p>
          <w:p w14:paraId="75832BB9" w14:textId="67248FCE" w:rsidR="00CC09C1" w:rsidRPr="00CA6FF7" w:rsidRDefault="00CC09C1" w:rsidP="001F1FB5">
            <w:pPr>
              <w:spacing w:line="240" w:lineRule="auto"/>
              <w:rPr>
                <w:rFonts w:asciiTheme="minorHAnsi" w:eastAsia="Times New Roman" w:hAnsiTheme="minorHAnsi" w:cstheme="minorHAnsi"/>
                <w:sz w:val="20"/>
                <w:szCs w:val="20"/>
              </w:rPr>
            </w:pPr>
          </w:p>
        </w:tc>
        <w:tc>
          <w:tcPr>
            <w:tcW w:w="1420" w:type="dxa"/>
          </w:tcPr>
          <w:p w14:paraId="443154E3" w14:textId="77777777" w:rsidR="001F1FB5" w:rsidRPr="00CA6FF7" w:rsidRDefault="001F1FB5" w:rsidP="001F1FB5">
            <w:pPr>
              <w:spacing w:line="240" w:lineRule="auto"/>
              <w:rPr>
                <w:rFonts w:asciiTheme="minorHAnsi" w:eastAsia="Times New Roman" w:hAnsiTheme="minorHAnsi" w:cstheme="minorHAnsi"/>
                <w:sz w:val="20"/>
                <w:szCs w:val="20"/>
              </w:rPr>
            </w:pPr>
          </w:p>
          <w:p w14:paraId="33926BE5" w14:textId="5FB20966" w:rsidR="001F1FB5" w:rsidRPr="00CA6FF7" w:rsidRDefault="007C11AF" w:rsidP="001F1FB5">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Variable</w:t>
            </w:r>
            <w:r w:rsidR="001F1FB5" w:rsidRPr="00CA6FF7">
              <w:rPr>
                <w:rFonts w:asciiTheme="minorHAnsi" w:eastAsia="Times New Roman" w:hAnsiTheme="minorHAnsi" w:cstheme="minorHAnsi"/>
                <w:sz w:val="20"/>
                <w:szCs w:val="20"/>
              </w:rPr>
              <w:t xml:space="preserve"> according to annual risk assessment</w:t>
            </w:r>
          </w:p>
          <w:p w14:paraId="13420B75" w14:textId="77777777" w:rsidR="001F1FB5" w:rsidRPr="00CA6FF7" w:rsidRDefault="001F1FB5" w:rsidP="001F1FB5">
            <w:pPr>
              <w:spacing w:line="240" w:lineRule="auto"/>
              <w:rPr>
                <w:rFonts w:asciiTheme="minorHAnsi" w:eastAsia="Times New Roman" w:hAnsiTheme="minorHAnsi" w:cstheme="minorHAnsi"/>
                <w:sz w:val="20"/>
                <w:szCs w:val="20"/>
              </w:rPr>
            </w:pPr>
          </w:p>
          <w:p w14:paraId="67BE441E" w14:textId="77777777" w:rsidR="001F1FB5" w:rsidRPr="00CA6FF7" w:rsidRDefault="001F1FB5" w:rsidP="001F1FB5">
            <w:pPr>
              <w:spacing w:line="240" w:lineRule="auto"/>
              <w:rPr>
                <w:rFonts w:asciiTheme="minorHAnsi" w:eastAsia="Times New Roman" w:hAnsiTheme="minorHAnsi" w:cstheme="minorHAnsi"/>
                <w:sz w:val="20"/>
                <w:szCs w:val="20"/>
              </w:rPr>
            </w:pPr>
          </w:p>
        </w:tc>
        <w:tc>
          <w:tcPr>
            <w:tcW w:w="3833" w:type="dxa"/>
          </w:tcPr>
          <w:p w14:paraId="6E37B33D" w14:textId="77777777" w:rsidR="001F1FB5" w:rsidRPr="00CA6FF7" w:rsidRDefault="001F1FB5" w:rsidP="001F1FB5">
            <w:pPr>
              <w:spacing w:line="240" w:lineRule="auto"/>
              <w:rPr>
                <w:rFonts w:asciiTheme="minorHAnsi" w:eastAsia="Times New Roman" w:hAnsiTheme="minorHAnsi" w:cstheme="minorHAnsi"/>
                <w:sz w:val="20"/>
                <w:szCs w:val="20"/>
              </w:rPr>
            </w:pPr>
          </w:p>
          <w:p w14:paraId="69E415A2" w14:textId="77777777"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The reserve is held to cover potential uninsured risks.</w:t>
            </w:r>
          </w:p>
          <w:p w14:paraId="6E1EC609" w14:textId="77777777" w:rsidR="001F1FB5" w:rsidRPr="00CA6FF7" w:rsidRDefault="001F1FB5" w:rsidP="001F1FB5">
            <w:pPr>
              <w:spacing w:line="240" w:lineRule="auto"/>
              <w:rPr>
                <w:rFonts w:asciiTheme="minorHAnsi" w:eastAsia="Times New Roman" w:hAnsiTheme="minorHAnsi" w:cstheme="minorHAnsi"/>
                <w:sz w:val="20"/>
                <w:szCs w:val="20"/>
              </w:rPr>
            </w:pPr>
          </w:p>
          <w:p w14:paraId="2DA02D79" w14:textId="77777777"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 xml:space="preserve">If no reserve is held the PFCC is potentially open to significant excess and claims payments in year beyond available revenue budgets. </w:t>
            </w:r>
          </w:p>
          <w:p w14:paraId="74FD4B81" w14:textId="77777777" w:rsidR="001F1FB5" w:rsidRPr="00CA6FF7" w:rsidRDefault="001F1FB5" w:rsidP="001F1FB5">
            <w:pPr>
              <w:spacing w:line="240" w:lineRule="auto"/>
              <w:rPr>
                <w:rFonts w:asciiTheme="minorHAnsi" w:eastAsia="Times New Roman" w:hAnsiTheme="minorHAnsi" w:cstheme="minorHAnsi"/>
                <w:sz w:val="20"/>
                <w:szCs w:val="20"/>
              </w:rPr>
            </w:pPr>
          </w:p>
          <w:p w14:paraId="344677D2" w14:textId="77777777"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Assessment by insurers needs to be realistic not unduly pessimistic.</w:t>
            </w:r>
          </w:p>
          <w:p w14:paraId="0E6F72C2" w14:textId="77777777" w:rsidR="001F1FB5" w:rsidRPr="00CA6FF7" w:rsidRDefault="001F1FB5" w:rsidP="001F1FB5">
            <w:pPr>
              <w:spacing w:line="240" w:lineRule="auto"/>
              <w:rPr>
                <w:rFonts w:asciiTheme="minorHAnsi" w:eastAsia="Times New Roman" w:hAnsiTheme="minorHAnsi" w:cstheme="minorHAnsi"/>
                <w:sz w:val="20"/>
                <w:szCs w:val="20"/>
              </w:rPr>
            </w:pPr>
          </w:p>
        </w:tc>
        <w:tc>
          <w:tcPr>
            <w:tcW w:w="1332" w:type="dxa"/>
          </w:tcPr>
          <w:p w14:paraId="66FA68C4" w14:textId="77777777" w:rsidR="001F1FB5" w:rsidRPr="00CA6FF7" w:rsidRDefault="001F1FB5" w:rsidP="001F1FB5">
            <w:pPr>
              <w:spacing w:line="240" w:lineRule="auto"/>
              <w:rPr>
                <w:rFonts w:asciiTheme="minorHAnsi" w:eastAsia="Times New Roman" w:hAnsiTheme="minorHAnsi" w:cstheme="minorHAnsi"/>
                <w:sz w:val="20"/>
                <w:szCs w:val="20"/>
              </w:rPr>
            </w:pPr>
          </w:p>
          <w:p w14:paraId="66C56EDE" w14:textId="2F92186C"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PFCC, on advice from PFCC CFO</w:t>
            </w:r>
          </w:p>
        </w:tc>
        <w:tc>
          <w:tcPr>
            <w:tcW w:w="990" w:type="dxa"/>
          </w:tcPr>
          <w:p w14:paraId="64922A2E" w14:textId="604589D4" w:rsidR="001F1FB5" w:rsidRPr="00CA6FF7" w:rsidRDefault="001F1FB5" w:rsidP="001F1FB5">
            <w:pPr>
              <w:spacing w:line="240" w:lineRule="auto"/>
              <w:rPr>
                <w:rFonts w:asciiTheme="minorHAnsi" w:eastAsia="Times New Roman" w:hAnsiTheme="minorHAnsi" w:cstheme="minorHAnsi"/>
                <w:sz w:val="20"/>
                <w:szCs w:val="20"/>
              </w:rPr>
            </w:pPr>
          </w:p>
          <w:p w14:paraId="56691F45" w14:textId="77777777" w:rsidR="001F1FB5" w:rsidRPr="00CA6FF7" w:rsidRDefault="001F1FB5" w:rsidP="001F1FB5">
            <w:pPr>
              <w:spacing w:line="240" w:lineRule="auto"/>
              <w:rPr>
                <w:rFonts w:asciiTheme="minorHAnsi" w:eastAsia="Times New Roman" w:hAnsiTheme="minorHAnsi" w:cstheme="minorHAnsi"/>
                <w:sz w:val="20"/>
                <w:szCs w:val="20"/>
              </w:rPr>
            </w:pPr>
            <w:r w:rsidRPr="00CA6FF7">
              <w:rPr>
                <w:rFonts w:asciiTheme="minorHAnsi" w:eastAsia="Times New Roman" w:hAnsiTheme="minorHAnsi" w:cstheme="minorHAnsi"/>
                <w:sz w:val="20"/>
                <w:szCs w:val="20"/>
              </w:rPr>
              <w:t>Annual</w:t>
            </w:r>
          </w:p>
        </w:tc>
      </w:tr>
      <w:tr w:rsidR="001F1FB5" w:rsidRPr="007C11AF" w14:paraId="24430934" w14:textId="77777777" w:rsidTr="007C11AF">
        <w:trPr>
          <w:cantSplit/>
          <w:jc w:val="center"/>
        </w:trPr>
        <w:tc>
          <w:tcPr>
            <w:tcW w:w="1838" w:type="dxa"/>
          </w:tcPr>
          <w:p w14:paraId="7AA6ABC0" w14:textId="77777777" w:rsidR="001F1FB5" w:rsidRPr="007C11AF" w:rsidRDefault="001F1FB5" w:rsidP="001F1FB5">
            <w:pPr>
              <w:spacing w:line="240" w:lineRule="auto"/>
              <w:rPr>
                <w:rFonts w:asciiTheme="minorHAnsi" w:eastAsia="Times New Roman" w:hAnsiTheme="minorHAnsi" w:cstheme="minorHAnsi"/>
                <w:b/>
                <w:bCs/>
                <w:sz w:val="20"/>
                <w:szCs w:val="20"/>
              </w:rPr>
            </w:pPr>
          </w:p>
          <w:p w14:paraId="6717D97C" w14:textId="77777777" w:rsidR="001F1FB5" w:rsidRPr="007C11AF" w:rsidRDefault="001F1FB5" w:rsidP="001F1FB5">
            <w:pPr>
              <w:spacing w:line="240" w:lineRule="auto"/>
              <w:rPr>
                <w:rFonts w:asciiTheme="minorHAnsi" w:eastAsia="Times New Roman" w:hAnsiTheme="minorHAnsi" w:cstheme="minorHAnsi"/>
                <w:b/>
                <w:bCs/>
                <w:sz w:val="20"/>
                <w:szCs w:val="20"/>
              </w:rPr>
            </w:pPr>
            <w:r w:rsidRPr="007C11AF">
              <w:rPr>
                <w:rFonts w:asciiTheme="minorHAnsi" w:eastAsia="Times New Roman" w:hAnsiTheme="minorHAnsi" w:cstheme="minorHAnsi"/>
                <w:b/>
                <w:bCs/>
                <w:sz w:val="20"/>
                <w:szCs w:val="20"/>
              </w:rPr>
              <w:t>EARMARKED - OPERATIONAL EQUIPMENT</w:t>
            </w:r>
          </w:p>
        </w:tc>
        <w:tc>
          <w:tcPr>
            <w:tcW w:w="3119" w:type="dxa"/>
          </w:tcPr>
          <w:p w14:paraId="18FF6A40" w14:textId="77777777" w:rsidR="001F1FB5" w:rsidRPr="007C11AF" w:rsidRDefault="001F1FB5" w:rsidP="001F1FB5">
            <w:pPr>
              <w:spacing w:line="240" w:lineRule="auto"/>
              <w:rPr>
                <w:rFonts w:asciiTheme="minorHAnsi" w:eastAsia="Times New Roman" w:hAnsiTheme="minorHAnsi" w:cstheme="minorHAnsi"/>
                <w:sz w:val="20"/>
                <w:szCs w:val="20"/>
              </w:rPr>
            </w:pPr>
          </w:p>
          <w:p w14:paraId="199BEAED" w14:textId="77777777"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To smooth the impact of operational equipment purchases on the revenue budget</w:t>
            </w:r>
          </w:p>
        </w:tc>
        <w:tc>
          <w:tcPr>
            <w:tcW w:w="2118" w:type="dxa"/>
          </w:tcPr>
          <w:p w14:paraId="0D903921" w14:textId="77777777" w:rsidR="001F1FB5" w:rsidRPr="007C11AF" w:rsidRDefault="001F1FB5" w:rsidP="001F1FB5">
            <w:pPr>
              <w:spacing w:line="240" w:lineRule="auto"/>
              <w:rPr>
                <w:rFonts w:asciiTheme="minorHAnsi" w:eastAsia="Times New Roman" w:hAnsiTheme="minorHAnsi" w:cstheme="minorHAnsi"/>
                <w:sz w:val="20"/>
                <w:szCs w:val="20"/>
              </w:rPr>
            </w:pPr>
          </w:p>
          <w:p w14:paraId="70EC4ED9" w14:textId="77777777"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To access the funds a costed request has to be provided.</w:t>
            </w:r>
          </w:p>
        </w:tc>
        <w:tc>
          <w:tcPr>
            <w:tcW w:w="1420" w:type="dxa"/>
          </w:tcPr>
          <w:p w14:paraId="3499CCF3" w14:textId="77777777" w:rsidR="001F1FB5" w:rsidRPr="007C11AF" w:rsidRDefault="001F1FB5" w:rsidP="001F1FB5">
            <w:pPr>
              <w:spacing w:line="240" w:lineRule="auto"/>
              <w:rPr>
                <w:rFonts w:asciiTheme="minorHAnsi" w:eastAsia="Times New Roman" w:hAnsiTheme="minorHAnsi" w:cstheme="minorHAnsi"/>
                <w:sz w:val="20"/>
                <w:szCs w:val="20"/>
              </w:rPr>
            </w:pPr>
          </w:p>
          <w:p w14:paraId="0B585255" w14:textId="1FFD88E5" w:rsidR="001F1FB5" w:rsidRPr="007C11AF" w:rsidRDefault="007C11AF" w:rsidP="001F1FB5">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Variable</w:t>
            </w:r>
            <w:r w:rsidR="001F1FB5" w:rsidRPr="007C11AF">
              <w:rPr>
                <w:rFonts w:asciiTheme="minorHAnsi" w:eastAsia="Times New Roman" w:hAnsiTheme="minorHAnsi" w:cstheme="minorHAnsi"/>
                <w:sz w:val="20"/>
                <w:szCs w:val="20"/>
              </w:rPr>
              <w:t xml:space="preserve"> according to usage and annual risk assessment.</w:t>
            </w:r>
          </w:p>
          <w:p w14:paraId="565B485D" w14:textId="77777777" w:rsidR="001F1FB5" w:rsidRPr="007C11AF" w:rsidRDefault="001F1FB5" w:rsidP="001F1FB5">
            <w:pPr>
              <w:spacing w:line="240" w:lineRule="auto"/>
              <w:rPr>
                <w:rFonts w:asciiTheme="minorHAnsi" w:eastAsia="Times New Roman" w:hAnsiTheme="minorHAnsi" w:cstheme="minorHAnsi"/>
                <w:sz w:val="20"/>
                <w:szCs w:val="20"/>
              </w:rPr>
            </w:pPr>
          </w:p>
        </w:tc>
        <w:tc>
          <w:tcPr>
            <w:tcW w:w="3833" w:type="dxa"/>
          </w:tcPr>
          <w:p w14:paraId="114C0D4C" w14:textId="77777777" w:rsidR="001F1FB5" w:rsidRPr="007C11AF" w:rsidRDefault="001F1FB5" w:rsidP="001F1FB5">
            <w:pPr>
              <w:spacing w:line="240" w:lineRule="auto"/>
              <w:rPr>
                <w:rFonts w:asciiTheme="minorHAnsi" w:eastAsia="Times New Roman" w:hAnsiTheme="minorHAnsi" w:cstheme="minorHAnsi"/>
                <w:sz w:val="20"/>
                <w:szCs w:val="20"/>
              </w:rPr>
            </w:pPr>
          </w:p>
          <w:p w14:paraId="2DA6E1FF" w14:textId="77777777"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The reserve is held to smooth the impact of operational equipment replacement rather than have significant variations in the budget.</w:t>
            </w:r>
          </w:p>
          <w:p w14:paraId="7638AEC1" w14:textId="77777777" w:rsidR="001F1FB5" w:rsidRPr="007C11AF" w:rsidRDefault="001F1FB5" w:rsidP="001F1FB5">
            <w:pPr>
              <w:spacing w:line="240" w:lineRule="auto"/>
              <w:rPr>
                <w:rFonts w:asciiTheme="minorHAnsi" w:eastAsia="Times New Roman" w:hAnsiTheme="minorHAnsi" w:cstheme="minorHAnsi"/>
                <w:sz w:val="20"/>
                <w:szCs w:val="20"/>
              </w:rPr>
            </w:pPr>
          </w:p>
          <w:p w14:paraId="65AF0DC1" w14:textId="77777777"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If no reserve is held, the risk is that equipment would have to be replaced from the current year’s budget or capital programme.</w:t>
            </w:r>
          </w:p>
          <w:p w14:paraId="2B615C7E" w14:textId="15547F94" w:rsidR="00CC09C1" w:rsidRPr="007C11AF" w:rsidRDefault="00CC09C1" w:rsidP="001F1FB5">
            <w:pPr>
              <w:spacing w:line="240" w:lineRule="auto"/>
              <w:rPr>
                <w:rFonts w:asciiTheme="minorHAnsi" w:eastAsia="Times New Roman" w:hAnsiTheme="minorHAnsi" w:cstheme="minorHAnsi"/>
                <w:sz w:val="20"/>
                <w:szCs w:val="20"/>
              </w:rPr>
            </w:pPr>
          </w:p>
        </w:tc>
        <w:tc>
          <w:tcPr>
            <w:tcW w:w="1332" w:type="dxa"/>
          </w:tcPr>
          <w:p w14:paraId="12BFAC52" w14:textId="77777777" w:rsidR="001F1FB5" w:rsidRPr="007C11AF" w:rsidRDefault="001F1FB5" w:rsidP="001F1FB5">
            <w:pPr>
              <w:spacing w:line="240" w:lineRule="auto"/>
              <w:rPr>
                <w:rFonts w:asciiTheme="minorHAnsi" w:eastAsia="Times New Roman" w:hAnsiTheme="minorHAnsi" w:cstheme="minorHAnsi"/>
                <w:sz w:val="20"/>
                <w:szCs w:val="20"/>
              </w:rPr>
            </w:pPr>
          </w:p>
          <w:p w14:paraId="5B5C70C0" w14:textId="5E428B65"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PFCC, on advice from PFCC CFO</w:t>
            </w:r>
          </w:p>
        </w:tc>
        <w:tc>
          <w:tcPr>
            <w:tcW w:w="990" w:type="dxa"/>
          </w:tcPr>
          <w:p w14:paraId="51261BEC" w14:textId="3F3B2738" w:rsidR="001F1FB5" w:rsidRPr="007C11AF" w:rsidRDefault="001F1FB5" w:rsidP="001F1FB5">
            <w:pPr>
              <w:spacing w:line="240" w:lineRule="auto"/>
              <w:rPr>
                <w:rFonts w:asciiTheme="minorHAnsi" w:eastAsia="Times New Roman" w:hAnsiTheme="minorHAnsi" w:cstheme="minorHAnsi"/>
                <w:sz w:val="20"/>
                <w:szCs w:val="20"/>
              </w:rPr>
            </w:pPr>
          </w:p>
          <w:p w14:paraId="3E0A17E2" w14:textId="77777777"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Annual</w:t>
            </w:r>
          </w:p>
        </w:tc>
      </w:tr>
      <w:tr w:rsidR="001F1FB5" w:rsidRPr="00A81E04" w14:paraId="45155CA8" w14:textId="77777777" w:rsidTr="007C11AF">
        <w:trPr>
          <w:cantSplit/>
          <w:jc w:val="center"/>
        </w:trPr>
        <w:tc>
          <w:tcPr>
            <w:tcW w:w="1838" w:type="dxa"/>
          </w:tcPr>
          <w:p w14:paraId="3AC4CA09" w14:textId="77777777" w:rsidR="001F1FB5" w:rsidRPr="00AA14C4" w:rsidRDefault="001F1FB5" w:rsidP="001F1FB5">
            <w:pPr>
              <w:spacing w:line="240" w:lineRule="auto"/>
              <w:rPr>
                <w:rFonts w:asciiTheme="minorHAnsi" w:eastAsia="Times New Roman" w:hAnsiTheme="minorHAnsi" w:cstheme="minorHAnsi"/>
                <w:b/>
                <w:bCs/>
                <w:sz w:val="20"/>
                <w:szCs w:val="20"/>
              </w:rPr>
            </w:pPr>
          </w:p>
          <w:p w14:paraId="2A879350" w14:textId="10A3A975" w:rsidR="001F1FB5" w:rsidRPr="00AA14C4" w:rsidRDefault="001F1FB5" w:rsidP="001F1FB5">
            <w:pPr>
              <w:spacing w:line="240" w:lineRule="auto"/>
              <w:rPr>
                <w:rFonts w:asciiTheme="minorHAnsi" w:eastAsia="Times New Roman" w:hAnsiTheme="minorHAnsi" w:cstheme="minorHAnsi"/>
                <w:b/>
                <w:bCs/>
                <w:sz w:val="20"/>
                <w:szCs w:val="20"/>
              </w:rPr>
            </w:pPr>
            <w:r w:rsidRPr="00AA14C4">
              <w:rPr>
                <w:rFonts w:asciiTheme="minorHAnsi" w:eastAsia="Times New Roman" w:hAnsiTheme="minorHAnsi" w:cstheme="minorHAnsi"/>
                <w:b/>
                <w:bCs/>
                <w:sz w:val="20"/>
                <w:szCs w:val="20"/>
              </w:rPr>
              <w:t>EARMARKED</w:t>
            </w:r>
            <w:r w:rsidR="00655DA1" w:rsidRPr="00AA14C4">
              <w:rPr>
                <w:rFonts w:asciiTheme="minorHAnsi" w:eastAsia="Times New Roman" w:hAnsiTheme="minorHAnsi" w:cstheme="minorHAnsi"/>
                <w:b/>
                <w:bCs/>
                <w:sz w:val="20"/>
                <w:szCs w:val="20"/>
              </w:rPr>
              <w:t xml:space="preserve"> </w:t>
            </w:r>
            <w:r w:rsidR="00AA14C4" w:rsidRPr="00AA14C4">
              <w:rPr>
                <w:rFonts w:asciiTheme="minorHAnsi" w:eastAsia="Times New Roman" w:hAnsiTheme="minorHAnsi" w:cstheme="minorHAnsi"/>
                <w:b/>
                <w:bCs/>
                <w:sz w:val="20"/>
                <w:szCs w:val="20"/>
              </w:rPr>
              <w:t>-</w:t>
            </w:r>
            <w:r w:rsidRPr="00AA14C4">
              <w:rPr>
                <w:rFonts w:asciiTheme="minorHAnsi" w:eastAsia="Times New Roman" w:hAnsiTheme="minorHAnsi" w:cstheme="minorHAnsi"/>
                <w:b/>
                <w:bCs/>
                <w:sz w:val="20"/>
                <w:szCs w:val="20"/>
              </w:rPr>
              <w:t xml:space="preserve"> CARRY FORWARDS</w:t>
            </w:r>
          </w:p>
        </w:tc>
        <w:tc>
          <w:tcPr>
            <w:tcW w:w="3119" w:type="dxa"/>
          </w:tcPr>
          <w:p w14:paraId="2E2B27F3" w14:textId="77777777" w:rsidR="001F1FB5" w:rsidRPr="00AA14C4" w:rsidRDefault="001F1FB5" w:rsidP="001F1FB5">
            <w:pPr>
              <w:spacing w:line="240" w:lineRule="auto"/>
              <w:rPr>
                <w:rFonts w:asciiTheme="minorHAnsi" w:eastAsia="Times New Roman" w:hAnsiTheme="minorHAnsi" w:cstheme="minorHAnsi"/>
                <w:sz w:val="20"/>
                <w:szCs w:val="20"/>
              </w:rPr>
            </w:pPr>
          </w:p>
          <w:p w14:paraId="698B053A" w14:textId="77777777" w:rsidR="001F1FB5" w:rsidRPr="00AA14C4" w:rsidRDefault="001F1FB5" w:rsidP="001F1FB5">
            <w:pPr>
              <w:spacing w:line="240" w:lineRule="auto"/>
              <w:rPr>
                <w:rFonts w:asciiTheme="minorHAnsi" w:eastAsia="Times New Roman" w:hAnsiTheme="minorHAnsi" w:cstheme="minorHAnsi"/>
                <w:sz w:val="20"/>
                <w:szCs w:val="20"/>
              </w:rPr>
            </w:pPr>
            <w:r w:rsidRPr="00AA14C4">
              <w:rPr>
                <w:rFonts w:asciiTheme="minorHAnsi" w:eastAsia="Times New Roman" w:hAnsiTheme="minorHAnsi" w:cstheme="minorHAnsi"/>
                <w:sz w:val="20"/>
                <w:szCs w:val="20"/>
              </w:rPr>
              <w:t>To fund specific expenditure requested by the force from previous year underspends or earmarked funding received.</w:t>
            </w:r>
          </w:p>
          <w:p w14:paraId="7E3D8047" w14:textId="7CE49DEA" w:rsidR="00CC09C1" w:rsidRPr="00AA14C4" w:rsidRDefault="00CC09C1" w:rsidP="001F1FB5">
            <w:pPr>
              <w:spacing w:line="240" w:lineRule="auto"/>
              <w:rPr>
                <w:rFonts w:asciiTheme="minorHAnsi" w:eastAsia="Times New Roman" w:hAnsiTheme="minorHAnsi" w:cstheme="minorHAnsi"/>
                <w:sz w:val="20"/>
                <w:szCs w:val="20"/>
              </w:rPr>
            </w:pPr>
          </w:p>
        </w:tc>
        <w:tc>
          <w:tcPr>
            <w:tcW w:w="2118" w:type="dxa"/>
          </w:tcPr>
          <w:p w14:paraId="186F1DB4" w14:textId="77777777" w:rsidR="001F1FB5" w:rsidRPr="00AA14C4" w:rsidRDefault="001F1FB5" w:rsidP="001F1FB5">
            <w:pPr>
              <w:spacing w:line="240" w:lineRule="auto"/>
              <w:rPr>
                <w:rFonts w:asciiTheme="minorHAnsi" w:eastAsia="Times New Roman" w:hAnsiTheme="minorHAnsi" w:cstheme="minorHAnsi"/>
                <w:sz w:val="20"/>
                <w:szCs w:val="20"/>
              </w:rPr>
            </w:pPr>
          </w:p>
          <w:p w14:paraId="79D34A3E" w14:textId="77777777" w:rsidR="001F1FB5" w:rsidRPr="00AA14C4" w:rsidRDefault="001F1FB5" w:rsidP="001F1FB5">
            <w:pPr>
              <w:spacing w:line="240" w:lineRule="auto"/>
              <w:rPr>
                <w:rFonts w:asciiTheme="minorHAnsi" w:eastAsia="Times New Roman" w:hAnsiTheme="minorHAnsi" w:cstheme="minorHAnsi"/>
                <w:sz w:val="20"/>
                <w:szCs w:val="20"/>
              </w:rPr>
            </w:pPr>
            <w:r w:rsidRPr="00AA14C4">
              <w:rPr>
                <w:rFonts w:asciiTheme="minorHAnsi" w:eastAsia="Times New Roman" w:hAnsiTheme="minorHAnsi" w:cstheme="minorHAnsi"/>
                <w:sz w:val="20"/>
                <w:szCs w:val="20"/>
              </w:rPr>
              <w:t>Business cases provided as part of the outturn report or specific funding conditions.</w:t>
            </w:r>
          </w:p>
        </w:tc>
        <w:tc>
          <w:tcPr>
            <w:tcW w:w="1420" w:type="dxa"/>
          </w:tcPr>
          <w:p w14:paraId="39D43425" w14:textId="77777777" w:rsidR="001F1FB5" w:rsidRPr="00AA14C4" w:rsidRDefault="001F1FB5" w:rsidP="001F1FB5">
            <w:pPr>
              <w:spacing w:line="240" w:lineRule="auto"/>
              <w:rPr>
                <w:rFonts w:asciiTheme="minorHAnsi" w:eastAsia="Times New Roman" w:hAnsiTheme="minorHAnsi" w:cstheme="minorHAnsi"/>
                <w:sz w:val="20"/>
                <w:szCs w:val="20"/>
              </w:rPr>
            </w:pPr>
          </w:p>
          <w:p w14:paraId="1CE14097" w14:textId="65D534C4" w:rsidR="001F1FB5" w:rsidRPr="00AA14C4" w:rsidRDefault="007C11AF" w:rsidP="001F1FB5">
            <w:pPr>
              <w:spacing w:line="240" w:lineRule="auto"/>
              <w:rPr>
                <w:rFonts w:asciiTheme="minorHAnsi" w:eastAsia="Times New Roman" w:hAnsiTheme="minorHAnsi" w:cstheme="minorHAnsi"/>
                <w:sz w:val="20"/>
                <w:szCs w:val="20"/>
              </w:rPr>
            </w:pPr>
            <w:r w:rsidRPr="00AA14C4">
              <w:rPr>
                <w:rFonts w:asciiTheme="minorHAnsi" w:eastAsia="Times New Roman" w:hAnsiTheme="minorHAnsi" w:cstheme="minorHAnsi"/>
                <w:sz w:val="20"/>
                <w:szCs w:val="20"/>
              </w:rPr>
              <w:t>Variable</w:t>
            </w:r>
            <w:r w:rsidR="001F1FB5" w:rsidRPr="00AA14C4">
              <w:rPr>
                <w:rFonts w:asciiTheme="minorHAnsi" w:eastAsia="Times New Roman" w:hAnsiTheme="minorHAnsi" w:cstheme="minorHAnsi"/>
                <w:sz w:val="20"/>
                <w:szCs w:val="20"/>
              </w:rPr>
              <w:t xml:space="preserve"> according to financial outturn.</w:t>
            </w:r>
          </w:p>
          <w:p w14:paraId="0877AFD5" w14:textId="77777777" w:rsidR="001F1FB5" w:rsidRPr="00AA14C4" w:rsidRDefault="001F1FB5" w:rsidP="001F1FB5">
            <w:pPr>
              <w:spacing w:line="240" w:lineRule="auto"/>
              <w:rPr>
                <w:rFonts w:asciiTheme="minorHAnsi" w:eastAsia="Times New Roman" w:hAnsiTheme="minorHAnsi" w:cstheme="minorHAnsi"/>
                <w:sz w:val="20"/>
                <w:szCs w:val="20"/>
              </w:rPr>
            </w:pPr>
          </w:p>
        </w:tc>
        <w:tc>
          <w:tcPr>
            <w:tcW w:w="3833" w:type="dxa"/>
          </w:tcPr>
          <w:p w14:paraId="64DB83AC" w14:textId="77777777" w:rsidR="001F1FB5" w:rsidRPr="00AA14C4" w:rsidRDefault="001F1FB5" w:rsidP="001F1FB5">
            <w:pPr>
              <w:spacing w:line="240" w:lineRule="auto"/>
              <w:rPr>
                <w:rFonts w:asciiTheme="minorHAnsi" w:eastAsia="Times New Roman" w:hAnsiTheme="minorHAnsi" w:cstheme="minorHAnsi"/>
                <w:sz w:val="20"/>
                <w:szCs w:val="20"/>
              </w:rPr>
            </w:pPr>
          </w:p>
          <w:p w14:paraId="54575B83" w14:textId="77777777" w:rsidR="001F1FB5" w:rsidRPr="00AA14C4" w:rsidRDefault="001F1FB5" w:rsidP="001F1FB5">
            <w:pPr>
              <w:spacing w:line="240" w:lineRule="auto"/>
              <w:rPr>
                <w:rFonts w:asciiTheme="minorHAnsi" w:eastAsia="Times New Roman" w:hAnsiTheme="minorHAnsi" w:cstheme="minorHAnsi"/>
                <w:sz w:val="20"/>
                <w:szCs w:val="20"/>
              </w:rPr>
            </w:pPr>
            <w:r w:rsidRPr="00AA14C4">
              <w:rPr>
                <w:rFonts w:asciiTheme="minorHAnsi" w:eastAsia="Times New Roman" w:hAnsiTheme="minorHAnsi" w:cstheme="minorHAnsi"/>
                <w:sz w:val="20"/>
                <w:szCs w:val="20"/>
              </w:rPr>
              <w:t>Establishing a reserve enables an incentive and an opportunity to utilise year end underspends in a manner which will provide additionality and benefit for the service in future years, rather than finding resources from in-year or reserves.</w:t>
            </w:r>
          </w:p>
          <w:p w14:paraId="365E9E5C" w14:textId="77777777" w:rsidR="001F1FB5" w:rsidRPr="00AA14C4" w:rsidRDefault="001F1FB5" w:rsidP="001F1FB5">
            <w:pPr>
              <w:spacing w:line="240" w:lineRule="auto"/>
              <w:rPr>
                <w:rFonts w:asciiTheme="minorHAnsi" w:eastAsia="Times New Roman" w:hAnsiTheme="minorHAnsi" w:cstheme="minorHAnsi"/>
                <w:sz w:val="20"/>
                <w:szCs w:val="20"/>
              </w:rPr>
            </w:pPr>
          </w:p>
          <w:p w14:paraId="66EE0D3B" w14:textId="77777777" w:rsidR="001F1FB5" w:rsidRPr="00AA14C4" w:rsidRDefault="001F1FB5" w:rsidP="001F1FB5">
            <w:pPr>
              <w:spacing w:line="240" w:lineRule="auto"/>
              <w:rPr>
                <w:rFonts w:asciiTheme="minorHAnsi" w:eastAsia="Times New Roman" w:hAnsiTheme="minorHAnsi" w:cstheme="minorHAnsi"/>
                <w:sz w:val="20"/>
                <w:szCs w:val="20"/>
              </w:rPr>
            </w:pPr>
            <w:r w:rsidRPr="00AA14C4">
              <w:rPr>
                <w:rFonts w:asciiTheme="minorHAnsi" w:eastAsia="Times New Roman" w:hAnsiTheme="minorHAnsi" w:cstheme="minorHAnsi"/>
                <w:sz w:val="20"/>
                <w:szCs w:val="20"/>
              </w:rPr>
              <w:t xml:space="preserve"> </w:t>
            </w:r>
          </w:p>
        </w:tc>
        <w:tc>
          <w:tcPr>
            <w:tcW w:w="1332" w:type="dxa"/>
          </w:tcPr>
          <w:p w14:paraId="39EA9814" w14:textId="77777777" w:rsidR="001F1FB5" w:rsidRPr="00AA14C4" w:rsidRDefault="001F1FB5" w:rsidP="001F1FB5">
            <w:pPr>
              <w:spacing w:line="240" w:lineRule="auto"/>
              <w:rPr>
                <w:rFonts w:asciiTheme="minorHAnsi" w:eastAsia="Times New Roman" w:hAnsiTheme="minorHAnsi" w:cstheme="minorHAnsi"/>
                <w:sz w:val="20"/>
                <w:szCs w:val="20"/>
              </w:rPr>
            </w:pPr>
          </w:p>
          <w:p w14:paraId="31E39CBC" w14:textId="77D910CD" w:rsidR="001F1FB5" w:rsidRPr="00AA14C4" w:rsidRDefault="001F1FB5" w:rsidP="001F1FB5">
            <w:pPr>
              <w:spacing w:line="240" w:lineRule="auto"/>
              <w:rPr>
                <w:rFonts w:asciiTheme="minorHAnsi" w:eastAsia="Times New Roman" w:hAnsiTheme="minorHAnsi" w:cstheme="minorHAnsi"/>
                <w:sz w:val="20"/>
                <w:szCs w:val="20"/>
              </w:rPr>
            </w:pPr>
            <w:r w:rsidRPr="00AA14C4">
              <w:rPr>
                <w:rFonts w:asciiTheme="minorHAnsi" w:eastAsia="Times New Roman" w:hAnsiTheme="minorHAnsi" w:cstheme="minorHAnsi"/>
                <w:sz w:val="20"/>
                <w:szCs w:val="20"/>
              </w:rPr>
              <w:t>PFCC, on advice from PFCC CFO</w:t>
            </w:r>
          </w:p>
        </w:tc>
        <w:tc>
          <w:tcPr>
            <w:tcW w:w="990" w:type="dxa"/>
          </w:tcPr>
          <w:p w14:paraId="557E7A28" w14:textId="045E54B0" w:rsidR="001F1FB5" w:rsidRPr="00AA14C4" w:rsidRDefault="001F1FB5" w:rsidP="001F1FB5">
            <w:pPr>
              <w:spacing w:line="240" w:lineRule="auto"/>
              <w:rPr>
                <w:rFonts w:asciiTheme="minorHAnsi" w:eastAsia="Times New Roman" w:hAnsiTheme="minorHAnsi" w:cstheme="minorHAnsi"/>
                <w:sz w:val="20"/>
                <w:szCs w:val="20"/>
              </w:rPr>
            </w:pPr>
          </w:p>
          <w:p w14:paraId="702135AF" w14:textId="77777777" w:rsidR="001F1FB5" w:rsidRPr="00AA14C4" w:rsidRDefault="001F1FB5" w:rsidP="001F1FB5">
            <w:pPr>
              <w:spacing w:line="240" w:lineRule="auto"/>
              <w:rPr>
                <w:rFonts w:asciiTheme="minorHAnsi" w:eastAsia="Times New Roman" w:hAnsiTheme="minorHAnsi" w:cstheme="minorHAnsi"/>
                <w:sz w:val="20"/>
                <w:szCs w:val="20"/>
              </w:rPr>
            </w:pPr>
            <w:r w:rsidRPr="00AA14C4">
              <w:rPr>
                <w:rFonts w:asciiTheme="minorHAnsi" w:eastAsia="Times New Roman" w:hAnsiTheme="minorHAnsi" w:cstheme="minorHAnsi"/>
                <w:sz w:val="20"/>
                <w:szCs w:val="20"/>
              </w:rPr>
              <w:t>Annual</w:t>
            </w:r>
          </w:p>
        </w:tc>
      </w:tr>
      <w:tr w:rsidR="001F1FB5" w:rsidRPr="007C11AF" w14:paraId="35215CA2" w14:textId="77777777" w:rsidTr="007C11AF">
        <w:trPr>
          <w:cantSplit/>
          <w:jc w:val="center"/>
        </w:trPr>
        <w:tc>
          <w:tcPr>
            <w:tcW w:w="1838" w:type="dxa"/>
          </w:tcPr>
          <w:p w14:paraId="3F93FC48" w14:textId="77777777" w:rsidR="001F1FB5" w:rsidRPr="007C11AF" w:rsidRDefault="001F1FB5" w:rsidP="001F1FB5">
            <w:pPr>
              <w:spacing w:line="240" w:lineRule="auto"/>
              <w:rPr>
                <w:rFonts w:asciiTheme="minorHAnsi" w:eastAsia="Times New Roman" w:hAnsiTheme="minorHAnsi" w:cstheme="minorHAnsi"/>
                <w:b/>
                <w:bCs/>
                <w:sz w:val="20"/>
                <w:szCs w:val="20"/>
              </w:rPr>
            </w:pPr>
          </w:p>
          <w:p w14:paraId="2B422DE6" w14:textId="77777777" w:rsidR="001F1FB5" w:rsidRPr="007C11AF" w:rsidRDefault="001F1FB5" w:rsidP="001F1FB5">
            <w:pPr>
              <w:spacing w:line="240" w:lineRule="auto"/>
              <w:rPr>
                <w:rFonts w:asciiTheme="minorHAnsi" w:eastAsia="Times New Roman" w:hAnsiTheme="minorHAnsi" w:cstheme="minorHAnsi"/>
                <w:b/>
                <w:bCs/>
                <w:sz w:val="20"/>
                <w:szCs w:val="20"/>
              </w:rPr>
            </w:pPr>
            <w:r w:rsidRPr="007C11AF">
              <w:rPr>
                <w:rFonts w:asciiTheme="minorHAnsi" w:eastAsia="Times New Roman" w:hAnsiTheme="minorHAnsi" w:cstheme="minorHAnsi"/>
                <w:b/>
                <w:bCs/>
                <w:sz w:val="20"/>
                <w:szCs w:val="20"/>
              </w:rPr>
              <w:t>EARMARKED - PENSIONS</w:t>
            </w:r>
          </w:p>
          <w:p w14:paraId="24E79EEF" w14:textId="77777777" w:rsidR="001F1FB5" w:rsidRPr="007C11AF" w:rsidRDefault="001F1FB5" w:rsidP="001F1FB5">
            <w:pPr>
              <w:spacing w:line="240" w:lineRule="auto"/>
              <w:rPr>
                <w:rFonts w:asciiTheme="minorHAnsi" w:eastAsia="Times New Roman" w:hAnsiTheme="minorHAnsi" w:cstheme="minorHAnsi"/>
                <w:b/>
                <w:bCs/>
                <w:sz w:val="20"/>
                <w:szCs w:val="20"/>
              </w:rPr>
            </w:pPr>
          </w:p>
          <w:p w14:paraId="64C8EA26" w14:textId="77777777" w:rsidR="001F1FB5" w:rsidRPr="007C11AF" w:rsidRDefault="001F1FB5" w:rsidP="001F1FB5">
            <w:pPr>
              <w:spacing w:line="240" w:lineRule="auto"/>
              <w:rPr>
                <w:rFonts w:asciiTheme="minorHAnsi" w:eastAsia="Times New Roman" w:hAnsiTheme="minorHAnsi" w:cstheme="minorHAnsi"/>
                <w:b/>
                <w:bCs/>
                <w:sz w:val="20"/>
                <w:szCs w:val="20"/>
              </w:rPr>
            </w:pPr>
          </w:p>
          <w:p w14:paraId="0ACB9DE8" w14:textId="77777777" w:rsidR="001F1FB5" w:rsidRPr="007C11AF" w:rsidRDefault="001F1FB5" w:rsidP="001F1FB5">
            <w:pPr>
              <w:spacing w:line="240" w:lineRule="auto"/>
              <w:rPr>
                <w:rFonts w:asciiTheme="minorHAnsi" w:eastAsia="Times New Roman" w:hAnsiTheme="minorHAnsi" w:cstheme="minorHAnsi"/>
                <w:b/>
                <w:bCs/>
                <w:sz w:val="20"/>
                <w:szCs w:val="20"/>
              </w:rPr>
            </w:pPr>
          </w:p>
        </w:tc>
        <w:tc>
          <w:tcPr>
            <w:tcW w:w="3119" w:type="dxa"/>
          </w:tcPr>
          <w:p w14:paraId="4075888D" w14:textId="77777777" w:rsidR="001F1FB5" w:rsidRPr="007C11AF" w:rsidRDefault="001F1FB5" w:rsidP="001F1FB5">
            <w:pPr>
              <w:spacing w:line="240" w:lineRule="auto"/>
              <w:rPr>
                <w:rFonts w:asciiTheme="minorHAnsi" w:eastAsia="Times New Roman" w:hAnsiTheme="minorHAnsi" w:cstheme="minorHAnsi"/>
                <w:sz w:val="20"/>
                <w:szCs w:val="20"/>
              </w:rPr>
            </w:pPr>
          </w:p>
          <w:p w14:paraId="780456B2" w14:textId="7D99F24C"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To meet the costs of any ill-health or injury retirements which are unbudgeted and fall directly on the PFCC.</w:t>
            </w:r>
          </w:p>
          <w:p w14:paraId="597EE3D2" w14:textId="77777777" w:rsidR="001F1FB5" w:rsidRPr="007C11AF" w:rsidRDefault="001F1FB5" w:rsidP="001F1FB5">
            <w:pPr>
              <w:spacing w:line="240" w:lineRule="auto"/>
              <w:rPr>
                <w:rFonts w:asciiTheme="minorHAnsi" w:eastAsia="Times New Roman" w:hAnsiTheme="minorHAnsi" w:cstheme="minorHAnsi"/>
                <w:sz w:val="20"/>
                <w:szCs w:val="20"/>
              </w:rPr>
            </w:pPr>
          </w:p>
          <w:p w14:paraId="3798ABE8" w14:textId="0EA25AA2"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To cover any significant overspend on the employer contributions to the Pension Account.</w:t>
            </w:r>
          </w:p>
          <w:p w14:paraId="7B93A699" w14:textId="77777777" w:rsidR="001F1FB5" w:rsidRPr="007C11AF" w:rsidRDefault="001F1FB5" w:rsidP="001F1FB5">
            <w:pPr>
              <w:spacing w:line="240" w:lineRule="auto"/>
              <w:rPr>
                <w:rFonts w:asciiTheme="minorHAnsi" w:eastAsia="Times New Roman" w:hAnsiTheme="minorHAnsi" w:cstheme="minorHAnsi"/>
                <w:sz w:val="20"/>
                <w:szCs w:val="20"/>
              </w:rPr>
            </w:pPr>
          </w:p>
          <w:p w14:paraId="73F6E48D" w14:textId="4F5518B9"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 xml:space="preserve">To cover costs in excess of budget relating to the administration of pension remedy, following changes to regulations. </w:t>
            </w:r>
          </w:p>
          <w:p w14:paraId="61AAD953" w14:textId="77777777" w:rsidR="001F1FB5" w:rsidRPr="007C11AF" w:rsidRDefault="001F1FB5" w:rsidP="001F1FB5">
            <w:pPr>
              <w:spacing w:line="240" w:lineRule="auto"/>
              <w:rPr>
                <w:rFonts w:asciiTheme="minorHAnsi" w:eastAsia="Times New Roman" w:hAnsiTheme="minorHAnsi" w:cstheme="minorHAnsi"/>
                <w:sz w:val="20"/>
                <w:szCs w:val="20"/>
              </w:rPr>
            </w:pPr>
          </w:p>
        </w:tc>
        <w:tc>
          <w:tcPr>
            <w:tcW w:w="2118" w:type="dxa"/>
          </w:tcPr>
          <w:p w14:paraId="726038C4" w14:textId="77777777" w:rsidR="001F1FB5" w:rsidRPr="007C11AF" w:rsidRDefault="001F1FB5" w:rsidP="001F1FB5">
            <w:pPr>
              <w:spacing w:line="240" w:lineRule="auto"/>
              <w:rPr>
                <w:rFonts w:asciiTheme="minorHAnsi" w:eastAsia="Times New Roman" w:hAnsiTheme="minorHAnsi" w:cstheme="minorHAnsi"/>
                <w:sz w:val="20"/>
                <w:szCs w:val="20"/>
              </w:rPr>
            </w:pPr>
          </w:p>
          <w:p w14:paraId="706E9B74" w14:textId="77777777"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Annually as required.</w:t>
            </w:r>
          </w:p>
          <w:p w14:paraId="5E4EB2D7" w14:textId="77777777" w:rsidR="001F1FB5" w:rsidRPr="007C11AF" w:rsidRDefault="001F1FB5" w:rsidP="001F1FB5">
            <w:pPr>
              <w:spacing w:line="240" w:lineRule="auto"/>
              <w:rPr>
                <w:rFonts w:asciiTheme="minorHAnsi" w:eastAsia="Times New Roman" w:hAnsiTheme="minorHAnsi" w:cstheme="minorHAnsi"/>
                <w:sz w:val="20"/>
                <w:szCs w:val="20"/>
              </w:rPr>
            </w:pPr>
          </w:p>
          <w:p w14:paraId="0C2FCC22" w14:textId="77777777"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Transfers out depend on the amount resulted from successful claims during the year.</w:t>
            </w:r>
          </w:p>
          <w:p w14:paraId="20B6E8A7" w14:textId="77777777" w:rsidR="001F1FB5" w:rsidRPr="007C11AF" w:rsidRDefault="001F1FB5" w:rsidP="001F1FB5">
            <w:pPr>
              <w:spacing w:line="240" w:lineRule="auto"/>
              <w:rPr>
                <w:rFonts w:asciiTheme="minorHAnsi" w:eastAsia="Times New Roman" w:hAnsiTheme="minorHAnsi" w:cstheme="minorHAnsi"/>
                <w:sz w:val="20"/>
                <w:szCs w:val="20"/>
              </w:rPr>
            </w:pPr>
          </w:p>
          <w:p w14:paraId="24082044" w14:textId="77777777"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 xml:space="preserve">Historically there has been budget provided within the Force revenue budget for approximately 6 claims in a year. Any unused budget within a year would represent transfers in. </w:t>
            </w:r>
          </w:p>
          <w:p w14:paraId="7A571FD5" w14:textId="77777777" w:rsidR="001F1FB5" w:rsidRPr="007C11AF" w:rsidRDefault="001F1FB5" w:rsidP="001F1FB5">
            <w:pPr>
              <w:spacing w:line="240" w:lineRule="auto"/>
              <w:rPr>
                <w:rFonts w:asciiTheme="minorHAnsi" w:eastAsia="Times New Roman" w:hAnsiTheme="minorHAnsi" w:cstheme="minorHAnsi"/>
                <w:sz w:val="20"/>
                <w:szCs w:val="20"/>
              </w:rPr>
            </w:pPr>
          </w:p>
        </w:tc>
        <w:tc>
          <w:tcPr>
            <w:tcW w:w="1420" w:type="dxa"/>
          </w:tcPr>
          <w:p w14:paraId="7B6D243D" w14:textId="77777777" w:rsidR="001F1FB5" w:rsidRPr="007C11AF" w:rsidRDefault="001F1FB5" w:rsidP="001F1FB5">
            <w:pPr>
              <w:spacing w:line="240" w:lineRule="auto"/>
              <w:rPr>
                <w:rFonts w:asciiTheme="minorHAnsi" w:eastAsia="Times New Roman" w:hAnsiTheme="minorHAnsi" w:cstheme="minorHAnsi"/>
                <w:sz w:val="20"/>
                <w:szCs w:val="20"/>
              </w:rPr>
            </w:pPr>
          </w:p>
          <w:p w14:paraId="25142DBA" w14:textId="5802B75C" w:rsidR="001F1FB5" w:rsidRPr="007C11AF" w:rsidRDefault="007C11AF" w:rsidP="001F1FB5">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Variable</w:t>
            </w:r>
            <w:r w:rsidR="001F1FB5" w:rsidRPr="007C11AF">
              <w:rPr>
                <w:rFonts w:asciiTheme="minorHAnsi" w:eastAsia="Times New Roman" w:hAnsiTheme="minorHAnsi" w:cstheme="minorHAnsi"/>
                <w:sz w:val="20"/>
                <w:szCs w:val="20"/>
              </w:rPr>
              <w:t xml:space="preserve"> according to annual risk assessment</w:t>
            </w:r>
          </w:p>
        </w:tc>
        <w:tc>
          <w:tcPr>
            <w:tcW w:w="3833" w:type="dxa"/>
          </w:tcPr>
          <w:p w14:paraId="4633EA84" w14:textId="77777777" w:rsidR="001F1FB5" w:rsidRPr="007C11AF" w:rsidRDefault="001F1FB5" w:rsidP="001F1FB5">
            <w:pPr>
              <w:spacing w:line="240" w:lineRule="auto"/>
              <w:rPr>
                <w:rFonts w:asciiTheme="minorHAnsi" w:eastAsia="Times New Roman" w:hAnsiTheme="minorHAnsi" w:cstheme="minorHAnsi"/>
                <w:sz w:val="20"/>
                <w:szCs w:val="20"/>
              </w:rPr>
            </w:pPr>
          </w:p>
          <w:p w14:paraId="50B8976E" w14:textId="77777777"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The reserve is held to collect any underspend from ill health pensions in the budget and provides an opportunity to smooth the impact of a financial pressure or overspend in subsequent years.</w:t>
            </w:r>
          </w:p>
          <w:p w14:paraId="549629C1" w14:textId="77777777" w:rsidR="001F1FB5" w:rsidRPr="007C11AF" w:rsidRDefault="001F1FB5" w:rsidP="001F1FB5">
            <w:pPr>
              <w:spacing w:line="240" w:lineRule="auto"/>
              <w:rPr>
                <w:rFonts w:asciiTheme="minorHAnsi" w:eastAsia="Times New Roman" w:hAnsiTheme="minorHAnsi" w:cstheme="minorHAnsi"/>
                <w:sz w:val="20"/>
                <w:szCs w:val="20"/>
              </w:rPr>
            </w:pPr>
          </w:p>
          <w:p w14:paraId="1FCCC64E" w14:textId="77D35E8D"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 xml:space="preserve">The reserve enables a flat and realistic annual budget to be set for ill-health pensions rather than being subject to annual variances. </w:t>
            </w:r>
          </w:p>
          <w:p w14:paraId="0DE0551D" w14:textId="77777777" w:rsidR="001F1FB5" w:rsidRPr="007C11AF" w:rsidRDefault="001F1FB5" w:rsidP="001F1FB5">
            <w:pPr>
              <w:spacing w:line="240" w:lineRule="auto"/>
              <w:rPr>
                <w:rFonts w:asciiTheme="minorHAnsi" w:eastAsia="Times New Roman" w:hAnsiTheme="minorHAnsi" w:cstheme="minorHAnsi"/>
                <w:sz w:val="20"/>
                <w:szCs w:val="20"/>
              </w:rPr>
            </w:pPr>
          </w:p>
          <w:p w14:paraId="722DE48B" w14:textId="1B18B69B"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 xml:space="preserve">If no reserve is held, significant pension costs beyond normal budgeted profile could create pressure on the revenue budget or general reserves. </w:t>
            </w:r>
          </w:p>
          <w:p w14:paraId="65A58C60" w14:textId="77777777" w:rsidR="001F1FB5" w:rsidRPr="007C11AF" w:rsidRDefault="001F1FB5" w:rsidP="001F1FB5">
            <w:pPr>
              <w:spacing w:line="240" w:lineRule="auto"/>
              <w:rPr>
                <w:rFonts w:asciiTheme="minorHAnsi" w:eastAsia="Times New Roman" w:hAnsiTheme="minorHAnsi" w:cstheme="minorHAnsi"/>
                <w:sz w:val="20"/>
                <w:szCs w:val="20"/>
              </w:rPr>
            </w:pPr>
          </w:p>
          <w:p w14:paraId="1B071DA9" w14:textId="77777777" w:rsidR="001F1FB5" w:rsidRPr="007C11AF" w:rsidRDefault="001F1FB5" w:rsidP="001F1FB5">
            <w:pPr>
              <w:spacing w:line="240" w:lineRule="auto"/>
              <w:rPr>
                <w:rFonts w:asciiTheme="minorHAnsi" w:eastAsia="Times New Roman" w:hAnsiTheme="minorHAnsi" w:cstheme="minorHAnsi"/>
                <w:sz w:val="20"/>
                <w:szCs w:val="20"/>
              </w:rPr>
            </w:pPr>
          </w:p>
        </w:tc>
        <w:tc>
          <w:tcPr>
            <w:tcW w:w="1332" w:type="dxa"/>
          </w:tcPr>
          <w:p w14:paraId="5D668AFF" w14:textId="77777777" w:rsidR="001F1FB5" w:rsidRPr="007C11AF" w:rsidRDefault="001F1FB5" w:rsidP="001F1FB5">
            <w:pPr>
              <w:spacing w:line="240" w:lineRule="auto"/>
              <w:rPr>
                <w:rFonts w:asciiTheme="minorHAnsi" w:eastAsia="Times New Roman" w:hAnsiTheme="minorHAnsi" w:cstheme="minorHAnsi"/>
                <w:sz w:val="20"/>
                <w:szCs w:val="20"/>
              </w:rPr>
            </w:pPr>
          </w:p>
          <w:p w14:paraId="27ED0F57" w14:textId="41EF42A9"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PFCC, on advice from PFCC CFO</w:t>
            </w:r>
          </w:p>
        </w:tc>
        <w:tc>
          <w:tcPr>
            <w:tcW w:w="990" w:type="dxa"/>
          </w:tcPr>
          <w:p w14:paraId="7B09AD9D" w14:textId="0400A600" w:rsidR="001F1FB5" w:rsidRPr="007C11AF" w:rsidRDefault="001F1FB5" w:rsidP="001F1FB5">
            <w:pPr>
              <w:spacing w:line="240" w:lineRule="auto"/>
              <w:rPr>
                <w:rFonts w:asciiTheme="minorHAnsi" w:eastAsia="Times New Roman" w:hAnsiTheme="minorHAnsi" w:cstheme="minorHAnsi"/>
                <w:sz w:val="20"/>
                <w:szCs w:val="20"/>
              </w:rPr>
            </w:pPr>
          </w:p>
          <w:p w14:paraId="3D565C57" w14:textId="77777777"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Annual</w:t>
            </w:r>
          </w:p>
        </w:tc>
      </w:tr>
      <w:tr w:rsidR="001F1FB5" w:rsidRPr="007C11AF" w14:paraId="3AE2AC25" w14:textId="77777777" w:rsidTr="007C11AF">
        <w:trPr>
          <w:cantSplit/>
          <w:jc w:val="center"/>
        </w:trPr>
        <w:tc>
          <w:tcPr>
            <w:tcW w:w="1838" w:type="dxa"/>
          </w:tcPr>
          <w:p w14:paraId="44F399C9" w14:textId="77777777" w:rsidR="001F1FB5" w:rsidRPr="007C11AF" w:rsidRDefault="001F1FB5" w:rsidP="001F1FB5">
            <w:pPr>
              <w:spacing w:line="240" w:lineRule="auto"/>
              <w:rPr>
                <w:rFonts w:asciiTheme="minorHAnsi" w:eastAsia="Times New Roman" w:hAnsiTheme="minorHAnsi" w:cstheme="minorHAnsi"/>
                <w:b/>
                <w:bCs/>
                <w:sz w:val="20"/>
                <w:szCs w:val="20"/>
              </w:rPr>
            </w:pPr>
          </w:p>
          <w:p w14:paraId="505FA0AA" w14:textId="302AC3E9" w:rsidR="001F1FB5" w:rsidRPr="007C11AF" w:rsidRDefault="001F1FB5" w:rsidP="001F1FB5">
            <w:pPr>
              <w:spacing w:line="240" w:lineRule="auto"/>
              <w:rPr>
                <w:rFonts w:asciiTheme="minorHAnsi" w:eastAsia="Times New Roman" w:hAnsiTheme="minorHAnsi" w:cstheme="minorHAnsi"/>
                <w:b/>
                <w:bCs/>
                <w:sz w:val="20"/>
                <w:szCs w:val="20"/>
              </w:rPr>
            </w:pPr>
            <w:r w:rsidRPr="007C11AF">
              <w:rPr>
                <w:rFonts w:asciiTheme="minorHAnsi" w:eastAsia="Times New Roman" w:hAnsiTheme="minorHAnsi" w:cstheme="minorHAnsi"/>
                <w:b/>
                <w:bCs/>
                <w:sz w:val="20"/>
                <w:szCs w:val="20"/>
              </w:rPr>
              <w:t xml:space="preserve">EARMARKED - SMOOTHING </w:t>
            </w:r>
          </w:p>
        </w:tc>
        <w:tc>
          <w:tcPr>
            <w:tcW w:w="3119" w:type="dxa"/>
          </w:tcPr>
          <w:p w14:paraId="7FA38221" w14:textId="77777777" w:rsidR="001F1FB5" w:rsidRPr="007C11AF" w:rsidRDefault="001F1FB5" w:rsidP="001F1FB5">
            <w:pPr>
              <w:spacing w:line="240" w:lineRule="auto"/>
              <w:rPr>
                <w:rFonts w:asciiTheme="minorHAnsi" w:eastAsia="Times New Roman" w:hAnsiTheme="minorHAnsi" w:cstheme="minorHAnsi"/>
                <w:sz w:val="20"/>
                <w:szCs w:val="20"/>
              </w:rPr>
            </w:pPr>
          </w:p>
          <w:p w14:paraId="595147B9" w14:textId="26499355" w:rsidR="007C11AF" w:rsidRPr="007C11AF" w:rsidRDefault="007C11AF" w:rsidP="007C11AF">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The reserve is held to receive any efficiencies and funding in excess of the budget set and to utilise to ensure any future variations are smoothed where appropriate.</w:t>
            </w:r>
          </w:p>
          <w:p w14:paraId="1B1BB58D" w14:textId="77777777" w:rsidR="007C11AF" w:rsidRPr="007C11AF" w:rsidRDefault="007C11AF" w:rsidP="007C11AF">
            <w:pPr>
              <w:spacing w:line="240" w:lineRule="auto"/>
              <w:rPr>
                <w:rFonts w:asciiTheme="minorHAnsi" w:eastAsia="Times New Roman" w:hAnsiTheme="minorHAnsi" w:cstheme="minorHAnsi"/>
                <w:sz w:val="20"/>
                <w:szCs w:val="20"/>
              </w:rPr>
            </w:pPr>
          </w:p>
          <w:p w14:paraId="3EC42D2A" w14:textId="274A5BD8" w:rsidR="001F1FB5" w:rsidRPr="007C11AF" w:rsidRDefault="007C11AF"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This includes</w:t>
            </w:r>
            <w:r w:rsidR="001F1FB5" w:rsidRPr="007C11AF">
              <w:rPr>
                <w:rFonts w:asciiTheme="minorHAnsi" w:eastAsia="Times New Roman" w:hAnsiTheme="minorHAnsi" w:cstheme="minorHAnsi"/>
                <w:sz w:val="20"/>
                <w:szCs w:val="20"/>
              </w:rPr>
              <w:t xml:space="preserve"> the impact of fluctuations in funding receipts from the collection fund if provided after the budget has been set.</w:t>
            </w:r>
          </w:p>
          <w:p w14:paraId="35CB7332" w14:textId="77777777" w:rsidR="001F1FB5" w:rsidRPr="007C11AF" w:rsidRDefault="001F1FB5" w:rsidP="007C11AF">
            <w:pPr>
              <w:spacing w:line="240" w:lineRule="auto"/>
              <w:rPr>
                <w:rFonts w:asciiTheme="minorHAnsi" w:eastAsia="Times New Roman" w:hAnsiTheme="minorHAnsi" w:cstheme="minorHAnsi"/>
                <w:sz w:val="20"/>
                <w:szCs w:val="20"/>
              </w:rPr>
            </w:pPr>
          </w:p>
        </w:tc>
        <w:tc>
          <w:tcPr>
            <w:tcW w:w="2118" w:type="dxa"/>
          </w:tcPr>
          <w:p w14:paraId="590F0993" w14:textId="77777777" w:rsidR="001F1FB5" w:rsidRPr="007C11AF" w:rsidRDefault="001F1FB5" w:rsidP="001F1FB5">
            <w:pPr>
              <w:spacing w:line="240" w:lineRule="auto"/>
              <w:rPr>
                <w:rFonts w:asciiTheme="minorHAnsi" w:eastAsia="Times New Roman" w:hAnsiTheme="minorHAnsi" w:cstheme="minorHAnsi"/>
                <w:sz w:val="20"/>
                <w:szCs w:val="20"/>
              </w:rPr>
            </w:pPr>
          </w:p>
          <w:p w14:paraId="30EF2006" w14:textId="4936E9AB" w:rsidR="001F1FB5" w:rsidRPr="007C11AF" w:rsidRDefault="007C11AF" w:rsidP="001F1FB5">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The b</w:t>
            </w:r>
            <w:r w:rsidR="001F1FB5" w:rsidRPr="007C11AF">
              <w:rPr>
                <w:rFonts w:asciiTheme="minorHAnsi" w:eastAsia="Times New Roman" w:hAnsiTheme="minorHAnsi" w:cstheme="minorHAnsi"/>
                <w:sz w:val="20"/>
                <w:szCs w:val="20"/>
              </w:rPr>
              <w:t>alance will increase or reduce annually dependent on budget levels and the savings programme.</w:t>
            </w:r>
          </w:p>
        </w:tc>
        <w:tc>
          <w:tcPr>
            <w:tcW w:w="1420" w:type="dxa"/>
          </w:tcPr>
          <w:p w14:paraId="60AC54ED" w14:textId="77777777" w:rsidR="001F1FB5" w:rsidRPr="007C11AF" w:rsidRDefault="001F1FB5" w:rsidP="001F1FB5">
            <w:pPr>
              <w:spacing w:line="240" w:lineRule="auto"/>
              <w:rPr>
                <w:rFonts w:asciiTheme="minorHAnsi" w:eastAsia="Times New Roman" w:hAnsiTheme="minorHAnsi" w:cstheme="minorHAnsi"/>
                <w:sz w:val="20"/>
                <w:szCs w:val="20"/>
              </w:rPr>
            </w:pPr>
          </w:p>
          <w:p w14:paraId="4E4304A1" w14:textId="3E349E6A" w:rsidR="001F1FB5" w:rsidRPr="007C11AF" w:rsidRDefault="007C11AF" w:rsidP="001F1FB5">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Variable</w:t>
            </w:r>
            <w:r w:rsidR="001F1FB5" w:rsidRPr="007C11AF">
              <w:rPr>
                <w:rFonts w:asciiTheme="minorHAnsi" w:eastAsia="Times New Roman" w:hAnsiTheme="minorHAnsi" w:cstheme="minorHAnsi"/>
                <w:sz w:val="20"/>
                <w:szCs w:val="20"/>
              </w:rPr>
              <w:t xml:space="preserve"> according to usage and annual risk assessment.</w:t>
            </w:r>
          </w:p>
          <w:p w14:paraId="7C1569FA" w14:textId="77777777" w:rsidR="001F1FB5" w:rsidRPr="007C11AF" w:rsidRDefault="001F1FB5" w:rsidP="001F1FB5">
            <w:pPr>
              <w:spacing w:line="240" w:lineRule="auto"/>
              <w:rPr>
                <w:rFonts w:asciiTheme="minorHAnsi" w:eastAsia="Times New Roman" w:hAnsiTheme="minorHAnsi" w:cstheme="minorHAnsi"/>
                <w:sz w:val="20"/>
                <w:szCs w:val="20"/>
              </w:rPr>
            </w:pPr>
          </w:p>
        </w:tc>
        <w:tc>
          <w:tcPr>
            <w:tcW w:w="3833" w:type="dxa"/>
          </w:tcPr>
          <w:p w14:paraId="20BBD77C" w14:textId="77777777" w:rsidR="001F1FB5" w:rsidRPr="007C11AF" w:rsidRDefault="001F1FB5" w:rsidP="001F1FB5">
            <w:pPr>
              <w:spacing w:line="240" w:lineRule="auto"/>
              <w:rPr>
                <w:rFonts w:asciiTheme="minorHAnsi" w:eastAsia="Times New Roman" w:hAnsiTheme="minorHAnsi" w:cstheme="minorHAnsi"/>
                <w:sz w:val="20"/>
                <w:szCs w:val="20"/>
              </w:rPr>
            </w:pPr>
          </w:p>
          <w:p w14:paraId="127F857E" w14:textId="54581404"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If funds were not maintained the PFCC and the Force could be required to balance the budget or funding shortfalls by in</w:t>
            </w:r>
            <w:r w:rsidR="007C11AF" w:rsidRPr="007C11AF">
              <w:rPr>
                <w:rFonts w:asciiTheme="minorHAnsi" w:eastAsia="Times New Roman" w:hAnsiTheme="minorHAnsi" w:cstheme="minorHAnsi"/>
                <w:sz w:val="20"/>
                <w:szCs w:val="20"/>
              </w:rPr>
              <w:t>-</w:t>
            </w:r>
            <w:r w:rsidRPr="007C11AF">
              <w:rPr>
                <w:rFonts w:asciiTheme="minorHAnsi" w:eastAsia="Times New Roman" w:hAnsiTheme="minorHAnsi" w:cstheme="minorHAnsi"/>
                <w:sz w:val="20"/>
                <w:szCs w:val="20"/>
              </w:rPr>
              <w:t>year savings.</w:t>
            </w:r>
          </w:p>
          <w:p w14:paraId="4130F8C2" w14:textId="77777777" w:rsidR="001F1FB5" w:rsidRPr="007C11AF" w:rsidRDefault="001F1FB5" w:rsidP="001F1FB5">
            <w:pPr>
              <w:spacing w:line="240" w:lineRule="auto"/>
              <w:rPr>
                <w:rFonts w:asciiTheme="minorHAnsi" w:eastAsia="Times New Roman" w:hAnsiTheme="minorHAnsi" w:cstheme="minorHAnsi"/>
                <w:sz w:val="20"/>
                <w:szCs w:val="20"/>
              </w:rPr>
            </w:pPr>
          </w:p>
          <w:p w14:paraId="391CED80" w14:textId="77777777"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There can be significant variations each year in the revenue budget whilst the timing of efficiency savings occur</w:t>
            </w:r>
            <w:r w:rsidR="00B1524E" w:rsidRPr="007C11AF">
              <w:rPr>
                <w:rFonts w:asciiTheme="minorHAnsi" w:eastAsia="Times New Roman" w:hAnsiTheme="minorHAnsi" w:cstheme="minorHAnsi"/>
                <w:sz w:val="20"/>
                <w:szCs w:val="20"/>
              </w:rPr>
              <w:t xml:space="preserve"> </w:t>
            </w:r>
            <w:r w:rsidRPr="007C11AF">
              <w:rPr>
                <w:rFonts w:asciiTheme="minorHAnsi" w:eastAsia="Times New Roman" w:hAnsiTheme="minorHAnsi" w:cstheme="minorHAnsi"/>
                <w:sz w:val="20"/>
                <w:szCs w:val="20"/>
              </w:rPr>
              <w:t>– this smoothing reserve will assist in mitigating that.</w:t>
            </w:r>
          </w:p>
          <w:p w14:paraId="0EE6C01F" w14:textId="42A7C427" w:rsidR="00CC09C1" w:rsidRPr="007C11AF" w:rsidRDefault="00CC09C1" w:rsidP="001F1FB5">
            <w:pPr>
              <w:spacing w:line="240" w:lineRule="auto"/>
              <w:rPr>
                <w:rFonts w:asciiTheme="minorHAnsi" w:eastAsia="Times New Roman" w:hAnsiTheme="minorHAnsi" w:cstheme="minorHAnsi"/>
                <w:sz w:val="20"/>
                <w:szCs w:val="20"/>
              </w:rPr>
            </w:pPr>
          </w:p>
        </w:tc>
        <w:tc>
          <w:tcPr>
            <w:tcW w:w="1332" w:type="dxa"/>
          </w:tcPr>
          <w:p w14:paraId="1A3A33C8" w14:textId="77777777" w:rsidR="001F1FB5" w:rsidRPr="007C11AF" w:rsidRDefault="001F1FB5" w:rsidP="001F1FB5">
            <w:pPr>
              <w:spacing w:line="240" w:lineRule="auto"/>
              <w:rPr>
                <w:rFonts w:asciiTheme="minorHAnsi" w:eastAsia="Times New Roman" w:hAnsiTheme="minorHAnsi" w:cstheme="minorHAnsi"/>
                <w:sz w:val="20"/>
                <w:szCs w:val="20"/>
              </w:rPr>
            </w:pPr>
          </w:p>
          <w:p w14:paraId="3AE63C90" w14:textId="45E15201"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PFCC, on advice from PFCC CFO</w:t>
            </w:r>
          </w:p>
        </w:tc>
        <w:tc>
          <w:tcPr>
            <w:tcW w:w="990" w:type="dxa"/>
          </w:tcPr>
          <w:p w14:paraId="45651CEF" w14:textId="18A9887F" w:rsidR="001F1FB5" w:rsidRPr="007C11AF" w:rsidRDefault="001F1FB5" w:rsidP="001F1FB5">
            <w:pPr>
              <w:spacing w:line="240" w:lineRule="auto"/>
              <w:rPr>
                <w:rFonts w:asciiTheme="minorHAnsi" w:eastAsia="Times New Roman" w:hAnsiTheme="minorHAnsi" w:cstheme="minorHAnsi"/>
                <w:sz w:val="20"/>
                <w:szCs w:val="20"/>
              </w:rPr>
            </w:pPr>
          </w:p>
          <w:p w14:paraId="5313D517" w14:textId="77777777"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Annual</w:t>
            </w:r>
          </w:p>
        </w:tc>
      </w:tr>
      <w:tr w:rsidR="001F1FB5" w:rsidRPr="007C11AF" w14:paraId="651C0CD1" w14:textId="77777777" w:rsidTr="007C11AF">
        <w:trPr>
          <w:cantSplit/>
          <w:jc w:val="center"/>
        </w:trPr>
        <w:tc>
          <w:tcPr>
            <w:tcW w:w="1838" w:type="dxa"/>
          </w:tcPr>
          <w:p w14:paraId="24F2EAA6" w14:textId="77777777" w:rsidR="001F1FB5" w:rsidRPr="007C11AF" w:rsidRDefault="001F1FB5" w:rsidP="001F1FB5">
            <w:pPr>
              <w:spacing w:line="240" w:lineRule="auto"/>
              <w:rPr>
                <w:rFonts w:asciiTheme="minorHAnsi" w:eastAsia="Times New Roman" w:hAnsiTheme="minorHAnsi" w:cstheme="minorHAnsi"/>
                <w:b/>
                <w:bCs/>
                <w:sz w:val="20"/>
                <w:szCs w:val="20"/>
              </w:rPr>
            </w:pPr>
          </w:p>
          <w:p w14:paraId="1620A8AA" w14:textId="77777777" w:rsidR="001F1FB5" w:rsidRPr="007C11AF" w:rsidRDefault="001F1FB5" w:rsidP="001F1FB5">
            <w:pPr>
              <w:spacing w:line="240" w:lineRule="auto"/>
              <w:rPr>
                <w:rFonts w:asciiTheme="minorHAnsi" w:eastAsia="Times New Roman" w:hAnsiTheme="minorHAnsi" w:cstheme="minorHAnsi"/>
                <w:b/>
                <w:bCs/>
                <w:sz w:val="20"/>
                <w:szCs w:val="20"/>
              </w:rPr>
            </w:pPr>
            <w:r w:rsidRPr="007C11AF">
              <w:rPr>
                <w:rFonts w:asciiTheme="minorHAnsi" w:eastAsia="Times New Roman" w:hAnsiTheme="minorHAnsi" w:cstheme="minorHAnsi"/>
                <w:b/>
                <w:bCs/>
                <w:sz w:val="20"/>
                <w:szCs w:val="20"/>
              </w:rPr>
              <w:t>EARMARKED - PFCC INITIATIVES</w:t>
            </w:r>
          </w:p>
        </w:tc>
        <w:tc>
          <w:tcPr>
            <w:tcW w:w="3119" w:type="dxa"/>
          </w:tcPr>
          <w:p w14:paraId="7DF34ABC" w14:textId="77777777" w:rsidR="001F1FB5" w:rsidRPr="007C11AF" w:rsidRDefault="001F1FB5" w:rsidP="001F1FB5">
            <w:pPr>
              <w:spacing w:line="240" w:lineRule="auto"/>
              <w:rPr>
                <w:rFonts w:asciiTheme="minorHAnsi" w:eastAsia="Times New Roman" w:hAnsiTheme="minorHAnsi" w:cstheme="minorHAnsi"/>
                <w:sz w:val="20"/>
                <w:szCs w:val="20"/>
              </w:rPr>
            </w:pPr>
          </w:p>
          <w:p w14:paraId="5D85F614" w14:textId="0F94A5E9" w:rsidR="007C11AF" w:rsidRPr="007C11AF" w:rsidRDefault="007C11AF" w:rsidP="007C11AF">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The reserve is held and was established from a PFCC reserve and has been supplemented by in-year underspends.</w:t>
            </w:r>
          </w:p>
          <w:p w14:paraId="2933B437" w14:textId="77777777" w:rsidR="007C11AF" w:rsidRPr="007C11AF" w:rsidRDefault="007C11AF" w:rsidP="007C11AF">
            <w:pPr>
              <w:spacing w:line="240" w:lineRule="auto"/>
              <w:rPr>
                <w:rFonts w:asciiTheme="minorHAnsi" w:eastAsia="Times New Roman" w:hAnsiTheme="minorHAnsi" w:cstheme="minorHAnsi"/>
                <w:sz w:val="20"/>
                <w:szCs w:val="20"/>
              </w:rPr>
            </w:pPr>
          </w:p>
          <w:p w14:paraId="79870B59" w14:textId="04E3ADDA"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 xml:space="preserve">To deliver funding to for specific initiatives of the PFCC arising from </w:t>
            </w:r>
            <w:r w:rsidR="007C11AF" w:rsidRPr="007C11AF">
              <w:rPr>
                <w:rFonts w:asciiTheme="minorHAnsi" w:eastAsia="Times New Roman" w:hAnsiTheme="minorHAnsi" w:cstheme="minorHAnsi"/>
                <w:sz w:val="20"/>
                <w:szCs w:val="20"/>
              </w:rPr>
              <w:t>the Public Safety Plan.</w:t>
            </w:r>
            <w:r w:rsidRPr="007C11AF">
              <w:rPr>
                <w:rFonts w:asciiTheme="minorHAnsi" w:eastAsia="Times New Roman" w:hAnsiTheme="minorHAnsi" w:cstheme="minorHAnsi"/>
                <w:sz w:val="20"/>
                <w:szCs w:val="20"/>
              </w:rPr>
              <w:t xml:space="preserve"> </w:t>
            </w:r>
          </w:p>
          <w:p w14:paraId="4CCB5BAE" w14:textId="77777777" w:rsidR="001F1FB5" w:rsidRPr="007C11AF" w:rsidRDefault="001F1FB5" w:rsidP="001F1FB5">
            <w:pPr>
              <w:spacing w:line="240" w:lineRule="auto"/>
              <w:rPr>
                <w:rFonts w:asciiTheme="minorHAnsi" w:eastAsia="Times New Roman" w:hAnsiTheme="minorHAnsi" w:cstheme="minorHAnsi"/>
                <w:sz w:val="20"/>
                <w:szCs w:val="20"/>
              </w:rPr>
            </w:pPr>
          </w:p>
          <w:p w14:paraId="3088EFEA" w14:textId="32D9CB83"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 xml:space="preserve">To provide funding to deliver </w:t>
            </w:r>
            <w:r w:rsidR="007C11AF" w:rsidRPr="007C11AF">
              <w:rPr>
                <w:rFonts w:asciiTheme="minorHAnsi" w:eastAsia="Times New Roman" w:hAnsiTheme="minorHAnsi" w:cstheme="minorHAnsi"/>
                <w:sz w:val="20"/>
                <w:szCs w:val="20"/>
              </w:rPr>
              <w:t>innovative</w:t>
            </w:r>
            <w:r w:rsidRPr="007C11AF">
              <w:rPr>
                <w:rFonts w:asciiTheme="minorHAnsi" w:eastAsia="Times New Roman" w:hAnsiTheme="minorHAnsi" w:cstheme="minorHAnsi"/>
                <w:sz w:val="20"/>
                <w:szCs w:val="20"/>
              </w:rPr>
              <w:t xml:space="preserve"> solutions</w:t>
            </w:r>
            <w:r w:rsidR="007C11AF" w:rsidRPr="007C11AF">
              <w:rPr>
                <w:rFonts w:asciiTheme="minorHAnsi" w:eastAsia="Times New Roman" w:hAnsiTheme="minorHAnsi" w:cstheme="minorHAnsi"/>
                <w:sz w:val="20"/>
                <w:szCs w:val="20"/>
              </w:rPr>
              <w:t xml:space="preserve"> and pump prime new projects.</w:t>
            </w:r>
          </w:p>
          <w:p w14:paraId="72200141" w14:textId="77777777" w:rsidR="007C11AF" w:rsidRPr="007C11AF" w:rsidRDefault="007C11AF" w:rsidP="001F1FB5">
            <w:pPr>
              <w:spacing w:line="240" w:lineRule="auto"/>
              <w:rPr>
                <w:rFonts w:asciiTheme="minorHAnsi" w:eastAsia="Times New Roman" w:hAnsiTheme="minorHAnsi" w:cstheme="minorHAnsi"/>
                <w:sz w:val="20"/>
                <w:szCs w:val="20"/>
              </w:rPr>
            </w:pPr>
          </w:p>
          <w:p w14:paraId="4CE1DB1B" w14:textId="50DEA6D4" w:rsidR="007C11AF" w:rsidRPr="007C11AF" w:rsidRDefault="007C11AF"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To fund invest-to-save projects that support the Public Safety Plan.</w:t>
            </w:r>
          </w:p>
          <w:p w14:paraId="1068A559" w14:textId="77777777" w:rsidR="001F1FB5" w:rsidRPr="007C11AF" w:rsidRDefault="001F1FB5" w:rsidP="001F1FB5">
            <w:pPr>
              <w:spacing w:line="240" w:lineRule="auto"/>
              <w:rPr>
                <w:rFonts w:asciiTheme="minorHAnsi" w:eastAsia="Times New Roman" w:hAnsiTheme="minorHAnsi" w:cstheme="minorHAnsi"/>
                <w:sz w:val="20"/>
                <w:szCs w:val="20"/>
              </w:rPr>
            </w:pPr>
          </w:p>
        </w:tc>
        <w:tc>
          <w:tcPr>
            <w:tcW w:w="2118" w:type="dxa"/>
          </w:tcPr>
          <w:p w14:paraId="199C09CC" w14:textId="77777777" w:rsidR="001F1FB5" w:rsidRPr="007C11AF" w:rsidRDefault="001F1FB5" w:rsidP="001F1FB5">
            <w:pPr>
              <w:spacing w:line="240" w:lineRule="auto"/>
              <w:rPr>
                <w:rFonts w:asciiTheme="minorHAnsi" w:eastAsia="Times New Roman" w:hAnsiTheme="minorHAnsi" w:cstheme="minorHAnsi"/>
                <w:sz w:val="20"/>
                <w:szCs w:val="20"/>
              </w:rPr>
            </w:pPr>
          </w:p>
          <w:p w14:paraId="12308F02" w14:textId="77777777"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As required – typically informed by approved business cases for bids on the Fund.</w:t>
            </w:r>
          </w:p>
          <w:p w14:paraId="6BEB0688" w14:textId="77777777" w:rsidR="001F1FB5" w:rsidRPr="007C11AF" w:rsidRDefault="001F1FB5" w:rsidP="001F1FB5">
            <w:pPr>
              <w:spacing w:line="240" w:lineRule="auto"/>
              <w:rPr>
                <w:rFonts w:asciiTheme="minorHAnsi" w:eastAsia="Times New Roman" w:hAnsiTheme="minorHAnsi" w:cstheme="minorHAnsi"/>
                <w:sz w:val="20"/>
                <w:szCs w:val="20"/>
              </w:rPr>
            </w:pPr>
          </w:p>
          <w:p w14:paraId="32668233" w14:textId="77777777" w:rsidR="001F1FB5" w:rsidRPr="007C11AF" w:rsidRDefault="001F1FB5" w:rsidP="001F1FB5">
            <w:pPr>
              <w:spacing w:line="240" w:lineRule="auto"/>
              <w:rPr>
                <w:rFonts w:asciiTheme="minorHAnsi" w:eastAsia="Times New Roman" w:hAnsiTheme="minorHAnsi" w:cstheme="minorHAnsi"/>
                <w:sz w:val="20"/>
                <w:szCs w:val="20"/>
              </w:rPr>
            </w:pPr>
          </w:p>
        </w:tc>
        <w:tc>
          <w:tcPr>
            <w:tcW w:w="1420" w:type="dxa"/>
          </w:tcPr>
          <w:p w14:paraId="219D9C7F" w14:textId="77777777" w:rsidR="001F1FB5" w:rsidRPr="007C11AF" w:rsidRDefault="001F1FB5" w:rsidP="001F1FB5">
            <w:pPr>
              <w:spacing w:line="240" w:lineRule="auto"/>
              <w:rPr>
                <w:rFonts w:asciiTheme="minorHAnsi" w:eastAsia="Times New Roman" w:hAnsiTheme="minorHAnsi" w:cstheme="minorHAnsi"/>
                <w:sz w:val="20"/>
                <w:szCs w:val="20"/>
              </w:rPr>
            </w:pPr>
          </w:p>
          <w:p w14:paraId="36896FEE" w14:textId="675E9552" w:rsidR="001F1FB5" w:rsidRPr="007C11AF" w:rsidRDefault="007C11AF" w:rsidP="001F1FB5">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Variable</w:t>
            </w:r>
            <w:r w:rsidR="001F1FB5" w:rsidRPr="007C11AF">
              <w:rPr>
                <w:rFonts w:asciiTheme="minorHAnsi" w:eastAsia="Times New Roman" w:hAnsiTheme="minorHAnsi" w:cstheme="minorHAnsi"/>
                <w:sz w:val="20"/>
                <w:szCs w:val="20"/>
              </w:rPr>
              <w:t xml:space="preserve"> according to outturn and annual risk assessment.</w:t>
            </w:r>
          </w:p>
          <w:p w14:paraId="5197D55A" w14:textId="77777777" w:rsidR="001F1FB5" w:rsidRPr="007C11AF" w:rsidRDefault="001F1FB5" w:rsidP="001F1FB5">
            <w:pPr>
              <w:spacing w:line="240" w:lineRule="auto"/>
              <w:rPr>
                <w:rFonts w:asciiTheme="minorHAnsi" w:eastAsia="Times New Roman" w:hAnsiTheme="minorHAnsi" w:cstheme="minorHAnsi"/>
                <w:sz w:val="20"/>
                <w:szCs w:val="20"/>
              </w:rPr>
            </w:pPr>
          </w:p>
        </w:tc>
        <w:tc>
          <w:tcPr>
            <w:tcW w:w="3833" w:type="dxa"/>
          </w:tcPr>
          <w:p w14:paraId="495C69F1" w14:textId="77777777" w:rsidR="001F1FB5" w:rsidRPr="007C11AF" w:rsidRDefault="001F1FB5" w:rsidP="001F1FB5">
            <w:pPr>
              <w:spacing w:line="240" w:lineRule="auto"/>
              <w:rPr>
                <w:rFonts w:asciiTheme="minorHAnsi" w:eastAsia="Times New Roman" w:hAnsiTheme="minorHAnsi" w:cstheme="minorHAnsi"/>
                <w:sz w:val="20"/>
                <w:szCs w:val="20"/>
              </w:rPr>
            </w:pPr>
          </w:p>
          <w:p w14:paraId="72C31FCC" w14:textId="6902D3C9"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If the reserve was not held initiatives would be funded either from the revenue budget or from other earmarked policing reserves.</w:t>
            </w:r>
          </w:p>
          <w:p w14:paraId="558C338F" w14:textId="77777777" w:rsidR="007C11AF" w:rsidRPr="007C11AF" w:rsidRDefault="007C11AF" w:rsidP="001F1FB5">
            <w:pPr>
              <w:spacing w:line="240" w:lineRule="auto"/>
              <w:rPr>
                <w:rFonts w:asciiTheme="minorHAnsi" w:eastAsia="Times New Roman" w:hAnsiTheme="minorHAnsi" w:cstheme="minorHAnsi"/>
                <w:sz w:val="20"/>
                <w:szCs w:val="20"/>
              </w:rPr>
            </w:pPr>
          </w:p>
          <w:p w14:paraId="4A6D6451" w14:textId="4D9AFBF5" w:rsidR="007C11AF" w:rsidRPr="007C11AF" w:rsidRDefault="007C11AF"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If alternative funds were not available, then there could be missed opportunities for initiatives that cannot be progressed.</w:t>
            </w:r>
          </w:p>
          <w:p w14:paraId="61812595" w14:textId="0F636269" w:rsidR="00CC09C1" w:rsidRPr="007C11AF" w:rsidRDefault="00CC09C1" w:rsidP="001F1FB5">
            <w:pPr>
              <w:spacing w:line="240" w:lineRule="auto"/>
              <w:rPr>
                <w:rFonts w:asciiTheme="minorHAnsi" w:eastAsia="Times New Roman" w:hAnsiTheme="minorHAnsi" w:cstheme="minorHAnsi"/>
                <w:sz w:val="20"/>
                <w:szCs w:val="20"/>
              </w:rPr>
            </w:pPr>
          </w:p>
        </w:tc>
        <w:tc>
          <w:tcPr>
            <w:tcW w:w="1332" w:type="dxa"/>
          </w:tcPr>
          <w:p w14:paraId="7013BBBD" w14:textId="77777777" w:rsidR="001F1FB5" w:rsidRPr="007C11AF" w:rsidRDefault="001F1FB5" w:rsidP="001F1FB5">
            <w:pPr>
              <w:spacing w:line="240" w:lineRule="auto"/>
              <w:rPr>
                <w:rFonts w:asciiTheme="minorHAnsi" w:eastAsia="Times New Roman" w:hAnsiTheme="minorHAnsi" w:cstheme="minorHAnsi"/>
                <w:sz w:val="20"/>
                <w:szCs w:val="20"/>
              </w:rPr>
            </w:pPr>
          </w:p>
          <w:p w14:paraId="118C29BD" w14:textId="40163786"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 xml:space="preserve">PFCC, on advice from PFCC CFO </w:t>
            </w:r>
          </w:p>
        </w:tc>
        <w:tc>
          <w:tcPr>
            <w:tcW w:w="990" w:type="dxa"/>
          </w:tcPr>
          <w:p w14:paraId="328BAD35" w14:textId="2DAE44A5" w:rsidR="001F1FB5" w:rsidRPr="007C11AF" w:rsidRDefault="001F1FB5" w:rsidP="001F1FB5">
            <w:pPr>
              <w:spacing w:line="240" w:lineRule="auto"/>
              <w:rPr>
                <w:rFonts w:asciiTheme="minorHAnsi" w:eastAsia="Times New Roman" w:hAnsiTheme="minorHAnsi" w:cstheme="minorHAnsi"/>
                <w:sz w:val="20"/>
                <w:szCs w:val="20"/>
              </w:rPr>
            </w:pPr>
          </w:p>
          <w:p w14:paraId="33808932" w14:textId="77777777"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 xml:space="preserve">Annual </w:t>
            </w:r>
          </w:p>
        </w:tc>
      </w:tr>
      <w:tr w:rsidR="001F1FB5" w:rsidRPr="007C11AF" w14:paraId="1A9FDF11" w14:textId="77777777" w:rsidTr="007C11AF">
        <w:trPr>
          <w:cantSplit/>
          <w:jc w:val="center"/>
        </w:trPr>
        <w:tc>
          <w:tcPr>
            <w:tcW w:w="1838" w:type="dxa"/>
          </w:tcPr>
          <w:p w14:paraId="00249CF9" w14:textId="77777777" w:rsidR="001F1FB5" w:rsidRPr="007C11AF" w:rsidRDefault="001F1FB5" w:rsidP="001F1FB5">
            <w:pPr>
              <w:spacing w:line="240" w:lineRule="auto"/>
              <w:rPr>
                <w:rFonts w:asciiTheme="minorHAnsi" w:eastAsia="Times New Roman" w:hAnsiTheme="minorHAnsi" w:cstheme="minorHAnsi"/>
                <w:b/>
                <w:bCs/>
                <w:sz w:val="20"/>
                <w:szCs w:val="20"/>
              </w:rPr>
            </w:pPr>
          </w:p>
          <w:p w14:paraId="17A6B747" w14:textId="3BC5D936" w:rsidR="001F1FB5" w:rsidRPr="007C11AF" w:rsidRDefault="001F1FB5" w:rsidP="001F1FB5">
            <w:pPr>
              <w:spacing w:line="240" w:lineRule="auto"/>
              <w:rPr>
                <w:rFonts w:asciiTheme="minorHAnsi" w:eastAsia="Times New Roman" w:hAnsiTheme="minorHAnsi" w:cstheme="minorHAnsi"/>
                <w:b/>
                <w:bCs/>
                <w:sz w:val="20"/>
                <w:szCs w:val="20"/>
              </w:rPr>
            </w:pPr>
            <w:r w:rsidRPr="007C11AF">
              <w:rPr>
                <w:rFonts w:asciiTheme="minorHAnsi" w:eastAsia="Times New Roman" w:hAnsiTheme="minorHAnsi" w:cstheme="minorHAnsi"/>
                <w:b/>
                <w:bCs/>
                <w:sz w:val="20"/>
                <w:szCs w:val="20"/>
              </w:rPr>
              <w:t>EARMARKED - TRANSFORMATION</w:t>
            </w:r>
          </w:p>
        </w:tc>
        <w:tc>
          <w:tcPr>
            <w:tcW w:w="3119" w:type="dxa"/>
          </w:tcPr>
          <w:p w14:paraId="71D1E8D2" w14:textId="77777777" w:rsidR="001F1FB5" w:rsidRPr="007C11AF" w:rsidRDefault="001F1FB5" w:rsidP="001F1FB5">
            <w:pPr>
              <w:spacing w:line="240" w:lineRule="auto"/>
              <w:rPr>
                <w:rFonts w:asciiTheme="minorHAnsi" w:eastAsia="Times New Roman" w:hAnsiTheme="minorHAnsi" w:cstheme="minorHAnsi"/>
                <w:sz w:val="20"/>
                <w:szCs w:val="20"/>
              </w:rPr>
            </w:pPr>
          </w:p>
          <w:p w14:paraId="1CDDBA2E" w14:textId="5745C013"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 xml:space="preserve">To fund transformative activities and opportunities and meet initial and upfront costs of </w:t>
            </w:r>
            <w:r w:rsidR="007C11AF" w:rsidRPr="007C11AF">
              <w:rPr>
                <w:rFonts w:asciiTheme="minorHAnsi" w:eastAsia="Times New Roman" w:hAnsiTheme="minorHAnsi" w:cstheme="minorHAnsi"/>
                <w:sz w:val="20"/>
                <w:szCs w:val="20"/>
              </w:rPr>
              <w:t>approved</w:t>
            </w:r>
            <w:r w:rsidRPr="007C11AF">
              <w:rPr>
                <w:rFonts w:asciiTheme="minorHAnsi" w:eastAsia="Times New Roman" w:hAnsiTheme="minorHAnsi" w:cstheme="minorHAnsi"/>
                <w:sz w:val="20"/>
                <w:szCs w:val="20"/>
              </w:rPr>
              <w:t xml:space="preserve"> projects.  </w:t>
            </w:r>
          </w:p>
          <w:p w14:paraId="013C465D" w14:textId="77777777" w:rsidR="001F1FB5" w:rsidRPr="007C11AF" w:rsidRDefault="001F1FB5" w:rsidP="001F1FB5">
            <w:pPr>
              <w:spacing w:line="240" w:lineRule="auto"/>
              <w:rPr>
                <w:rFonts w:asciiTheme="minorHAnsi" w:eastAsia="Times New Roman" w:hAnsiTheme="minorHAnsi" w:cstheme="minorHAnsi"/>
                <w:sz w:val="20"/>
                <w:szCs w:val="20"/>
              </w:rPr>
            </w:pPr>
          </w:p>
        </w:tc>
        <w:tc>
          <w:tcPr>
            <w:tcW w:w="2118" w:type="dxa"/>
          </w:tcPr>
          <w:p w14:paraId="0064147D" w14:textId="77777777" w:rsidR="001F1FB5" w:rsidRPr="007C11AF" w:rsidRDefault="001F1FB5" w:rsidP="001F1FB5">
            <w:pPr>
              <w:spacing w:line="240" w:lineRule="auto"/>
              <w:rPr>
                <w:rFonts w:asciiTheme="minorHAnsi" w:eastAsia="Times New Roman" w:hAnsiTheme="minorHAnsi" w:cstheme="minorHAnsi"/>
                <w:sz w:val="20"/>
                <w:szCs w:val="20"/>
              </w:rPr>
            </w:pPr>
          </w:p>
          <w:p w14:paraId="1A72A374" w14:textId="4ACFEF2D"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 xml:space="preserve">To access the funds a costed request </w:t>
            </w:r>
            <w:r w:rsidR="007C11AF" w:rsidRPr="007C11AF">
              <w:rPr>
                <w:rFonts w:asciiTheme="minorHAnsi" w:eastAsia="Times New Roman" w:hAnsiTheme="minorHAnsi" w:cstheme="minorHAnsi"/>
                <w:sz w:val="20"/>
                <w:szCs w:val="20"/>
              </w:rPr>
              <w:t xml:space="preserve">or business case </w:t>
            </w:r>
            <w:r w:rsidRPr="007C11AF">
              <w:rPr>
                <w:rFonts w:asciiTheme="minorHAnsi" w:eastAsia="Times New Roman" w:hAnsiTheme="minorHAnsi" w:cstheme="minorHAnsi"/>
                <w:sz w:val="20"/>
                <w:szCs w:val="20"/>
              </w:rPr>
              <w:t>has to be provided.</w:t>
            </w:r>
          </w:p>
        </w:tc>
        <w:tc>
          <w:tcPr>
            <w:tcW w:w="1420" w:type="dxa"/>
          </w:tcPr>
          <w:p w14:paraId="3AF56647" w14:textId="77777777" w:rsidR="001F1FB5" w:rsidRPr="007C11AF" w:rsidRDefault="001F1FB5" w:rsidP="001F1FB5">
            <w:pPr>
              <w:spacing w:line="240" w:lineRule="auto"/>
              <w:rPr>
                <w:rFonts w:asciiTheme="minorHAnsi" w:eastAsia="Times New Roman" w:hAnsiTheme="minorHAnsi" w:cstheme="minorHAnsi"/>
                <w:sz w:val="20"/>
                <w:szCs w:val="20"/>
              </w:rPr>
            </w:pPr>
          </w:p>
          <w:p w14:paraId="73618AA8" w14:textId="33BD3FC8" w:rsidR="001F1FB5" w:rsidRPr="007C11AF" w:rsidRDefault="00843F6A" w:rsidP="001F1FB5">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Variable</w:t>
            </w:r>
            <w:r w:rsidR="001F1FB5" w:rsidRPr="007C11AF">
              <w:rPr>
                <w:rFonts w:asciiTheme="minorHAnsi" w:eastAsia="Times New Roman" w:hAnsiTheme="minorHAnsi" w:cstheme="minorHAnsi"/>
                <w:sz w:val="20"/>
                <w:szCs w:val="20"/>
              </w:rPr>
              <w:t xml:space="preserve"> according to outturn and annual risk assessment.</w:t>
            </w:r>
          </w:p>
          <w:p w14:paraId="00113935" w14:textId="77777777" w:rsidR="001F1FB5" w:rsidRPr="007C11AF" w:rsidRDefault="001F1FB5" w:rsidP="001F1FB5">
            <w:pPr>
              <w:spacing w:line="240" w:lineRule="auto"/>
              <w:rPr>
                <w:rFonts w:asciiTheme="minorHAnsi" w:eastAsia="Times New Roman" w:hAnsiTheme="minorHAnsi" w:cstheme="minorHAnsi"/>
                <w:sz w:val="20"/>
                <w:szCs w:val="20"/>
              </w:rPr>
            </w:pPr>
          </w:p>
        </w:tc>
        <w:tc>
          <w:tcPr>
            <w:tcW w:w="3833" w:type="dxa"/>
          </w:tcPr>
          <w:p w14:paraId="1F8103B0" w14:textId="77777777" w:rsidR="001F1FB5" w:rsidRPr="007C11AF" w:rsidRDefault="001F1FB5" w:rsidP="001F1FB5">
            <w:pPr>
              <w:spacing w:line="240" w:lineRule="auto"/>
              <w:rPr>
                <w:rFonts w:asciiTheme="minorHAnsi" w:eastAsia="Times New Roman" w:hAnsiTheme="minorHAnsi" w:cstheme="minorHAnsi"/>
                <w:sz w:val="20"/>
                <w:szCs w:val="20"/>
              </w:rPr>
            </w:pPr>
          </w:p>
          <w:p w14:paraId="2A7EE7A9" w14:textId="1D712864"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 xml:space="preserve">If funds were not provided, the risk is that equipment or services and resources required to </w:t>
            </w:r>
            <w:r w:rsidR="007C11AF" w:rsidRPr="007C11AF">
              <w:rPr>
                <w:rFonts w:asciiTheme="minorHAnsi" w:eastAsia="Times New Roman" w:hAnsiTheme="minorHAnsi" w:cstheme="minorHAnsi"/>
                <w:sz w:val="20"/>
                <w:szCs w:val="20"/>
              </w:rPr>
              <w:t xml:space="preserve">implement transformative projects </w:t>
            </w:r>
            <w:r w:rsidRPr="007C11AF">
              <w:rPr>
                <w:rFonts w:asciiTheme="minorHAnsi" w:eastAsia="Times New Roman" w:hAnsiTheme="minorHAnsi" w:cstheme="minorHAnsi"/>
                <w:sz w:val="20"/>
                <w:szCs w:val="20"/>
              </w:rPr>
              <w:t>would have to be replaced from the current year’s budget or other reserves.</w:t>
            </w:r>
          </w:p>
          <w:p w14:paraId="06415078" w14:textId="77777777" w:rsidR="00B1524E" w:rsidRPr="007C11AF" w:rsidRDefault="00B1524E" w:rsidP="001F1FB5">
            <w:pPr>
              <w:spacing w:line="240" w:lineRule="auto"/>
              <w:rPr>
                <w:rFonts w:asciiTheme="minorHAnsi" w:eastAsia="Times New Roman" w:hAnsiTheme="minorHAnsi" w:cstheme="minorHAnsi"/>
                <w:sz w:val="20"/>
                <w:szCs w:val="20"/>
              </w:rPr>
            </w:pPr>
          </w:p>
          <w:p w14:paraId="368109D8" w14:textId="77777777" w:rsidR="00B1524E" w:rsidRPr="007C11AF" w:rsidRDefault="00B1524E"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If no funds were available, it may be that innovative activity is hindered.</w:t>
            </w:r>
          </w:p>
          <w:p w14:paraId="7EE31F80" w14:textId="408E8494" w:rsidR="00CC09C1" w:rsidRPr="007C11AF" w:rsidRDefault="00CC09C1" w:rsidP="001F1FB5">
            <w:pPr>
              <w:spacing w:line="240" w:lineRule="auto"/>
              <w:rPr>
                <w:rFonts w:asciiTheme="minorHAnsi" w:eastAsia="Times New Roman" w:hAnsiTheme="minorHAnsi" w:cstheme="minorHAnsi"/>
                <w:sz w:val="20"/>
                <w:szCs w:val="20"/>
              </w:rPr>
            </w:pPr>
          </w:p>
        </w:tc>
        <w:tc>
          <w:tcPr>
            <w:tcW w:w="1332" w:type="dxa"/>
          </w:tcPr>
          <w:p w14:paraId="2F5CDEE1" w14:textId="77777777" w:rsidR="001F1FB5" w:rsidRPr="007C11AF" w:rsidRDefault="001F1FB5" w:rsidP="001F1FB5">
            <w:pPr>
              <w:spacing w:line="240" w:lineRule="auto"/>
              <w:rPr>
                <w:rFonts w:asciiTheme="minorHAnsi" w:eastAsia="Times New Roman" w:hAnsiTheme="minorHAnsi" w:cstheme="minorHAnsi"/>
                <w:sz w:val="20"/>
                <w:szCs w:val="20"/>
              </w:rPr>
            </w:pPr>
          </w:p>
          <w:p w14:paraId="67E3B2BF" w14:textId="18DF375B"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PFCC, on advice from PFCC CFO</w:t>
            </w:r>
          </w:p>
        </w:tc>
        <w:tc>
          <w:tcPr>
            <w:tcW w:w="990" w:type="dxa"/>
          </w:tcPr>
          <w:p w14:paraId="6A3C773F" w14:textId="4929E930" w:rsidR="001F1FB5" w:rsidRPr="007C11AF" w:rsidRDefault="001F1FB5" w:rsidP="001F1FB5">
            <w:pPr>
              <w:spacing w:line="240" w:lineRule="auto"/>
              <w:rPr>
                <w:rFonts w:asciiTheme="minorHAnsi" w:eastAsia="Times New Roman" w:hAnsiTheme="minorHAnsi" w:cstheme="minorHAnsi"/>
                <w:sz w:val="20"/>
                <w:szCs w:val="20"/>
              </w:rPr>
            </w:pPr>
          </w:p>
          <w:p w14:paraId="2CB79A1C" w14:textId="77777777" w:rsidR="001F1FB5" w:rsidRPr="007C11AF" w:rsidRDefault="001F1FB5" w:rsidP="001F1FB5">
            <w:pPr>
              <w:spacing w:line="240" w:lineRule="auto"/>
              <w:rPr>
                <w:rFonts w:asciiTheme="minorHAnsi" w:eastAsia="Times New Roman" w:hAnsiTheme="minorHAnsi" w:cstheme="minorHAnsi"/>
                <w:sz w:val="20"/>
                <w:szCs w:val="20"/>
              </w:rPr>
            </w:pPr>
            <w:r w:rsidRPr="007C11AF">
              <w:rPr>
                <w:rFonts w:asciiTheme="minorHAnsi" w:eastAsia="Times New Roman" w:hAnsiTheme="minorHAnsi" w:cstheme="minorHAnsi"/>
                <w:sz w:val="20"/>
                <w:szCs w:val="20"/>
              </w:rPr>
              <w:t>Annual</w:t>
            </w:r>
          </w:p>
        </w:tc>
      </w:tr>
      <w:tr w:rsidR="001F1FB5" w:rsidRPr="00843F6A" w14:paraId="5E4864E0" w14:textId="77777777" w:rsidTr="007C11AF">
        <w:trPr>
          <w:cantSplit/>
          <w:jc w:val="center"/>
        </w:trPr>
        <w:tc>
          <w:tcPr>
            <w:tcW w:w="1838" w:type="dxa"/>
          </w:tcPr>
          <w:p w14:paraId="023D602D" w14:textId="77777777" w:rsidR="001F1FB5" w:rsidRPr="00843F6A" w:rsidRDefault="001F1FB5" w:rsidP="001F1FB5">
            <w:pPr>
              <w:spacing w:line="240" w:lineRule="auto"/>
              <w:rPr>
                <w:rFonts w:asciiTheme="minorHAnsi" w:eastAsia="Times New Roman" w:hAnsiTheme="minorHAnsi" w:cstheme="minorHAnsi"/>
                <w:b/>
                <w:bCs/>
                <w:sz w:val="20"/>
                <w:szCs w:val="20"/>
              </w:rPr>
            </w:pPr>
          </w:p>
          <w:p w14:paraId="079F5F64" w14:textId="77777777" w:rsidR="001F1FB5" w:rsidRPr="00843F6A" w:rsidRDefault="001F1FB5" w:rsidP="001F1FB5">
            <w:pPr>
              <w:spacing w:line="240" w:lineRule="auto"/>
              <w:rPr>
                <w:rFonts w:asciiTheme="minorHAnsi" w:eastAsia="Times New Roman" w:hAnsiTheme="minorHAnsi" w:cstheme="minorHAnsi"/>
                <w:b/>
                <w:bCs/>
                <w:sz w:val="20"/>
                <w:szCs w:val="20"/>
              </w:rPr>
            </w:pPr>
            <w:r w:rsidRPr="00843F6A">
              <w:rPr>
                <w:rFonts w:asciiTheme="minorHAnsi" w:eastAsia="Times New Roman" w:hAnsiTheme="minorHAnsi" w:cstheme="minorHAnsi"/>
                <w:b/>
                <w:bCs/>
                <w:sz w:val="20"/>
                <w:szCs w:val="20"/>
              </w:rPr>
              <w:t>EARMARKED - SAFER ROADS</w:t>
            </w:r>
          </w:p>
        </w:tc>
        <w:tc>
          <w:tcPr>
            <w:tcW w:w="3119" w:type="dxa"/>
          </w:tcPr>
          <w:p w14:paraId="081B25EC" w14:textId="77777777" w:rsidR="001F1FB5" w:rsidRPr="00843F6A" w:rsidRDefault="001F1FB5" w:rsidP="001F1FB5">
            <w:pPr>
              <w:spacing w:line="240" w:lineRule="auto"/>
              <w:rPr>
                <w:rFonts w:asciiTheme="minorHAnsi" w:eastAsia="Times New Roman" w:hAnsiTheme="minorHAnsi" w:cstheme="minorHAnsi"/>
                <w:sz w:val="20"/>
                <w:szCs w:val="20"/>
              </w:rPr>
            </w:pPr>
          </w:p>
          <w:p w14:paraId="6B5FD724" w14:textId="77777777" w:rsidR="004036C9" w:rsidRPr="00843F6A" w:rsidRDefault="004036C9" w:rsidP="004036C9">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The reserve is held to provide an opportunity for supporting local road safety related grants and to fund initiatives in the county identified locally and by the Road Safety Alliance.</w:t>
            </w:r>
          </w:p>
          <w:p w14:paraId="234C4CAA" w14:textId="77777777" w:rsidR="004036C9" w:rsidRPr="00843F6A" w:rsidRDefault="004036C9" w:rsidP="004036C9">
            <w:pPr>
              <w:spacing w:line="240" w:lineRule="auto"/>
              <w:rPr>
                <w:rFonts w:asciiTheme="minorHAnsi" w:eastAsia="Times New Roman" w:hAnsiTheme="minorHAnsi" w:cstheme="minorHAnsi"/>
                <w:sz w:val="20"/>
                <w:szCs w:val="20"/>
              </w:rPr>
            </w:pPr>
          </w:p>
          <w:p w14:paraId="148A87C0" w14:textId="09DCBFA3" w:rsidR="001F1FB5" w:rsidRPr="00843F6A" w:rsidRDefault="004036C9"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S</w:t>
            </w:r>
            <w:r w:rsidR="001F1FB5" w:rsidRPr="00843F6A">
              <w:rPr>
                <w:rFonts w:asciiTheme="minorHAnsi" w:eastAsia="Times New Roman" w:hAnsiTheme="minorHAnsi" w:cstheme="minorHAnsi"/>
                <w:sz w:val="20"/>
                <w:szCs w:val="20"/>
              </w:rPr>
              <w:t>urpluses of fines and speed awareness course income is reinvested in replacement equipment and road safety initiatives.</w:t>
            </w:r>
          </w:p>
          <w:p w14:paraId="21867DBD" w14:textId="77777777" w:rsidR="001F1FB5" w:rsidRPr="00843F6A" w:rsidRDefault="001F1FB5" w:rsidP="001F1FB5">
            <w:pPr>
              <w:spacing w:line="240" w:lineRule="auto"/>
              <w:rPr>
                <w:rFonts w:asciiTheme="minorHAnsi" w:eastAsia="Times New Roman" w:hAnsiTheme="minorHAnsi" w:cstheme="minorHAnsi"/>
                <w:sz w:val="20"/>
                <w:szCs w:val="20"/>
              </w:rPr>
            </w:pPr>
          </w:p>
          <w:p w14:paraId="3F9275F4" w14:textId="587FADFE" w:rsidR="001F1FB5" w:rsidRPr="00843F6A" w:rsidRDefault="001F1FB5"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The reserve is influenced by the work of the Road Safety Alliance</w:t>
            </w:r>
            <w:r w:rsidR="004036C9" w:rsidRPr="00843F6A">
              <w:rPr>
                <w:rFonts w:asciiTheme="minorHAnsi" w:eastAsia="Times New Roman" w:hAnsiTheme="minorHAnsi" w:cstheme="minorHAnsi"/>
                <w:sz w:val="20"/>
                <w:szCs w:val="20"/>
              </w:rPr>
              <w:t>.</w:t>
            </w:r>
          </w:p>
          <w:p w14:paraId="70C3F79E" w14:textId="77777777" w:rsidR="001F1FB5" w:rsidRPr="00843F6A" w:rsidRDefault="001F1FB5" w:rsidP="001F1FB5">
            <w:pPr>
              <w:spacing w:line="240" w:lineRule="auto"/>
              <w:rPr>
                <w:rFonts w:asciiTheme="minorHAnsi" w:eastAsia="Times New Roman" w:hAnsiTheme="minorHAnsi" w:cstheme="minorHAnsi"/>
                <w:sz w:val="20"/>
                <w:szCs w:val="20"/>
              </w:rPr>
            </w:pPr>
          </w:p>
        </w:tc>
        <w:tc>
          <w:tcPr>
            <w:tcW w:w="2118" w:type="dxa"/>
          </w:tcPr>
          <w:p w14:paraId="28FF4A68" w14:textId="77777777" w:rsidR="001F1FB5" w:rsidRPr="00843F6A" w:rsidRDefault="001F1FB5" w:rsidP="001F1FB5">
            <w:pPr>
              <w:spacing w:line="240" w:lineRule="auto"/>
              <w:rPr>
                <w:rFonts w:asciiTheme="minorHAnsi" w:eastAsia="Times New Roman" w:hAnsiTheme="minorHAnsi" w:cstheme="minorHAnsi"/>
                <w:sz w:val="20"/>
                <w:szCs w:val="20"/>
              </w:rPr>
            </w:pPr>
          </w:p>
          <w:p w14:paraId="64D641BC" w14:textId="77777777" w:rsidR="001F1FB5" w:rsidRPr="00843F6A" w:rsidRDefault="001F1FB5"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As required – typically informed by approved business cases for bids on the Fund.</w:t>
            </w:r>
          </w:p>
        </w:tc>
        <w:tc>
          <w:tcPr>
            <w:tcW w:w="1420" w:type="dxa"/>
          </w:tcPr>
          <w:p w14:paraId="0AA4ADDB" w14:textId="77777777" w:rsidR="001F1FB5" w:rsidRPr="00843F6A" w:rsidRDefault="001F1FB5" w:rsidP="001F1FB5">
            <w:pPr>
              <w:spacing w:line="240" w:lineRule="auto"/>
              <w:rPr>
                <w:rFonts w:asciiTheme="minorHAnsi" w:eastAsia="Times New Roman" w:hAnsiTheme="minorHAnsi" w:cstheme="minorHAnsi"/>
                <w:sz w:val="20"/>
                <w:szCs w:val="20"/>
              </w:rPr>
            </w:pPr>
          </w:p>
          <w:p w14:paraId="6AAE54E4" w14:textId="7538EC26" w:rsidR="001F1FB5" w:rsidRPr="00843F6A" w:rsidRDefault="00843F6A"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Variable</w:t>
            </w:r>
            <w:r w:rsidR="001F1FB5" w:rsidRPr="00843F6A">
              <w:rPr>
                <w:rFonts w:asciiTheme="minorHAnsi" w:eastAsia="Times New Roman" w:hAnsiTheme="minorHAnsi" w:cstheme="minorHAnsi"/>
                <w:sz w:val="20"/>
                <w:szCs w:val="20"/>
              </w:rPr>
              <w:t xml:space="preserve"> according to outturn and annual risk assessment.</w:t>
            </w:r>
          </w:p>
          <w:p w14:paraId="3CFBA0B8" w14:textId="77777777" w:rsidR="001F1FB5" w:rsidRPr="00843F6A" w:rsidRDefault="001F1FB5" w:rsidP="001F1FB5">
            <w:pPr>
              <w:spacing w:line="240" w:lineRule="auto"/>
              <w:rPr>
                <w:rFonts w:asciiTheme="minorHAnsi" w:eastAsia="Times New Roman" w:hAnsiTheme="minorHAnsi" w:cstheme="minorHAnsi"/>
                <w:sz w:val="20"/>
                <w:szCs w:val="20"/>
              </w:rPr>
            </w:pPr>
          </w:p>
        </w:tc>
        <w:tc>
          <w:tcPr>
            <w:tcW w:w="3833" w:type="dxa"/>
          </w:tcPr>
          <w:p w14:paraId="557E1007" w14:textId="77777777" w:rsidR="001F1FB5" w:rsidRPr="00843F6A" w:rsidRDefault="001F1FB5" w:rsidP="001F1FB5">
            <w:pPr>
              <w:spacing w:line="240" w:lineRule="auto"/>
              <w:rPr>
                <w:rFonts w:asciiTheme="minorHAnsi" w:eastAsia="Times New Roman" w:hAnsiTheme="minorHAnsi" w:cstheme="minorHAnsi"/>
                <w:sz w:val="20"/>
                <w:szCs w:val="20"/>
              </w:rPr>
            </w:pPr>
          </w:p>
          <w:p w14:paraId="1B556AFE" w14:textId="77777777" w:rsidR="001F1FB5" w:rsidRPr="00843F6A" w:rsidRDefault="001F1FB5"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If reserve was not held then safety initiatives would have to be funded from the revenue budget, other reserves or not implemented.</w:t>
            </w:r>
          </w:p>
          <w:p w14:paraId="36F644DA" w14:textId="77777777" w:rsidR="001F1FB5" w:rsidRPr="00843F6A" w:rsidRDefault="001F1FB5" w:rsidP="001F1FB5">
            <w:pPr>
              <w:spacing w:line="240" w:lineRule="auto"/>
              <w:rPr>
                <w:rFonts w:asciiTheme="minorHAnsi" w:eastAsia="Times New Roman" w:hAnsiTheme="minorHAnsi" w:cstheme="minorHAnsi"/>
                <w:sz w:val="20"/>
                <w:szCs w:val="20"/>
              </w:rPr>
            </w:pPr>
          </w:p>
          <w:p w14:paraId="20BC29FA" w14:textId="664023BD" w:rsidR="001F1FB5" w:rsidRPr="00843F6A" w:rsidRDefault="001F1FB5"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This reserve can only be used in accordance with the legislation for its use of road safety related activities.</w:t>
            </w:r>
          </w:p>
          <w:p w14:paraId="6DA319EF" w14:textId="77777777" w:rsidR="001F1FB5" w:rsidRPr="00843F6A" w:rsidRDefault="001F1FB5" w:rsidP="001F1FB5">
            <w:pPr>
              <w:spacing w:line="240" w:lineRule="auto"/>
              <w:rPr>
                <w:rFonts w:asciiTheme="minorHAnsi" w:eastAsia="Times New Roman" w:hAnsiTheme="minorHAnsi" w:cstheme="minorHAnsi"/>
                <w:sz w:val="20"/>
                <w:szCs w:val="20"/>
              </w:rPr>
            </w:pPr>
          </w:p>
        </w:tc>
        <w:tc>
          <w:tcPr>
            <w:tcW w:w="1332" w:type="dxa"/>
          </w:tcPr>
          <w:p w14:paraId="465B5AD3" w14:textId="77777777" w:rsidR="001F1FB5" w:rsidRPr="00843F6A" w:rsidRDefault="001F1FB5" w:rsidP="001F1FB5">
            <w:pPr>
              <w:spacing w:line="240" w:lineRule="auto"/>
              <w:rPr>
                <w:rFonts w:asciiTheme="minorHAnsi" w:eastAsia="Times New Roman" w:hAnsiTheme="minorHAnsi" w:cstheme="minorHAnsi"/>
                <w:sz w:val="20"/>
                <w:szCs w:val="20"/>
              </w:rPr>
            </w:pPr>
          </w:p>
          <w:p w14:paraId="1FCB0604" w14:textId="39B83668" w:rsidR="001F1FB5" w:rsidRPr="00843F6A" w:rsidRDefault="001F1FB5"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PFCC, on advice from PFCC CFO</w:t>
            </w:r>
          </w:p>
        </w:tc>
        <w:tc>
          <w:tcPr>
            <w:tcW w:w="990" w:type="dxa"/>
          </w:tcPr>
          <w:p w14:paraId="2526D5EB" w14:textId="254D4133" w:rsidR="001F1FB5" w:rsidRPr="00843F6A" w:rsidRDefault="001F1FB5" w:rsidP="001F1FB5">
            <w:pPr>
              <w:spacing w:line="240" w:lineRule="auto"/>
              <w:rPr>
                <w:rFonts w:asciiTheme="minorHAnsi" w:eastAsia="Times New Roman" w:hAnsiTheme="minorHAnsi" w:cstheme="minorHAnsi"/>
                <w:sz w:val="20"/>
                <w:szCs w:val="20"/>
              </w:rPr>
            </w:pPr>
          </w:p>
          <w:p w14:paraId="5DE96805" w14:textId="77777777" w:rsidR="001F1FB5" w:rsidRPr="00843F6A" w:rsidRDefault="001F1FB5"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Annual</w:t>
            </w:r>
          </w:p>
        </w:tc>
      </w:tr>
      <w:tr w:rsidR="001F1FB5" w:rsidRPr="00843F6A" w14:paraId="71EE9E5D" w14:textId="77777777" w:rsidTr="007C11AF">
        <w:trPr>
          <w:cantSplit/>
          <w:jc w:val="center"/>
        </w:trPr>
        <w:tc>
          <w:tcPr>
            <w:tcW w:w="1838" w:type="dxa"/>
          </w:tcPr>
          <w:p w14:paraId="1A52D625" w14:textId="77777777" w:rsidR="001F1FB5" w:rsidRPr="00843F6A" w:rsidRDefault="001F1FB5" w:rsidP="001F1FB5">
            <w:pPr>
              <w:spacing w:line="240" w:lineRule="auto"/>
              <w:rPr>
                <w:rFonts w:asciiTheme="minorHAnsi" w:eastAsia="Times New Roman" w:hAnsiTheme="minorHAnsi" w:cstheme="minorHAnsi"/>
                <w:b/>
                <w:bCs/>
                <w:sz w:val="20"/>
                <w:szCs w:val="20"/>
              </w:rPr>
            </w:pPr>
          </w:p>
          <w:p w14:paraId="76EE0B13" w14:textId="77777777" w:rsidR="001F1FB5" w:rsidRPr="00843F6A" w:rsidRDefault="001F1FB5" w:rsidP="001F1FB5">
            <w:pPr>
              <w:spacing w:line="240" w:lineRule="auto"/>
              <w:rPr>
                <w:rFonts w:asciiTheme="minorHAnsi" w:eastAsia="Times New Roman" w:hAnsiTheme="minorHAnsi" w:cstheme="minorHAnsi"/>
                <w:b/>
                <w:bCs/>
                <w:sz w:val="20"/>
                <w:szCs w:val="20"/>
              </w:rPr>
            </w:pPr>
            <w:r w:rsidRPr="00843F6A">
              <w:rPr>
                <w:rFonts w:asciiTheme="minorHAnsi" w:eastAsia="Times New Roman" w:hAnsiTheme="minorHAnsi" w:cstheme="minorHAnsi"/>
                <w:b/>
                <w:bCs/>
                <w:sz w:val="20"/>
                <w:szCs w:val="20"/>
              </w:rPr>
              <w:t>EARMARKED - NEIGHBOURHOOD</w:t>
            </w:r>
          </w:p>
        </w:tc>
        <w:tc>
          <w:tcPr>
            <w:tcW w:w="3119" w:type="dxa"/>
          </w:tcPr>
          <w:p w14:paraId="252BDC9A" w14:textId="77777777" w:rsidR="001F1FB5" w:rsidRPr="00843F6A" w:rsidRDefault="001F1FB5" w:rsidP="001F1FB5">
            <w:pPr>
              <w:spacing w:line="240" w:lineRule="auto"/>
              <w:rPr>
                <w:rFonts w:asciiTheme="minorHAnsi" w:eastAsia="Times New Roman" w:hAnsiTheme="minorHAnsi" w:cstheme="minorHAnsi"/>
                <w:sz w:val="20"/>
                <w:szCs w:val="20"/>
              </w:rPr>
            </w:pPr>
          </w:p>
          <w:p w14:paraId="1EBACDCC" w14:textId="7D995D28" w:rsidR="001F1FB5" w:rsidRPr="00843F6A" w:rsidRDefault="001F1FB5"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For underspends in the Police Community Support Officers (PCSO) budget to be held to be used towards prioritising those resources and used in neighbourhoods or other associated requirements.</w:t>
            </w:r>
          </w:p>
          <w:p w14:paraId="687F28D0" w14:textId="77777777" w:rsidR="00843F6A" w:rsidRPr="00843F6A" w:rsidRDefault="00843F6A" w:rsidP="001F1FB5">
            <w:pPr>
              <w:spacing w:line="240" w:lineRule="auto"/>
              <w:rPr>
                <w:rFonts w:asciiTheme="minorHAnsi" w:eastAsia="Times New Roman" w:hAnsiTheme="minorHAnsi" w:cstheme="minorHAnsi"/>
                <w:sz w:val="20"/>
                <w:szCs w:val="20"/>
              </w:rPr>
            </w:pPr>
          </w:p>
          <w:p w14:paraId="17989616" w14:textId="77777777" w:rsidR="00843F6A" w:rsidRPr="00843F6A" w:rsidRDefault="00843F6A" w:rsidP="00843F6A">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The reserve also provides an opportunity to overrecruit PCSOs or to use on other neighbourhood associated activities or requirements.</w:t>
            </w:r>
          </w:p>
          <w:p w14:paraId="7F97B047" w14:textId="79529198" w:rsidR="00B1524E" w:rsidRPr="00843F6A" w:rsidRDefault="00B1524E" w:rsidP="001F1FB5">
            <w:pPr>
              <w:spacing w:line="240" w:lineRule="auto"/>
              <w:rPr>
                <w:rFonts w:asciiTheme="minorHAnsi" w:eastAsia="Times New Roman" w:hAnsiTheme="minorHAnsi" w:cstheme="minorHAnsi"/>
                <w:sz w:val="20"/>
                <w:szCs w:val="20"/>
              </w:rPr>
            </w:pPr>
          </w:p>
          <w:p w14:paraId="3E96F700" w14:textId="77777777" w:rsidR="001F1FB5" w:rsidRPr="00843F6A" w:rsidRDefault="00B1524E"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 xml:space="preserve">For underspends in Police Officer Pay </w:t>
            </w:r>
            <w:r w:rsidR="00CC09C1" w:rsidRPr="00843F6A">
              <w:rPr>
                <w:rFonts w:asciiTheme="minorHAnsi" w:eastAsia="Times New Roman" w:hAnsiTheme="minorHAnsi" w:cstheme="minorHAnsi"/>
                <w:sz w:val="20"/>
                <w:szCs w:val="20"/>
              </w:rPr>
              <w:t>to be earmarked to support officer strength in the future.</w:t>
            </w:r>
          </w:p>
          <w:p w14:paraId="46F16428" w14:textId="54B1A86B" w:rsidR="00CC09C1" w:rsidRPr="00843F6A" w:rsidRDefault="00CC09C1" w:rsidP="001F1FB5">
            <w:pPr>
              <w:spacing w:line="240" w:lineRule="auto"/>
              <w:rPr>
                <w:rFonts w:asciiTheme="minorHAnsi" w:eastAsia="Times New Roman" w:hAnsiTheme="minorHAnsi" w:cstheme="minorHAnsi"/>
                <w:sz w:val="20"/>
                <w:szCs w:val="20"/>
              </w:rPr>
            </w:pPr>
          </w:p>
        </w:tc>
        <w:tc>
          <w:tcPr>
            <w:tcW w:w="2118" w:type="dxa"/>
          </w:tcPr>
          <w:p w14:paraId="359C3FA1" w14:textId="77777777" w:rsidR="001F1FB5" w:rsidRPr="00843F6A" w:rsidRDefault="001F1FB5" w:rsidP="001F1FB5">
            <w:pPr>
              <w:spacing w:line="240" w:lineRule="auto"/>
              <w:rPr>
                <w:rFonts w:asciiTheme="minorHAnsi" w:eastAsia="Times New Roman" w:hAnsiTheme="minorHAnsi" w:cstheme="minorHAnsi"/>
                <w:sz w:val="20"/>
                <w:szCs w:val="20"/>
              </w:rPr>
            </w:pPr>
          </w:p>
          <w:p w14:paraId="4641C8F2" w14:textId="77777777" w:rsidR="001F1FB5" w:rsidRPr="00843F6A" w:rsidRDefault="001F1FB5"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As required – typically informed by approved business cases for bids on the Fund.</w:t>
            </w:r>
          </w:p>
        </w:tc>
        <w:tc>
          <w:tcPr>
            <w:tcW w:w="1420" w:type="dxa"/>
          </w:tcPr>
          <w:p w14:paraId="64C6D45D" w14:textId="77777777" w:rsidR="001F1FB5" w:rsidRPr="00843F6A" w:rsidRDefault="001F1FB5" w:rsidP="001F1FB5">
            <w:pPr>
              <w:spacing w:line="240" w:lineRule="auto"/>
              <w:rPr>
                <w:rFonts w:asciiTheme="minorHAnsi" w:eastAsia="Times New Roman" w:hAnsiTheme="minorHAnsi" w:cstheme="minorHAnsi"/>
                <w:sz w:val="20"/>
                <w:szCs w:val="20"/>
              </w:rPr>
            </w:pPr>
          </w:p>
          <w:p w14:paraId="3ACDD591" w14:textId="310AB8C3" w:rsidR="001F1FB5" w:rsidRPr="00843F6A" w:rsidRDefault="00843F6A"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Variable</w:t>
            </w:r>
            <w:r w:rsidR="001F1FB5" w:rsidRPr="00843F6A">
              <w:rPr>
                <w:rFonts w:asciiTheme="minorHAnsi" w:eastAsia="Times New Roman" w:hAnsiTheme="minorHAnsi" w:cstheme="minorHAnsi"/>
                <w:sz w:val="20"/>
                <w:szCs w:val="20"/>
              </w:rPr>
              <w:t xml:space="preserve"> according to outturn and annual risk assessment.</w:t>
            </w:r>
          </w:p>
          <w:p w14:paraId="0586F718" w14:textId="77777777" w:rsidR="001F1FB5" w:rsidRPr="00843F6A" w:rsidRDefault="001F1FB5" w:rsidP="001F1FB5">
            <w:pPr>
              <w:spacing w:line="240" w:lineRule="auto"/>
              <w:rPr>
                <w:rFonts w:asciiTheme="minorHAnsi" w:eastAsia="Times New Roman" w:hAnsiTheme="minorHAnsi" w:cstheme="minorHAnsi"/>
                <w:sz w:val="20"/>
                <w:szCs w:val="20"/>
              </w:rPr>
            </w:pPr>
          </w:p>
        </w:tc>
        <w:tc>
          <w:tcPr>
            <w:tcW w:w="3833" w:type="dxa"/>
          </w:tcPr>
          <w:p w14:paraId="32ADBB70" w14:textId="77777777" w:rsidR="001F1FB5" w:rsidRPr="00843F6A" w:rsidRDefault="001F1FB5" w:rsidP="001F1FB5">
            <w:pPr>
              <w:spacing w:line="240" w:lineRule="auto"/>
              <w:rPr>
                <w:rFonts w:asciiTheme="minorHAnsi" w:eastAsia="Times New Roman" w:hAnsiTheme="minorHAnsi" w:cstheme="minorHAnsi"/>
                <w:sz w:val="20"/>
                <w:szCs w:val="20"/>
              </w:rPr>
            </w:pPr>
          </w:p>
          <w:p w14:paraId="4C346F0D" w14:textId="03BC1004" w:rsidR="00CC09C1" w:rsidRPr="00843F6A" w:rsidRDefault="00CC09C1"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 xml:space="preserve">If funds were not earmarked, it is possible that officer </w:t>
            </w:r>
            <w:r w:rsidR="00843F6A" w:rsidRPr="00843F6A">
              <w:rPr>
                <w:rFonts w:asciiTheme="minorHAnsi" w:eastAsia="Times New Roman" w:hAnsiTheme="minorHAnsi" w:cstheme="minorHAnsi"/>
                <w:sz w:val="20"/>
                <w:szCs w:val="20"/>
              </w:rPr>
              <w:t xml:space="preserve">or PCSO </w:t>
            </w:r>
            <w:r w:rsidRPr="00843F6A">
              <w:rPr>
                <w:rFonts w:asciiTheme="minorHAnsi" w:eastAsia="Times New Roman" w:hAnsiTheme="minorHAnsi" w:cstheme="minorHAnsi"/>
                <w:sz w:val="20"/>
                <w:szCs w:val="20"/>
              </w:rPr>
              <w:t xml:space="preserve">numbers would </w:t>
            </w:r>
            <w:r w:rsidR="00843F6A" w:rsidRPr="00843F6A">
              <w:rPr>
                <w:rFonts w:asciiTheme="minorHAnsi" w:eastAsia="Times New Roman" w:hAnsiTheme="minorHAnsi" w:cstheme="minorHAnsi"/>
                <w:sz w:val="20"/>
                <w:szCs w:val="20"/>
              </w:rPr>
              <w:t>need to be reduced.</w:t>
            </w:r>
          </w:p>
          <w:p w14:paraId="640B2FE5" w14:textId="77777777" w:rsidR="001F1FB5" w:rsidRPr="00843F6A" w:rsidRDefault="001F1FB5" w:rsidP="001F1FB5">
            <w:pPr>
              <w:spacing w:line="240" w:lineRule="auto"/>
              <w:rPr>
                <w:rFonts w:asciiTheme="minorHAnsi" w:eastAsia="Times New Roman" w:hAnsiTheme="minorHAnsi" w:cstheme="minorHAnsi"/>
                <w:sz w:val="20"/>
                <w:szCs w:val="20"/>
              </w:rPr>
            </w:pPr>
          </w:p>
          <w:p w14:paraId="1C394E84" w14:textId="77777777" w:rsidR="001F1FB5" w:rsidRPr="00843F6A" w:rsidRDefault="001F1FB5" w:rsidP="001F1FB5">
            <w:pPr>
              <w:spacing w:line="240" w:lineRule="auto"/>
              <w:rPr>
                <w:rFonts w:asciiTheme="minorHAnsi" w:eastAsia="Times New Roman" w:hAnsiTheme="minorHAnsi" w:cstheme="minorHAnsi"/>
                <w:sz w:val="20"/>
                <w:szCs w:val="20"/>
              </w:rPr>
            </w:pPr>
          </w:p>
        </w:tc>
        <w:tc>
          <w:tcPr>
            <w:tcW w:w="1332" w:type="dxa"/>
          </w:tcPr>
          <w:p w14:paraId="6B0C00E1" w14:textId="77777777" w:rsidR="001F1FB5" w:rsidRPr="00843F6A" w:rsidRDefault="001F1FB5" w:rsidP="001F1FB5">
            <w:pPr>
              <w:spacing w:line="240" w:lineRule="auto"/>
              <w:rPr>
                <w:rFonts w:asciiTheme="minorHAnsi" w:eastAsia="Times New Roman" w:hAnsiTheme="minorHAnsi" w:cstheme="minorHAnsi"/>
                <w:sz w:val="20"/>
                <w:szCs w:val="20"/>
              </w:rPr>
            </w:pPr>
          </w:p>
          <w:p w14:paraId="3C3F8CD7" w14:textId="468AB46B" w:rsidR="001F1FB5" w:rsidRPr="00843F6A" w:rsidRDefault="001F1FB5"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PFCC, on advice from PFCC CFO</w:t>
            </w:r>
          </w:p>
        </w:tc>
        <w:tc>
          <w:tcPr>
            <w:tcW w:w="990" w:type="dxa"/>
          </w:tcPr>
          <w:p w14:paraId="5D85EE20" w14:textId="4AB27BAE" w:rsidR="001F1FB5" w:rsidRPr="00843F6A" w:rsidRDefault="001F1FB5" w:rsidP="001F1FB5">
            <w:pPr>
              <w:spacing w:line="240" w:lineRule="auto"/>
              <w:rPr>
                <w:rFonts w:asciiTheme="minorHAnsi" w:eastAsia="Times New Roman" w:hAnsiTheme="minorHAnsi" w:cstheme="minorHAnsi"/>
                <w:sz w:val="20"/>
                <w:szCs w:val="20"/>
              </w:rPr>
            </w:pPr>
          </w:p>
          <w:p w14:paraId="760D2919" w14:textId="77777777" w:rsidR="001F1FB5" w:rsidRPr="00843F6A" w:rsidRDefault="001F1FB5"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Annual</w:t>
            </w:r>
          </w:p>
        </w:tc>
      </w:tr>
      <w:tr w:rsidR="001F1FB5" w:rsidRPr="00843F6A" w14:paraId="24C076FA" w14:textId="77777777" w:rsidTr="007C11AF">
        <w:trPr>
          <w:cantSplit/>
          <w:jc w:val="center"/>
        </w:trPr>
        <w:tc>
          <w:tcPr>
            <w:tcW w:w="1838" w:type="dxa"/>
          </w:tcPr>
          <w:p w14:paraId="6A3E4068" w14:textId="77777777" w:rsidR="001F1FB5" w:rsidRPr="00843F6A" w:rsidRDefault="001F1FB5" w:rsidP="001F1FB5">
            <w:pPr>
              <w:spacing w:line="240" w:lineRule="auto"/>
              <w:rPr>
                <w:rFonts w:asciiTheme="minorHAnsi" w:eastAsia="Times New Roman" w:hAnsiTheme="minorHAnsi" w:cstheme="minorHAnsi"/>
                <w:b/>
                <w:bCs/>
                <w:sz w:val="20"/>
                <w:szCs w:val="20"/>
              </w:rPr>
            </w:pPr>
          </w:p>
          <w:p w14:paraId="7139C1E6" w14:textId="43363988" w:rsidR="001F1FB5" w:rsidRPr="00843F6A" w:rsidRDefault="001F1FB5" w:rsidP="001F1FB5">
            <w:pPr>
              <w:spacing w:line="240" w:lineRule="auto"/>
              <w:rPr>
                <w:rFonts w:asciiTheme="minorHAnsi" w:eastAsia="Times New Roman" w:hAnsiTheme="minorHAnsi" w:cstheme="minorHAnsi"/>
                <w:b/>
                <w:bCs/>
                <w:sz w:val="20"/>
                <w:szCs w:val="20"/>
              </w:rPr>
            </w:pPr>
            <w:r w:rsidRPr="00843F6A">
              <w:rPr>
                <w:rFonts w:asciiTheme="minorHAnsi" w:eastAsia="Times New Roman" w:hAnsiTheme="minorHAnsi" w:cstheme="minorHAnsi"/>
                <w:b/>
                <w:bCs/>
                <w:sz w:val="20"/>
                <w:szCs w:val="20"/>
              </w:rPr>
              <w:t>EARMARKED - COLLABORATION</w:t>
            </w:r>
          </w:p>
        </w:tc>
        <w:tc>
          <w:tcPr>
            <w:tcW w:w="3119" w:type="dxa"/>
          </w:tcPr>
          <w:p w14:paraId="4FD098E1" w14:textId="77777777" w:rsidR="001F1FB5" w:rsidRPr="00843F6A" w:rsidRDefault="001F1FB5" w:rsidP="001F1FB5">
            <w:pPr>
              <w:spacing w:line="240" w:lineRule="auto"/>
              <w:rPr>
                <w:rFonts w:asciiTheme="minorHAnsi" w:eastAsia="Times New Roman" w:hAnsiTheme="minorHAnsi" w:cstheme="minorHAnsi"/>
                <w:sz w:val="20"/>
                <w:szCs w:val="20"/>
              </w:rPr>
            </w:pPr>
          </w:p>
          <w:p w14:paraId="1085C130" w14:textId="4D214CAC" w:rsidR="001F1FB5" w:rsidRPr="00843F6A" w:rsidRDefault="001F1FB5"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 xml:space="preserve">Transfers in relate to underspend on regional collaboration. Transfers out represent contribution towards regional decisions </w:t>
            </w:r>
            <w:r w:rsidR="00843F6A" w:rsidRPr="00843F6A">
              <w:rPr>
                <w:rFonts w:asciiTheme="minorHAnsi" w:eastAsia="Times New Roman" w:hAnsiTheme="minorHAnsi" w:cstheme="minorHAnsi"/>
                <w:sz w:val="20"/>
                <w:szCs w:val="20"/>
              </w:rPr>
              <w:t>including capital funding.</w:t>
            </w:r>
          </w:p>
        </w:tc>
        <w:tc>
          <w:tcPr>
            <w:tcW w:w="2118" w:type="dxa"/>
          </w:tcPr>
          <w:p w14:paraId="765112EB" w14:textId="77777777" w:rsidR="001F1FB5" w:rsidRPr="00843F6A" w:rsidRDefault="001F1FB5" w:rsidP="001F1FB5">
            <w:pPr>
              <w:spacing w:line="240" w:lineRule="auto"/>
              <w:rPr>
                <w:rFonts w:asciiTheme="minorHAnsi" w:eastAsia="Times New Roman" w:hAnsiTheme="minorHAnsi" w:cstheme="minorHAnsi"/>
                <w:sz w:val="20"/>
                <w:szCs w:val="20"/>
              </w:rPr>
            </w:pPr>
          </w:p>
          <w:p w14:paraId="1F4FC253" w14:textId="77777777" w:rsidR="001F1FB5" w:rsidRPr="00843F6A" w:rsidRDefault="001F1FB5"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 xml:space="preserve">Upon requirement on decision made to contribute towards projects in relation to regional collaborations. </w:t>
            </w:r>
          </w:p>
          <w:p w14:paraId="51DEB4DB" w14:textId="77777777" w:rsidR="001F1FB5" w:rsidRPr="00843F6A" w:rsidRDefault="001F1FB5" w:rsidP="001F1FB5">
            <w:pPr>
              <w:spacing w:line="240" w:lineRule="auto"/>
              <w:rPr>
                <w:rFonts w:asciiTheme="minorHAnsi" w:eastAsia="Times New Roman" w:hAnsiTheme="minorHAnsi" w:cstheme="minorHAnsi"/>
                <w:sz w:val="20"/>
                <w:szCs w:val="20"/>
              </w:rPr>
            </w:pPr>
          </w:p>
          <w:p w14:paraId="67CD1311" w14:textId="77777777" w:rsidR="001F1FB5" w:rsidRPr="00843F6A" w:rsidRDefault="001F1FB5"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Decisions made on East Midlands PFCC and CC Boards</w:t>
            </w:r>
          </w:p>
          <w:p w14:paraId="41616764" w14:textId="77777777" w:rsidR="001F1FB5" w:rsidRPr="00843F6A" w:rsidRDefault="001F1FB5" w:rsidP="001F1FB5">
            <w:pPr>
              <w:spacing w:line="240" w:lineRule="auto"/>
              <w:rPr>
                <w:rFonts w:asciiTheme="minorHAnsi" w:eastAsia="Times New Roman" w:hAnsiTheme="minorHAnsi" w:cstheme="minorHAnsi"/>
                <w:sz w:val="20"/>
                <w:szCs w:val="20"/>
              </w:rPr>
            </w:pPr>
          </w:p>
        </w:tc>
        <w:tc>
          <w:tcPr>
            <w:tcW w:w="1420" w:type="dxa"/>
          </w:tcPr>
          <w:p w14:paraId="50C8369A" w14:textId="77777777" w:rsidR="001F1FB5" w:rsidRPr="00843F6A" w:rsidRDefault="001F1FB5" w:rsidP="001F1FB5">
            <w:pPr>
              <w:spacing w:line="240" w:lineRule="auto"/>
              <w:rPr>
                <w:rFonts w:asciiTheme="minorHAnsi" w:eastAsia="Times New Roman" w:hAnsiTheme="minorHAnsi" w:cstheme="minorHAnsi"/>
                <w:sz w:val="20"/>
                <w:szCs w:val="20"/>
              </w:rPr>
            </w:pPr>
          </w:p>
          <w:p w14:paraId="2BE39288" w14:textId="6B675859" w:rsidR="001F1FB5" w:rsidRPr="00843F6A" w:rsidRDefault="00843F6A" w:rsidP="001F1FB5">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Variable</w:t>
            </w:r>
            <w:r w:rsidR="001F1FB5" w:rsidRPr="00843F6A">
              <w:rPr>
                <w:rFonts w:asciiTheme="minorHAnsi" w:eastAsia="Times New Roman" w:hAnsiTheme="minorHAnsi" w:cstheme="minorHAnsi"/>
                <w:sz w:val="20"/>
                <w:szCs w:val="20"/>
              </w:rPr>
              <w:t xml:space="preserve"> according to usage and annual risk assessment.</w:t>
            </w:r>
          </w:p>
        </w:tc>
        <w:tc>
          <w:tcPr>
            <w:tcW w:w="3833" w:type="dxa"/>
          </w:tcPr>
          <w:p w14:paraId="425330C6" w14:textId="77777777" w:rsidR="001F1FB5" w:rsidRPr="00843F6A" w:rsidRDefault="001F1FB5" w:rsidP="001F1FB5">
            <w:pPr>
              <w:spacing w:line="240" w:lineRule="auto"/>
              <w:rPr>
                <w:rFonts w:asciiTheme="minorHAnsi" w:eastAsia="Times New Roman" w:hAnsiTheme="minorHAnsi" w:cstheme="minorHAnsi"/>
                <w:sz w:val="20"/>
                <w:szCs w:val="20"/>
              </w:rPr>
            </w:pPr>
          </w:p>
          <w:p w14:paraId="0C830402" w14:textId="77777777" w:rsidR="001F1FB5" w:rsidRPr="00843F6A" w:rsidRDefault="001F1FB5"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If funds were not maintained, there would be a risk of regional projects not being supported.</w:t>
            </w:r>
          </w:p>
        </w:tc>
        <w:tc>
          <w:tcPr>
            <w:tcW w:w="1332" w:type="dxa"/>
          </w:tcPr>
          <w:p w14:paraId="5238504D" w14:textId="77777777" w:rsidR="001F1FB5" w:rsidRPr="00843F6A" w:rsidRDefault="001F1FB5" w:rsidP="001F1FB5">
            <w:pPr>
              <w:spacing w:line="240" w:lineRule="auto"/>
              <w:rPr>
                <w:rFonts w:asciiTheme="minorHAnsi" w:eastAsia="Times New Roman" w:hAnsiTheme="minorHAnsi" w:cstheme="minorHAnsi"/>
                <w:sz w:val="20"/>
                <w:szCs w:val="20"/>
              </w:rPr>
            </w:pPr>
          </w:p>
          <w:p w14:paraId="56D8B446" w14:textId="556D753C" w:rsidR="001F1FB5" w:rsidRPr="00843F6A" w:rsidRDefault="001F1FB5" w:rsidP="001F1FB5">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PFCC, on advice from PFCC CFO</w:t>
            </w:r>
          </w:p>
        </w:tc>
        <w:tc>
          <w:tcPr>
            <w:tcW w:w="990" w:type="dxa"/>
          </w:tcPr>
          <w:p w14:paraId="193D7FAB" w14:textId="6D0AEAA5" w:rsidR="001F1FB5" w:rsidRPr="00843F6A" w:rsidRDefault="001F1FB5" w:rsidP="001F1FB5">
            <w:pPr>
              <w:spacing w:line="240" w:lineRule="auto"/>
              <w:rPr>
                <w:rFonts w:asciiTheme="minorHAnsi" w:eastAsia="Times New Roman" w:hAnsiTheme="minorHAnsi" w:cstheme="minorHAnsi"/>
                <w:sz w:val="20"/>
                <w:szCs w:val="20"/>
              </w:rPr>
            </w:pPr>
          </w:p>
          <w:p w14:paraId="67578CC6" w14:textId="77777777" w:rsidR="001F1FB5" w:rsidRPr="00843F6A" w:rsidRDefault="001F1FB5" w:rsidP="001F1FB5">
            <w:pPr>
              <w:spacing w:line="240" w:lineRule="auto"/>
              <w:rPr>
                <w:rFonts w:asciiTheme="minorHAnsi" w:eastAsia="Times New Roman" w:hAnsiTheme="minorHAnsi" w:cstheme="minorHAnsi"/>
                <w:caps/>
                <w:sz w:val="20"/>
                <w:szCs w:val="20"/>
              </w:rPr>
            </w:pPr>
            <w:r w:rsidRPr="00843F6A">
              <w:rPr>
                <w:rFonts w:asciiTheme="minorHAnsi" w:eastAsia="Times New Roman" w:hAnsiTheme="minorHAnsi" w:cstheme="minorHAnsi"/>
                <w:sz w:val="20"/>
                <w:szCs w:val="20"/>
              </w:rPr>
              <w:t>Annual</w:t>
            </w:r>
          </w:p>
        </w:tc>
      </w:tr>
      <w:tr w:rsidR="00655DA1" w:rsidRPr="00843F6A" w14:paraId="0688831F" w14:textId="77777777" w:rsidTr="007C11AF">
        <w:trPr>
          <w:cantSplit/>
          <w:jc w:val="center"/>
        </w:trPr>
        <w:tc>
          <w:tcPr>
            <w:tcW w:w="1838" w:type="dxa"/>
          </w:tcPr>
          <w:p w14:paraId="0B7B5554" w14:textId="77777777" w:rsidR="00843F6A" w:rsidRPr="00843F6A" w:rsidRDefault="00843F6A" w:rsidP="004B5BF9">
            <w:pPr>
              <w:spacing w:line="240" w:lineRule="auto"/>
              <w:rPr>
                <w:rFonts w:asciiTheme="minorHAnsi" w:eastAsia="Times New Roman" w:hAnsiTheme="minorHAnsi" w:cstheme="minorHAnsi"/>
                <w:b/>
                <w:bCs/>
                <w:sz w:val="20"/>
                <w:szCs w:val="20"/>
              </w:rPr>
            </w:pPr>
          </w:p>
          <w:p w14:paraId="7255E9AA" w14:textId="118737FB" w:rsidR="00655DA1" w:rsidRPr="00843F6A" w:rsidRDefault="00655DA1" w:rsidP="004B5BF9">
            <w:pPr>
              <w:spacing w:line="240" w:lineRule="auto"/>
              <w:rPr>
                <w:rFonts w:asciiTheme="minorHAnsi" w:eastAsia="Times New Roman" w:hAnsiTheme="minorHAnsi" w:cstheme="minorHAnsi"/>
                <w:b/>
                <w:bCs/>
                <w:sz w:val="20"/>
                <w:szCs w:val="20"/>
              </w:rPr>
            </w:pPr>
            <w:r w:rsidRPr="00843F6A">
              <w:rPr>
                <w:rFonts w:asciiTheme="minorHAnsi" w:eastAsia="Times New Roman" w:hAnsiTheme="minorHAnsi" w:cstheme="minorHAnsi"/>
                <w:b/>
                <w:bCs/>
                <w:sz w:val="20"/>
                <w:szCs w:val="20"/>
              </w:rPr>
              <w:t>EARMARKED - CAPITAL</w:t>
            </w:r>
          </w:p>
        </w:tc>
        <w:tc>
          <w:tcPr>
            <w:tcW w:w="3119" w:type="dxa"/>
          </w:tcPr>
          <w:p w14:paraId="09BD6E1E" w14:textId="77777777" w:rsidR="00655DA1" w:rsidRPr="00843F6A" w:rsidRDefault="00655DA1" w:rsidP="004B5BF9">
            <w:pPr>
              <w:spacing w:line="240" w:lineRule="auto"/>
              <w:rPr>
                <w:rFonts w:asciiTheme="minorHAnsi" w:eastAsia="Times New Roman" w:hAnsiTheme="minorHAnsi" w:cstheme="minorHAnsi"/>
                <w:sz w:val="20"/>
                <w:szCs w:val="20"/>
              </w:rPr>
            </w:pPr>
          </w:p>
          <w:p w14:paraId="7CCB8CF4" w14:textId="4FE47085" w:rsidR="00655DA1" w:rsidRPr="00843F6A" w:rsidRDefault="00655DA1" w:rsidP="004B5BF9">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To hold capital financing underspends or disposal proceeds.  These are to be used to fund the capital programme and minimise borrowing.</w:t>
            </w:r>
          </w:p>
          <w:p w14:paraId="64F20735" w14:textId="074BAA29" w:rsidR="00655DA1" w:rsidRPr="00843F6A" w:rsidRDefault="00655DA1" w:rsidP="004B5BF9">
            <w:pPr>
              <w:spacing w:line="240" w:lineRule="auto"/>
              <w:rPr>
                <w:rFonts w:asciiTheme="minorHAnsi" w:eastAsia="Times New Roman" w:hAnsiTheme="minorHAnsi" w:cstheme="minorHAnsi"/>
                <w:sz w:val="20"/>
                <w:szCs w:val="20"/>
              </w:rPr>
            </w:pPr>
          </w:p>
        </w:tc>
        <w:tc>
          <w:tcPr>
            <w:tcW w:w="2118" w:type="dxa"/>
          </w:tcPr>
          <w:p w14:paraId="7612F240" w14:textId="77777777" w:rsidR="00655DA1" w:rsidRPr="00843F6A" w:rsidRDefault="00655DA1" w:rsidP="004B5BF9">
            <w:pPr>
              <w:spacing w:line="240" w:lineRule="auto"/>
              <w:rPr>
                <w:rFonts w:asciiTheme="minorHAnsi" w:eastAsia="Times New Roman" w:hAnsiTheme="minorHAnsi" w:cstheme="minorHAnsi"/>
                <w:sz w:val="20"/>
                <w:szCs w:val="20"/>
              </w:rPr>
            </w:pPr>
          </w:p>
          <w:p w14:paraId="3A6DD601" w14:textId="77777777" w:rsidR="00655DA1" w:rsidRDefault="00655DA1" w:rsidP="004B5BF9">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Released to fund capital projects where deemed the most cost efficient way to do so, in line with the Treasury Management Strategy.</w:t>
            </w:r>
          </w:p>
          <w:p w14:paraId="340B5E30" w14:textId="20E7C23A" w:rsidR="00632F11" w:rsidRPr="00843F6A" w:rsidRDefault="00632F11" w:rsidP="004B5BF9">
            <w:pPr>
              <w:spacing w:line="240" w:lineRule="auto"/>
              <w:rPr>
                <w:rFonts w:asciiTheme="minorHAnsi" w:eastAsia="Times New Roman" w:hAnsiTheme="minorHAnsi" w:cstheme="minorHAnsi"/>
                <w:sz w:val="20"/>
                <w:szCs w:val="20"/>
              </w:rPr>
            </w:pPr>
          </w:p>
        </w:tc>
        <w:tc>
          <w:tcPr>
            <w:tcW w:w="1420" w:type="dxa"/>
          </w:tcPr>
          <w:p w14:paraId="32311B0E" w14:textId="77777777" w:rsidR="00655DA1" w:rsidRPr="00843F6A" w:rsidRDefault="00655DA1" w:rsidP="00655DA1">
            <w:pPr>
              <w:spacing w:line="240" w:lineRule="auto"/>
              <w:rPr>
                <w:rFonts w:asciiTheme="minorHAnsi" w:eastAsia="Times New Roman" w:hAnsiTheme="minorHAnsi" w:cstheme="minorHAnsi"/>
                <w:sz w:val="20"/>
                <w:szCs w:val="20"/>
              </w:rPr>
            </w:pPr>
          </w:p>
          <w:p w14:paraId="3506E753" w14:textId="30068765" w:rsidR="00655DA1" w:rsidRPr="00843F6A" w:rsidRDefault="00843F6A" w:rsidP="00655DA1">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Variable</w:t>
            </w:r>
            <w:r w:rsidR="00655DA1" w:rsidRPr="00843F6A">
              <w:rPr>
                <w:rFonts w:asciiTheme="minorHAnsi" w:eastAsia="Times New Roman" w:hAnsiTheme="minorHAnsi" w:cstheme="minorHAnsi"/>
                <w:sz w:val="20"/>
                <w:szCs w:val="20"/>
              </w:rPr>
              <w:t xml:space="preserve"> according to outturn, usage and annual risk assessment.</w:t>
            </w:r>
          </w:p>
          <w:p w14:paraId="33291A6D" w14:textId="77777777" w:rsidR="00655DA1" w:rsidRPr="00843F6A" w:rsidRDefault="00655DA1" w:rsidP="004B5BF9">
            <w:pPr>
              <w:spacing w:line="240" w:lineRule="auto"/>
              <w:rPr>
                <w:rFonts w:asciiTheme="minorHAnsi" w:eastAsia="Times New Roman" w:hAnsiTheme="minorHAnsi" w:cstheme="minorHAnsi"/>
                <w:sz w:val="20"/>
                <w:szCs w:val="20"/>
              </w:rPr>
            </w:pPr>
          </w:p>
        </w:tc>
        <w:tc>
          <w:tcPr>
            <w:tcW w:w="3833" w:type="dxa"/>
          </w:tcPr>
          <w:p w14:paraId="5352782D" w14:textId="77777777" w:rsidR="00655DA1" w:rsidRPr="00843F6A" w:rsidRDefault="00655DA1" w:rsidP="004B5BF9">
            <w:pPr>
              <w:spacing w:line="240" w:lineRule="auto"/>
              <w:rPr>
                <w:rFonts w:asciiTheme="minorHAnsi" w:eastAsia="Times New Roman" w:hAnsiTheme="minorHAnsi" w:cstheme="minorHAnsi"/>
                <w:sz w:val="20"/>
                <w:szCs w:val="20"/>
              </w:rPr>
            </w:pPr>
          </w:p>
          <w:p w14:paraId="5A46FC84" w14:textId="053B69B2" w:rsidR="00655DA1" w:rsidRPr="00843F6A" w:rsidRDefault="00655DA1" w:rsidP="004B5BF9">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If unavailable, the cost of financing capital expenditure could adversely impact revenue budgets into the future.</w:t>
            </w:r>
          </w:p>
          <w:p w14:paraId="1D4BC40E" w14:textId="77777777" w:rsidR="00655DA1" w:rsidRPr="00843F6A" w:rsidRDefault="00655DA1" w:rsidP="004B5BF9">
            <w:pPr>
              <w:spacing w:line="240" w:lineRule="auto"/>
              <w:rPr>
                <w:rFonts w:asciiTheme="minorHAnsi" w:eastAsia="Times New Roman" w:hAnsiTheme="minorHAnsi" w:cstheme="minorHAnsi"/>
                <w:sz w:val="20"/>
                <w:szCs w:val="20"/>
              </w:rPr>
            </w:pPr>
          </w:p>
          <w:p w14:paraId="4AE789E9" w14:textId="53057D9D" w:rsidR="00655DA1" w:rsidRPr="00843F6A" w:rsidRDefault="00655DA1" w:rsidP="004B5BF9">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Capital projects may be deemed unaffordable.</w:t>
            </w:r>
          </w:p>
        </w:tc>
        <w:tc>
          <w:tcPr>
            <w:tcW w:w="1332" w:type="dxa"/>
          </w:tcPr>
          <w:p w14:paraId="22DCA1E4" w14:textId="77777777" w:rsidR="00655DA1" w:rsidRPr="00843F6A" w:rsidRDefault="00655DA1" w:rsidP="004B5BF9">
            <w:pPr>
              <w:spacing w:line="240" w:lineRule="auto"/>
              <w:rPr>
                <w:rFonts w:asciiTheme="minorHAnsi" w:eastAsia="Times New Roman" w:hAnsiTheme="minorHAnsi" w:cstheme="minorHAnsi"/>
                <w:sz w:val="20"/>
                <w:szCs w:val="20"/>
              </w:rPr>
            </w:pPr>
          </w:p>
          <w:p w14:paraId="2FA27FF8" w14:textId="68691878" w:rsidR="00655DA1" w:rsidRPr="00843F6A" w:rsidRDefault="00655DA1" w:rsidP="004B5BF9">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PFCC, on advice from PFCC CFO</w:t>
            </w:r>
          </w:p>
        </w:tc>
        <w:tc>
          <w:tcPr>
            <w:tcW w:w="990" w:type="dxa"/>
          </w:tcPr>
          <w:p w14:paraId="626F71AE" w14:textId="77777777" w:rsidR="00655DA1" w:rsidRPr="00843F6A" w:rsidRDefault="00655DA1" w:rsidP="004B5BF9">
            <w:pPr>
              <w:spacing w:line="240" w:lineRule="auto"/>
              <w:rPr>
                <w:rFonts w:asciiTheme="minorHAnsi" w:eastAsia="Times New Roman" w:hAnsiTheme="minorHAnsi" w:cstheme="minorHAnsi"/>
                <w:sz w:val="20"/>
                <w:szCs w:val="20"/>
              </w:rPr>
            </w:pPr>
          </w:p>
          <w:p w14:paraId="08141C26" w14:textId="54C69C85" w:rsidR="00655DA1" w:rsidRPr="00843F6A" w:rsidRDefault="00655DA1" w:rsidP="004B5BF9">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Annual</w:t>
            </w:r>
          </w:p>
        </w:tc>
      </w:tr>
      <w:tr w:rsidR="00655DA1" w:rsidRPr="00843F6A" w14:paraId="16104208" w14:textId="77777777" w:rsidTr="007C11AF">
        <w:trPr>
          <w:cantSplit/>
          <w:jc w:val="center"/>
        </w:trPr>
        <w:tc>
          <w:tcPr>
            <w:tcW w:w="1838" w:type="dxa"/>
          </w:tcPr>
          <w:p w14:paraId="06A10CB8" w14:textId="77777777" w:rsidR="00655DA1" w:rsidRPr="00843F6A" w:rsidRDefault="00655DA1" w:rsidP="009F21DB">
            <w:pPr>
              <w:spacing w:line="240" w:lineRule="auto"/>
              <w:rPr>
                <w:rFonts w:asciiTheme="minorHAnsi" w:eastAsia="Times New Roman" w:hAnsiTheme="minorHAnsi" w:cstheme="minorHAnsi"/>
                <w:b/>
                <w:bCs/>
                <w:sz w:val="20"/>
                <w:szCs w:val="20"/>
              </w:rPr>
            </w:pPr>
          </w:p>
          <w:p w14:paraId="6B719F52" w14:textId="77777777" w:rsidR="00655DA1" w:rsidRPr="00843F6A" w:rsidRDefault="00655DA1" w:rsidP="009F21DB">
            <w:pPr>
              <w:spacing w:line="240" w:lineRule="auto"/>
              <w:rPr>
                <w:rFonts w:asciiTheme="minorHAnsi" w:eastAsia="Times New Roman" w:hAnsiTheme="minorHAnsi" w:cstheme="minorHAnsi"/>
                <w:b/>
                <w:bCs/>
                <w:sz w:val="20"/>
                <w:szCs w:val="20"/>
              </w:rPr>
            </w:pPr>
            <w:r w:rsidRPr="00843F6A">
              <w:rPr>
                <w:rFonts w:asciiTheme="minorHAnsi" w:eastAsia="Times New Roman" w:hAnsiTheme="minorHAnsi" w:cstheme="minorHAnsi"/>
                <w:b/>
                <w:bCs/>
                <w:sz w:val="20"/>
                <w:szCs w:val="20"/>
              </w:rPr>
              <w:t>EARMARKED - DEVELOPER CONTRIBUTIONS (S106)</w:t>
            </w:r>
          </w:p>
        </w:tc>
        <w:tc>
          <w:tcPr>
            <w:tcW w:w="3119" w:type="dxa"/>
          </w:tcPr>
          <w:p w14:paraId="00F9FAA3" w14:textId="77777777" w:rsidR="00655DA1" w:rsidRPr="00843F6A" w:rsidRDefault="00655DA1" w:rsidP="009F21DB">
            <w:pPr>
              <w:spacing w:line="240" w:lineRule="auto"/>
              <w:rPr>
                <w:rFonts w:asciiTheme="minorHAnsi" w:eastAsia="Times New Roman" w:hAnsiTheme="minorHAnsi" w:cstheme="minorHAnsi"/>
                <w:sz w:val="20"/>
                <w:szCs w:val="20"/>
              </w:rPr>
            </w:pPr>
          </w:p>
          <w:p w14:paraId="08300052" w14:textId="77777777" w:rsidR="00843F6A" w:rsidRDefault="00843F6A" w:rsidP="00843F6A">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The reserve is held for funds allocated to the PFCC from developers towards the cost of infrastructure developments for Policing.</w:t>
            </w:r>
          </w:p>
          <w:p w14:paraId="07070444" w14:textId="77777777" w:rsidR="00843F6A" w:rsidRPr="00843F6A" w:rsidRDefault="00843F6A" w:rsidP="00843F6A">
            <w:pPr>
              <w:spacing w:line="240" w:lineRule="auto"/>
              <w:rPr>
                <w:rFonts w:asciiTheme="minorHAnsi" w:eastAsia="Times New Roman" w:hAnsiTheme="minorHAnsi" w:cstheme="minorHAnsi"/>
                <w:sz w:val="20"/>
                <w:szCs w:val="20"/>
              </w:rPr>
            </w:pPr>
          </w:p>
          <w:p w14:paraId="649B5350" w14:textId="77777777" w:rsidR="00655DA1" w:rsidRDefault="00655DA1" w:rsidP="009F21DB">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 xml:space="preserve">To meet the additional cost of operational requirements </w:t>
            </w:r>
          </w:p>
          <w:p w14:paraId="1110FDC8" w14:textId="77777777" w:rsidR="00632F11" w:rsidRPr="00843F6A" w:rsidRDefault="00632F11" w:rsidP="009F21DB">
            <w:pPr>
              <w:spacing w:line="240" w:lineRule="auto"/>
              <w:rPr>
                <w:rFonts w:asciiTheme="minorHAnsi" w:eastAsia="Times New Roman" w:hAnsiTheme="minorHAnsi" w:cstheme="minorHAnsi"/>
                <w:sz w:val="20"/>
                <w:szCs w:val="20"/>
              </w:rPr>
            </w:pPr>
          </w:p>
        </w:tc>
        <w:tc>
          <w:tcPr>
            <w:tcW w:w="2118" w:type="dxa"/>
          </w:tcPr>
          <w:p w14:paraId="53E4AED5" w14:textId="77777777" w:rsidR="00655DA1" w:rsidRPr="00843F6A" w:rsidRDefault="00655DA1" w:rsidP="009F21DB">
            <w:pPr>
              <w:spacing w:line="240" w:lineRule="auto"/>
              <w:rPr>
                <w:rFonts w:asciiTheme="minorHAnsi" w:eastAsia="Times New Roman" w:hAnsiTheme="minorHAnsi" w:cstheme="minorHAnsi"/>
                <w:sz w:val="20"/>
                <w:szCs w:val="20"/>
              </w:rPr>
            </w:pPr>
          </w:p>
          <w:p w14:paraId="07140A2C" w14:textId="77777777" w:rsidR="00655DA1" w:rsidRPr="00843F6A" w:rsidRDefault="00655DA1" w:rsidP="009F21DB">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To access the funds a costed request has to be provided which is consistent with the conditions of the developer contribution.</w:t>
            </w:r>
          </w:p>
        </w:tc>
        <w:tc>
          <w:tcPr>
            <w:tcW w:w="1420" w:type="dxa"/>
          </w:tcPr>
          <w:p w14:paraId="26D6DB41" w14:textId="77777777" w:rsidR="00655DA1" w:rsidRPr="00843F6A" w:rsidRDefault="00655DA1" w:rsidP="009F21DB">
            <w:pPr>
              <w:spacing w:line="240" w:lineRule="auto"/>
              <w:rPr>
                <w:rFonts w:asciiTheme="minorHAnsi" w:eastAsia="Times New Roman" w:hAnsiTheme="minorHAnsi" w:cstheme="minorHAnsi"/>
                <w:sz w:val="20"/>
                <w:szCs w:val="20"/>
              </w:rPr>
            </w:pPr>
          </w:p>
          <w:p w14:paraId="1BA618F8" w14:textId="18AAD5CE" w:rsidR="00655DA1" w:rsidRPr="00843F6A" w:rsidRDefault="00843F6A" w:rsidP="009F21DB">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Variable</w:t>
            </w:r>
            <w:r w:rsidR="00655DA1" w:rsidRPr="00843F6A">
              <w:rPr>
                <w:rFonts w:asciiTheme="minorHAnsi" w:eastAsia="Times New Roman" w:hAnsiTheme="minorHAnsi" w:cstheme="minorHAnsi"/>
                <w:sz w:val="20"/>
                <w:szCs w:val="20"/>
              </w:rPr>
              <w:t xml:space="preserve"> according to usage.</w:t>
            </w:r>
          </w:p>
          <w:p w14:paraId="4E189917" w14:textId="77777777" w:rsidR="00655DA1" w:rsidRPr="00843F6A" w:rsidRDefault="00655DA1" w:rsidP="009F21DB">
            <w:pPr>
              <w:spacing w:line="240" w:lineRule="auto"/>
              <w:rPr>
                <w:rFonts w:asciiTheme="minorHAnsi" w:eastAsia="Times New Roman" w:hAnsiTheme="minorHAnsi" w:cstheme="minorHAnsi"/>
                <w:sz w:val="20"/>
                <w:szCs w:val="20"/>
              </w:rPr>
            </w:pPr>
          </w:p>
          <w:p w14:paraId="20B5EDA3" w14:textId="77777777" w:rsidR="00655DA1" w:rsidRPr="00843F6A" w:rsidRDefault="00655DA1" w:rsidP="009F21DB">
            <w:pPr>
              <w:spacing w:line="240" w:lineRule="auto"/>
              <w:rPr>
                <w:rFonts w:asciiTheme="minorHAnsi" w:eastAsia="Times New Roman" w:hAnsiTheme="minorHAnsi" w:cstheme="minorHAnsi"/>
                <w:sz w:val="20"/>
                <w:szCs w:val="20"/>
              </w:rPr>
            </w:pPr>
          </w:p>
        </w:tc>
        <w:tc>
          <w:tcPr>
            <w:tcW w:w="3833" w:type="dxa"/>
          </w:tcPr>
          <w:p w14:paraId="7E6A375D" w14:textId="77777777" w:rsidR="00655DA1" w:rsidRPr="00843F6A" w:rsidRDefault="00655DA1" w:rsidP="009F21DB">
            <w:pPr>
              <w:spacing w:line="240" w:lineRule="auto"/>
              <w:rPr>
                <w:rFonts w:asciiTheme="minorHAnsi" w:eastAsia="Times New Roman" w:hAnsiTheme="minorHAnsi" w:cstheme="minorHAnsi"/>
                <w:sz w:val="20"/>
                <w:szCs w:val="20"/>
              </w:rPr>
            </w:pPr>
          </w:p>
          <w:p w14:paraId="3DFACDA4" w14:textId="77777777" w:rsidR="00655DA1" w:rsidRPr="00843F6A" w:rsidRDefault="00655DA1" w:rsidP="009F21DB">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 xml:space="preserve">If funds were not provided, the risk is that the additional costs would have to be factored into the capital programme. </w:t>
            </w:r>
          </w:p>
          <w:p w14:paraId="59AFF4A7" w14:textId="77777777" w:rsidR="00655DA1" w:rsidRPr="00843F6A" w:rsidRDefault="00655DA1" w:rsidP="009F21DB">
            <w:pPr>
              <w:spacing w:line="240" w:lineRule="auto"/>
              <w:rPr>
                <w:rFonts w:asciiTheme="minorHAnsi" w:eastAsia="Times New Roman" w:hAnsiTheme="minorHAnsi" w:cstheme="minorHAnsi"/>
                <w:sz w:val="20"/>
                <w:szCs w:val="20"/>
              </w:rPr>
            </w:pPr>
          </w:p>
        </w:tc>
        <w:tc>
          <w:tcPr>
            <w:tcW w:w="1332" w:type="dxa"/>
          </w:tcPr>
          <w:p w14:paraId="4E498FF8" w14:textId="77777777" w:rsidR="00655DA1" w:rsidRPr="00843F6A" w:rsidRDefault="00655DA1" w:rsidP="009F21DB">
            <w:pPr>
              <w:spacing w:line="240" w:lineRule="auto"/>
              <w:rPr>
                <w:rFonts w:asciiTheme="minorHAnsi" w:eastAsia="Times New Roman" w:hAnsiTheme="minorHAnsi" w:cstheme="minorHAnsi"/>
                <w:sz w:val="20"/>
                <w:szCs w:val="20"/>
              </w:rPr>
            </w:pPr>
          </w:p>
          <w:p w14:paraId="77250D1C" w14:textId="77777777" w:rsidR="00655DA1" w:rsidRPr="00843F6A" w:rsidRDefault="00655DA1" w:rsidP="009F21DB">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PFCC, on advice from PFCC CFO</w:t>
            </w:r>
          </w:p>
        </w:tc>
        <w:tc>
          <w:tcPr>
            <w:tcW w:w="990" w:type="dxa"/>
          </w:tcPr>
          <w:p w14:paraId="6374DA37" w14:textId="77777777" w:rsidR="00655DA1" w:rsidRPr="00843F6A" w:rsidRDefault="00655DA1" w:rsidP="009F21DB">
            <w:pPr>
              <w:spacing w:line="240" w:lineRule="auto"/>
              <w:rPr>
                <w:rFonts w:asciiTheme="minorHAnsi" w:eastAsia="Times New Roman" w:hAnsiTheme="minorHAnsi" w:cstheme="minorHAnsi"/>
                <w:sz w:val="20"/>
                <w:szCs w:val="20"/>
              </w:rPr>
            </w:pPr>
          </w:p>
          <w:p w14:paraId="14E45151" w14:textId="77777777" w:rsidR="00655DA1" w:rsidRPr="00843F6A" w:rsidRDefault="00655DA1" w:rsidP="009F21DB">
            <w:pPr>
              <w:spacing w:line="240" w:lineRule="auto"/>
              <w:rPr>
                <w:rFonts w:asciiTheme="minorHAnsi" w:eastAsia="Times New Roman" w:hAnsiTheme="minorHAnsi" w:cstheme="minorHAnsi"/>
                <w:sz w:val="20"/>
                <w:szCs w:val="20"/>
              </w:rPr>
            </w:pPr>
            <w:r w:rsidRPr="00843F6A">
              <w:rPr>
                <w:rFonts w:asciiTheme="minorHAnsi" w:eastAsia="Times New Roman" w:hAnsiTheme="minorHAnsi" w:cstheme="minorHAnsi"/>
                <w:sz w:val="20"/>
                <w:szCs w:val="20"/>
              </w:rPr>
              <w:t>Annual</w:t>
            </w:r>
          </w:p>
        </w:tc>
      </w:tr>
    </w:tbl>
    <w:p w14:paraId="06A10FA5" w14:textId="77777777" w:rsidR="00DC1AAF" w:rsidRPr="00A81E04" w:rsidRDefault="00DC1AAF" w:rsidP="00DC1AAF">
      <w:pPr>
        <w:spacing w:line="240" w:lineRule="auto"/>
        <w:rPr>
          <w:rFonts w:asciiTheme="minorHAnsi" w:eastAsia="Times New Roman" w:hAnsiTheme="minorHAnsi" w:cstheme="minorHAnsi"/>
          <w:szCs w:val="24"/>
          <w:highlight w:val="yellow"/>
        </w:rPr>
      </w:pPr>
    </w:p>
    <w:p w14:paraId="29DDD4BB" w14:textId="77777777" w:rsidR="00CC09C1" w:rsidRPr="00A81E04" w:rsidRDefault="00CC09C1" w:rsidP="00CC09C1">
      <w:pPr>
        <w:spacing w:line="240" w:lineRule="auto"/>
        <w:rPr>
          <w:rFonts w:asciiTheme="minorHAnsi" w:eastAsia="Times New Roman" w:hAnsiTheme="minorHAnsi" w:cstheme="minorHAnsi"/>
          <w:b/>
          <w:sz w:val="24"/>
          <w:szCs w:val="24"/>
          <w:highlight w:val="yellow"/>
        </w:rPr>
        <w:sectPr w:rsidR="00CC09C1" w:rsidRPr="00A81E04" w:rsidSect="00DC1AAF">
          <w:headerReference w:type="even" r:id="rId22"/>
          <w:headerReference w:type="default" r:id="rId23"/>
          <w:footerReference w:type="even" r:id="rId24"/>
          <w:footerReference w:type="default" r:id="rId25"/>
          <w:headerReference w:type="first" r:id="rId26"/>
          <w:footerReference w:type="first" r:id="rId27"/>
          <w:pgSz w:w="16838" w:h="11906" w:orient="landscape"/>
          <w:pgMar w:top="1440" w:right="1440" w:bottom="1440" w:left="1440" w:header="709" w:footer="709" w:gutter="0"/>
          <w:cols w:space="708"/>
          <w:docGrid w:linePitch="360"/>
        </w:sectPr>
      </w:pPr>
    </w:p>
    <w:p w14:paraId="2D37FAC7" w14:textId="0FA5E63B" w:rsidR="00DC1AAF" w:rsidRPr="00843F6A" w:rsidRDefault="00DC1AAF" w:rsidP="00CC09C1">
      <w:pPr>
        <w:spacing w:line="240" w:lineRule="auto"/>
        <w:rPr>
          <w:rFonts w:asciiTheme="minorHAnsi" w:eastAsia="Times New Roman" w:hAnsiTheme="minorHAnsi" w:cstheme="minorHAnsi"/>
          <w:b/>
        </w:rPr>
      </w:pPr>
      <w:r w:rsidRPr="00843F6A">
        <w:rPr>
          <w:rFonts w:asciiTheme="minorHAnsi" w:eastAsia="Times New Roman" w:hAnsiTheme="minorHAnsi" w:cstheme="minorHAnsi"/>
          <w:b/>
          <w:sz w:val="24"/>
          <w:szCs w:val="24"/>
        </w:rPr>
        <w:lastRenderedPageBreak/>
        <w:t>Annexe 3</w:t>
      </w:r>
    </w:p>
    <w:p w14:paraId="579C7A3C" w14:textId="572172A1" w:rsidR="00DC1AAF" w:rsidRPr="00843F6A" w:rsidRDefault="00DC1AAF" w:rsidP="00DC1AAF">
      <w:pPr>
        <w:spacing w:line="240" w:lineRule="auto"/>
        <w:jc w:val="center"/>
        <w:rPr>
          <w:rFonts w:asciiTheme="minorHAnsi" w:eastAsia="Times New Roman" w:hAnsiTheme="minorHAnsi" w:cstheme="minorHAnsi"/>
          <w:b/>
          <w:sz w:val="24"/>
          <w:szCs w:val="24"/>
        </w:rPr>
      </w:pPr>
      <w:r w:rsidRPr="00843F6A">
        <w:rPr>
          <w:rFonts w:asciiTheme="minorHAnsi" w:eastAsia="Times New Roman" w:hAnsiTheme="minorHAnsi" w:cstheme="minorHAnsi"/>
          <w:b/>
          <w:sz w:val="24"/>
          <w:szCs w:val="24"/>
        </w:rPr>
        <w:t>Summary of Revenue and Capital Reserves 202</w:t>
      </w:r>
      <w:r w:rsidR="00843F6A" w:rsidRPr="00843F6A">
        <w:rPr>
          <w:rFonts w:asciiTheme="minorHAnsi" w:eastAsia="Times New Roman" w:hAnsiTheme="minorHAnsi" w:cstheme="minorHAnsi"/>
          <w:b/>
          <w:sz w:val="24"/>
          <w:szCs w:val="24"/>
        </w:rPr>
        <w:t>4</w:t>
      </w:r>
      <w:r w:rsidRPr="00843F6A">
        <w:rPr>
          <w:rFonts w:asciiTheme="minorHAnsi" w:eastAsia="Times New Roman" w:hAnsiTheme="minorHAnsi" w:cstheme="minorHAnsi"/>
          <w:b/>
          <w:sz w:val="24"/>
          <w:szCs w:val="24"/>
        </w:rPr>
        <w:t>/2</w:t>
      </w:r>
      <w:r w:rsidR="00843F6A" w:rsidRPr="00843F6A">
        <w:rPr>
          <w:rFonts w:asciiTheme="minorHAnsi" w:eastAsia="Times New Roman" w:hAnsiTheme="minorHAnsi" w:cstheme="minorHAnsi"/>
          <w:b/>
          <w:sz w:val="24"/>
          <w:szCs w:val="24"/>
        </w:rPr>
        <w:t>5</w:t>
      </w:r>
      <w:r w:rsidRPr="00843F6A">
        <w:rPr>
          <w:rFonts w:asciiTheme="minorHAnsi" w:eastAsia="Times New Roman" w:hAnsiTheme="minorHAnsi" w:cstheme="minorHAnsi"/>
          <w:b/>
          <w:sz w:val="24"/>
          <w:szCs w:val="24"/>
        </w:rPr>
        <w:t xml:space="preserve"> to 202</w:t>
      </w:r>
      <w:r w:rsidR="00843F6A" w:rsidRPr="00843F6A">
        <w:rPr>
          <w:rFonts w:asciiTheme="minorHAnsi" w:eastAsia="Times New Roman" w:hAnsiTheme="minorHAnsi" w:cstheme="minorHAnsi"/>
          <w:b/>
          <w:sz w:val="24"/>
          <w:szCs w:val="24"/>
        </w:rPr>
        <w:t>9</w:t>
      </w:r>
      <w:r w:rsidRPr="00843F6A">
        <w:rPr>
          <w:rFonts w:asciiTheme="minorHAnsi" w:eastAsia="Times New Roman" w:hAnsiTheme="minorHAnsi" w:cstheme="minorHAnsi"/>
          <w:b/>
          <w:sz w:val="24"/>
          <w:szCs w:val="24"/>
        </w:rPr>
        <w:t>/</w:t>
      </w:r>
      <w:r w:rsidR="00843F6A" w:rsidRPr="00843F6A">
        <w:rPr>
          <w:rFonts w:asciiTheme="minorHAnsi" w:eastAsia="Times New Roman" w:hAnsiTheme="minorHAnsi" w:cstheme="minorHAnsi"/>
          <w:b/>
          <w:sz w:val="24"/>
          <w:szCs w:val="24"/>
        </w:rPr>
        <w:t>30</w:t>
      </w:r>
    </w:p>
    <w:p w14:paraId="07E32D42" w14:textId="77777777" w:rsidR="00DC1AAF" w:rsidRPr="00A81E04" w:rsidRDefault="00DC1AAF" w:rsidP="00CC09C1">
      <w:pPr>
        <w:spacing w:line="240" w:lineRule="auto"/>
        <w:rPr>
          <w:rFonts w:asciiTheme="minorHAnsi" w:eastAsia="Times New Roman" w:hAnsiTheme="minorHAnsi" w:cstheme="minorHAnsi"/>
          <w:szCs w:val="24"/>
          <w:highlight w:val="yellow"/>
        </w:rPr>
      </w:pPr>
    </w:p>
    <w:tbl>
      <w:tblPr>
        <w:tblW w:w="10360" w:type="dxa"/>
        <w:tblInd w:w="-572" w:type="dxa"/>
        <w:tblLook w:val="04A0" w:firstRow="1" w:lastRow="0" w:firstColumn="1" w:lastColumn="0" w:noHBand="0" w:noVBand="1"/>
      </w:tblPr>
      <w:tblGrid>
        <w:gridCol w:w="3648"/>
        <w:gridCol w:w="1118"/>
        <w:gridCol w:w="1118"/>
        <w:gridCol w:w="1119"/>
        <w:gridCol w:w="1119"/>
        <w:gridCol w:w="1119"/>
        <w:gridCol w:w="1119"/>
      </w:tblGrid>
      <w:tr w:rsidR="00AA14C4" w:rsidRPr="00AA14C4" w14:paraId="1B556657" w14:textId="77777777" w:rsidTr="00AA14C4">
        <w:trPr>
          <w:trHeight w:val="1275"/>
        </w:trPr>
        <w:tc>
          <w:tcPr>
            <w:tcW w:w="3648" w:type="dxa"/>
            <w:tcBorders>
              <w:top w:val="single" w:sz="4" w:space="0" w:color="auto"/>
              <w:left w:val="single" w:sz="4" w:space="0" w:color="auto"/>
              <w:bottom w:val="nil"/>
              <w:right w:val="nil"/>
            </w:tcBorders>
            <w:shd w:val="clear" w:color="auto" w:fill="auto"/>
            <w:noWrap/>
            <w:vAlign w:val="center"/>
            <w:hideMark/>
          </w:tcPr>
          <w:p w14:paraId="0FA39FA0"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Earmarked Reserves - Updated Jan 2025</w:t>
            </w:r>
          </w:p>
        </w:tc>
        <w:tc>
          <w:tcPr>
            <w:tcW w:w="1118" w:type="dxa"/>
            <w:tcBorders>
              <w:top w:val="single" w:sz="4" w:space="0" w:color="auto"/>
              <w:left w:val="nil"/>
              <w:bottom w:val="nil"/>
              <w:right w:val="single" w:sz="4" w:space="0" w:color="auto"/>
            </w:tcBorders>
            <w:shd w:val="clear" w:color="000000" w:fill="BDD7EE"/>
            <w:vAlign w:val="bottom"/>
            <w:hideMark/>
          </w:tcPr>
          <w:p w14:paraId="132F7ADE"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 xml:space="preserve">Forecast Balance at </w:t>
            </w:r>
            <w:r w:rsidRPr="00AA14C4">
              <w:rPr>
                <w:rFonts w:eastAsia="Times New Roman" w:cs="Calibri"/>
                <w:b/>
                <w:bCs/>
                <w:color w:val="000000"/>
                <w:sz w:val="20"/>
                <w:szCs w:val="20"/>
                <w:lang w:eastAsia="en-GB"/>
              </w:rPr>
              <w:br/>
              <w:t>31 March 2025</w:t>
            </w:r>
          </w:p>
        </w:tc>
        <w:tc>
          <w:tcPr>
            <w:tcW w:w="1118" w:type="dxa"/>
            <w:tcBorders>
              <w:top w:val="single" w:sz="4" w:space="0" w:color="auto"/>
              <w:left w:val="nil"/>
              <w:bottom w:val="nil"/>
              <w:right w:val="single" w:sz="4" w:space="0" w:color="auto"/>
            </w:tcBorders>
            <w:shd w:val="clear" w:color="000000" w:fill="BDD7EE"/>
            <w:vAlign w:val="bottom"/>
            <w:hideMark/>
          </w:tcPr>
          <w:p w14:paraId="1F8963E7"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 xml:space="preserve">Forecast Balance at </w:t>
            </w:r>
            <w:r w:rsidRPr="00AA14C4">
              <w:rPr>
                <w:rFonts w:eastAsia="Times New Roman" w:cs="Calibri"/>
                <w:b/>
                <w:bCs/>
                <w:color w:val="000000"/>
                <w:sz w:val="20"/>
                <w:szCs w:val="20"/>
                <w:lang w:eastAsia="en-GB"/>
              </w:rPr>
              <w:br/>
              <w:t>31 March 2026</w:t>
            </w:r>
          </w:p>
        </w:tc>
        <w:tc>
          <w:tcPr>
            <w:tcW w:w="1119" w:type="dxa"/>
            <w:tcBorders>
              <w:top w:val="single" w:sz="4" w:space="0" w:color="auto"/>
              <w:left w:val="nil"/>
              <w:bottom w:val="nil"/>
              <w:right w:val="single" w:sz="4" w:space="0" w:color="auto"/>
            </w:tcBorders>
            <w:shd w:val="clear" w:color="000000" w:fill="BDD7EE"/>
            <w:vAlign w:val="bottom"/>
            <w:hideMark/>
          </w:tcPr>
          <w:p w14:paraId="74CA52CE"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 xml:space="preserve">Forecast Balance at </w:t>
            </w:r>
            <w:r w:rsidRPr="00AA14C4">
              <w:rPr>
                <w:rFonts w:eastAsia="Times New Roman" w:cs="Calibri"/>
                <w:b/>
                <w:bCs/>
                <w:color w:val="000000"/>
                <w:sz w:val="20"/>
                <w:szCs w:val="20"/>
                <w:lang w:eastAsia="en-GB"/>
              </w:rPr>
              <w:br/>
              <w:t>31 March 2027</w:t>
            </w:r>
          </w:p>
        </w:tc>
        <w:tc>
          <w:tcPr>
            <w:tcW w:w="1119" w:type="dxa"/>
            <w:tcBorders>
              <w:top w:val="single" w:sz="4" w:space="0" w:color="auto"/>
              <w:left w:val="nil"/>
              <w:bottom w:val="nil"/>
              <w:right w:val="single" w:sz="4" w:space="0" w:color="auto"/>
            </w:tcBorders>
            <w:shd w:val="clear" w:color="000000" w:fill="BDD7EE"/>
            <w:vAlign w:val="bottom"/>
            <w:hideMark/>
          </w:tcPr>
          <w:p w14:paraId="10D7AA64"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 xml:space="preserve">Forecast Balance at </w:t>
            </w:r>
            <w:r w:rsidRPr="00AA14C4">
              <w:rPr>
                <w:rFonts w:eastAsia="Times New Roman" w:cs="Calibri"/>
                <w:b/>
                <w:bCs/>
                <w:color w:val="000000"/>
                <w:sz w:val="20"/>
                <w:szCs w:val="20"/>
                <w:lang w:eastAsia="en-GB"/>
              </w:rPr>
              <w:br/>
              <w:t>31 March 2028</w:t>
            </w:r>
          </w:p>
        </w:tc>
        <w:tc>
          <w:tcPr>
            <w:tcW w:w="1119" w:type="dxa"/>
            <w:tcBorders>
              <w:top w:val="single" w:sz="4" w:space="0" w:color="auto"/>
              <w:left w:val="nil"/>
              <w:bottom w:val="nil"/>
              <w:right w:val="single" w:sz="4" w:space="0" w:color="auto"/>
            </w:tcBorders>
            <w:shd w:val="clear" w:color="000000" w:fill="BDD7EE"/>
            <w:vAlign w:val="bottom"/>
            <w:hideMark/>
          </w:tcPr>
          <w:p w14:paraId="3CB0740D"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 xml:space="preserve">Forecast Balance at </w:t>
            </w:r>
            <w:r w:rsidRPr="00AA14C4">
              <w:rPr>
                <w:rFonts w:eastAsia="Times New Roman" w:cs="Calibri"/>
                <w:b/>
                <w:bCs/>
                <w:color w:val="000000"/>
                <w:sz w:val="20"/>
                <w:szCs w:val="20"/>
                <w:lang w:eastAsia="en-GB"/>
              </w:rPr>
              <w:br/>
              <w:t>31 March 2029</w:t>
            </w:r>
          </w:p>
        </w:tc>
        <w:tc>
          <w:tcPr>
            <w:tcW w:w="1119" w:type="dxa"/>
            <w:tcBorders>
              <w:top w:val="single" w:sz="4" w:space="0" w:color="auto"/>
              <w:left w:val="nil"/>
              <w:bottom w:val="nil"/>
              <w:right w:val="single" w:sz="4" w:space="0" w:color="auto"/>
            </w:tcBorders>
            <w:shd w:val="clear" w:color="000000" w:fill="BDD7EE"/>
            <w:vAlign w:val="bottom"/>
            <w:hideMark/>
          </w:tcPr>
          <w:p w14:paraId="5860F9A0"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 xml:space="preserve">Forecast Balance at </w:t>
            </w:r>
            <w:r w:rsidRPr="00AA14C4">
              <w:rPr>
                <w:rFonts w:eastAsia="Times New Roman" w:cs="Calibri"/>
                <w:b/>
                <w:bCs/>
                <w:color w:val="000000"/>
                <w:sz w:val="20"/>
                <w:szCs w:val="20"/>
                <w:lang w:eastAsia="en-GB"/>
              </w:rPr>
              <w:br/>
              <w:t>31 March 2030</w:t>
            </w:r>
          </w:p>
        </w:tc>
      </w:tr>
      <w:tr w:rsidR="00AA14C4" w:rsidRPr="00AA14C4" w14:paraId="295FD063"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3643CAB5" w14:textId="77777777" w:rsidR="00AA14C4" w:rsidRPr="00AA14C4" w:rsidRDefault="00AA14C4" w:rsidP="00AA14C4">
            <w:pPr>
              <w:spacing w:line="240" w:lineRule="auto"/>
              <w:jc w:val="center"/>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8" w:type="dxa"/>
            <w:tcBorders>
              <w:top w:val="nil"/>
              <w:left w:val="nil"/>
              <w:bottom w:val="single" w:sz="4" w:space="0" w:color="auto"/>
              <w:right w:val="single" w:sz="4" w:space="0" w:color="auto"/>
            </w:tcBorders>
            <w:shd w:val="clear" w:color="000000" w:fill="BDD7EE"/>
            <w:vAlign w:val="bottom"/>
            <w:hideMark/>
          </w:tcPr>
          <w:p w14:paraId="61C456F2"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£m</w:t>
            </w:r>
          </w:p>
        </w:tc>
        <w:tc>
          <w:tcPr>
            <w:tcW w:w="1118" w:type="dxa"/>
            <w:tcBorders>
              <w:top w:val="nil"/>
              <w:left w:val="nil"/>
              <w:bottom w:val="single" w:sz="4" w:space="0" w:color="auto"/>
              <w:right w:val="single" w:sz="4" w:space="0" w:color="auto"/>
            </w:tcBorders>
            <w:shd w:val="clear" w:color="000000" w:fill="BDD7EE"/>
            <w:vAlign w:val="bottom"/>
            <w:hideMark/>
          </w:tcPr>
          <w:p w14:paraId="44486FE9"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£m</w:t>
            </w:r>
          </w:p>
        </w:tc>
        <w:tc>
          <w:tcPr>
            <w:tcW w:w="1119" w:type="dxa"/>
            <w:tcBorders>
              <w:top w:val="nil"/>
              <w:left w:val="nil"/>
              <w:bottom w:val="single" w:sz="4" w:space="0" w:color="auto"/>
              <w:right w:val="single" w:sz="4" w:space="0" w:color="auto"/>
            </w:tcBorders>
            <w:shd w:val="clear" w:color="000000" w:fill="BDD7EE"/>
            <w:vAlign w:val="bottom"/>
            <w:hideMark/>
          </w:tcPr>
          <w:p w14:paraId="29FA0A00"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£m</w:t>
            </w:r>
          </w:p>
        </w:tc>
        <w:tc>
          <w:tcPr>
            <w:tcW w:w="1119" w:type="dxa"/>
            <w:tcBorders>
              <w:top w:val="nil"/>
              <w:left w:val="nil"/>
              <w:bottom w:val="single" w:sz="4" w:space="0" w:color="auto"/>
              <w:right w:val="single" w:sz="4" w:space="0" w:color="auto"/>
            </w:tcBorders>
            <w:shd w:val="clear" w:color="000000" w:fill="BDD7EE"/>
            <w:vAlign w:val="bottom"/>
            <w:hideMark/>
          </w:tcPr>
          <w:p w14:paraId="785E58FF"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£m</w:t>
            </w:r>
          </w:p>
        </w:tc>
        <w:tc>
          <w:tcPr>
            <w:tcW w:w="1119" w:type="dxa"/>
            <w:tcBorders>
              <w:top w:val="nil"/>
              <w:left w:val="nil"/>
              <w:bottom w:val="single" w:sz="4" w:space="0" w:color="auto"/>
              <w:right w:val="single" w:sz="4" w:space="0" w:color="auto"/>
            </w:tcBorders>
            <w:shd w:val="clear" w:color="000000" w:fill="BDD7EE"/>
            <w:vAlign w:val="bottom"/>
            <w:hideMark/>
          </w:tcPr>
          <w:p w14:paraId="568914EA"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£m</w:t>
            </w:r>
          </w:p>
        </w:tc>
        <w:tc>
          <w:tcPr>
            <w:tcW w:w="1119" w:type="dxa"/>
            <w:tcBorders>
              <w:top w:val="nil"/>
              <w:left w:val="nil"/>
              <w:bottom w:val="single" w:sz="4" w:space="0" w:color="auto"/>
              <w:right w:val="single" w:sz="4" w:space="0" w:color="auto"/>
            </w:tcBorders>
            <w:shd w:val="clear" w:color="000000" w:fill="BDD7EE"/>
            <w:vAlign w:val="bottom"/>
            <w:hideMark/>
          </w:tcPr>
          <w:p w14:paraId="63F42C99"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£m</w:t>
            </w:r>
          </w:p>
        </w:tc>
      </w:tr>
      <w:tr w:rsidR="00AA14C4" w:rsidRPr="00AA14C4" w14:paraId="421BEDBD"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5BCA2188" w14:textId="77777777" w:rsidR="00AA14C4" w:rsidRPr="00AA14C4" w:rsidRDefault="00AA14C4" w:rsidP="00AA14C4">
            <w:pPr>
              <w:spacing w:line="240" w:lineRule="auto"/>
              <w:rPr>
                <w:rFonts w:eastAsia="Times New Roman" w:cs="Calibri"/>
                <w:b/>
                <w:bCs/>
                <w:color w:val="000000"/>
                <w:sz w:val="20"/>
                <w:szCs w:val="20"/>
                <w:u w:val="single"/>
                <w:lang w:eastAsia="en-GB"/>
              </w:rPr>
            </w:pPr>
            <w:r w:rsidRPr="00AA14C4">
              <w:rPr>
                <w:rFonts w:eastAsia="Times New Roman" w:cs="Calibri"/>
                <w:b/>
                <w:bCs/>
                <w:color w:val="000000"/>
                <w:sz w:val="20"/>
                <w:szCs w:val="20"/>
                <w:u w:val="single"/>
                <w:lang w:eastAsia="en-GB"/>
              </w:rPr>
              <w:t>Held to meet budgetary risks</w:t>
            </w:r>
          </w:p>
        </w:tc>
        <w:tc>
          <w:tcPr>
            <w:tcW w:w="1118" w:type="dxa"/>
            <w:tcBorders>
              <w:top w:val="nil"/>
              <w:left w:val="nil"/>
              <w:bottom w:val="nil"/>
              <w:right w:val="single" w:sz="4" w:space="0" w:color="auto"/>
            </w:tcBorders>
            <w:shd w:val="clear" w:color="auto" w:fill="auto"/>
            <w:vAlign w:val="bottom"/>
            <w:hideMark/>
          </w:tcPr>
          <w:p w14:paraId="747547C1"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8" w:type="dxa"/>
            <w:tcBorders>
              <w:top w:val="nil"/>
              <w:left w:val="nil"/>
              <w:bottom w:val="nil"/>
              <w:right w:val="single" w:sz="4" w:space="0" w:color="auto"/>
            </w:tcBorders>
            <w:shd w:val="clear" w:color="auto" w:fill="auto"/>
            <w:vAlign w:val="bottom"/>
            <w:hideMark/>
          </w:tcPr>
          <w:p w14:paraId="524E9FCA"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vAlign w:val="bottom"/>
            <w:hideMark/>
          </w:tcPr>
          <w:p w14:paraId="2D54D8C8"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vAlign w:val="bottom"/>
            <w:hideMark/>
          </w:tcPr>
          <w:p w14:paraId="2B0D46AD"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vAlign w:val="bottom"/>
            <w:hideMark/>
          </w:tcPr>
          <w:p w14:paraId="375D2268"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vAlign w:val="bottom"/>
            <w:hideMark/>
          </w:tcPr>
          <w:p w14:paraId="0AFDB52B" w14:textId="77777777" w:rsidR="00AA14C4" w:rsidRPr="00AA14C4" w:rsidRDefault="00AA14C4" w:rsidP="00AA14C4">
            <w:pPr>
              <w:spacing w:line="240" w:lineRule="auto"/>
              <w:jc w:val="center"/>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r>
      <w:tr w:rsidR="00AA14C4" w:rsidRPr="00AA14C4" w14:paraId="53B1D043"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447C5190"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Insurance</w:t>
            </w:r>
          </w:p>
        </w:tc>
        <w:tc>
          <w:tcPr>
            <w:tcW w:w="1118" w:type="dxa"/>
            <w:tcBorders>
              <w:top w:val="nil"/>
              <w:left w:val="nil"/>
              <w:bottom w:val="nil"/>
              <w:right w:val="single" w:sz="4" w:space="0" w:color="auto"/>
            </w:tcBorders>
            <w:shd w:val="clear" w:color="auto" w:fill="auto"/>
            <w:noWrap/>
            <w:vAlign w:val="bottom"/>
            <w:hideMark/>
          </w:tcPr>
          <w:p w14:paraId="7051DC59"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2.006</w:t>
            </w:r>
          </w:p>
        </w:tc>
        <w:tc>
          <w:tcPr>
            <w:tcW w:w="1118" w:type="dxa"/>
            <w:tcBorders>
              <w:top w:val="nil"/>
              <w:left w:val="nil"/>
              <w:bottom w:val="nil"/>
              <w:right w:val="single" w:sz="4" w:space="0" w:color="auto"/>
            </w:tcBorders>
            <w:shd w:val="clear" w:color="auto" w:fill="auto"/>
            <w:noWrap/>
            <w:vAlign w:val="bottom"/>
            <w:hideMark/>
          </w:tcPr>
          <w:p w14:paraId="0F7F36C6"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2.006</w:t>
            </w:r>
          </w:p>
        </w:tc>
        <w:tc>
          <w:tcPr>
            <w:tcW w:w="1119" w:type="dxa"/>
            <w:tcBorders>
              <w:top w:val="nil"/>
              <w:left w:val="nil"/>
              <w:bottom w:val="nil"/>
              <w:right w:val="single" w:sz="4" w:space="0" w:color="auto"/>
            </w:tcBorders>
            <w:shd w:val="clear" w:color="auto" w:fill="auto"/>
            <w:noWrap/>
            <w:vAlign w:val="bottom"/>
            <w:hideMark/>
          </w:tcPr>
          <w:p w14:paraId="1E6507E6"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2.006</w:t>
            </w:r>
          </w:p>
        </w:tc>
        <w:tc>
          <w:tcPr>
            <w:tcW w:w="1119" w:type="dxa"/>
            <w:tcBorders>
              <w:top w:val="nil"/>
              <w:left w:val="nil"/>
              <w:bottom w:val="nil"/>
              <w:right w:val="single" w:sz="4" w:space="0" w:color="auto"/>
            </w:tcBorders>
            <w:shd w:val="clear" w:color="auto" w:fill="auto"/>
            <w:noWrap/>
            <w:vAlign w:val="bottom"/>
            <w:hideMark/>
          </w:tcPr>
          <w:p w14:paraId="24ECBE59"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2.006</w:t>
            </w:r>
          </w:p>
        </w:tc>
        <w:tc>
          <w:tcPr>
            <w:tcW w:w="1119" w:type="dxa"/>
            <w:tcBorders>
              <w:top w:val="nil"/>
              <w:left w:val="nil"/>
              <w:bottom w:val="nil"/>
              <w:right w:val="single" w:sz="4" w:space="0" w:color="auto"/>
            </w:tcBorders>
            <w:shd w:val="clear" w:color="auto" w:fill="auto"/>
            <w:noWrap/>
            <w:vAlign w:val="bottom"/>
            <w:hideMark/>
          </w:tcPr>
          <w:p w14:paraId="294F343A"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2.006</w:t>
            </w:r>
          </w:p>
        </w:tc>
        <w:tc>
          <w:tcPr>
            <w:tcW w:w="1119" w:type="dxa"/>
            <w:tcBorders>
              <w:top w:val="nil"/>
              <w:left w:val="nil"/>
              <w:bottom w:val="nil"/>
              <w:right w:val="single" w:sz="4" w:space="0" w:color="auto"/>
            </w:tcBorders>
            <w:shd w:val="clear" w:color="auto" w:fill="auto"/>
            <w:noWrap/>
            <w:vAlign w:val="bottom"/>
            <w:hideMark/>
          </w:tcPr>
          <w:p w14:paraId="5E934B04"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2.006</w:t>
            </w:r>
          </w:p>
        </w:tc>
      </w:tr>
      <w:tr w:rsidR="00AA14C4" w:rsidRPr="00AA14C4" w14:paraId="24C18D01"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678F852F"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Operational Equipment</w:t>
            </w:r>
          </w:p>
        </w:tc>
        <w:tc>
          <w:tcPr>
            <w:tcW w:w="1118" w:type="dxa"/>
            <w:tcBorders>
              <w:top w:val="nil"/>
              <w:left w:val="nil"/>
              <w:bottom w:val="nil"/>
              <w:right w:val="single" w:sz="4" w:space="0" w:color="auto"/>
            </w:tcBorders>
            <w:shd w:val="clear" w:color="auto" w:fill="auto"/>
            <w:noWrap/>
            <w:vAlign w:val="bottom"/>
            <w:hideMark/>
          </w:tcPr>
          <w:p w14:paraId="07F55D08"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0.547</w:t>
            </w:r>
          </w:p>
        </w:tc>
        <w:tc>
          <w:tcPr>
            <w:tcW w:w="1118" w:type="dxa"/>
            <w:tcBorders>
              <w:top w:val="nil"/>
              <w:left w:val="nil"/>
              <w:bottom w:val="nil"/>
              <w:right w:val="single" w:sz="4" w:space="0" w:color="auto"/>
            </w:tcBorders>
            <w:shd w:val="clear" w:color="auto" w:fill="auto"/>
            <w:noWrap/>
            <w:vAlign w:val="bottom"/>
            <w:hideMark/>
          </w:tcPr>
          <w:p w14:paraId="6AFEA02B"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0.347</w:t>
            </w:r>
          </w:p>
        </w:tc>
        <w:tc>
          <w:tcPr>
            <w:tcW w:w="1119" w:type="dxa"/>
            <w:tcBorders>
              <w:top w:val="nil"/>
              <w:left w:val="nil"/>
              <w:bottom w:val="nil"/>
              <w:right w:val="single" w:sz="4" w:space="0" w:color="auto"/>
            </w:tcBorders>
            <w:shd w:val="clear" w:color="auto" w:fill="auto"/>
            <w:noWrap/>
            <w:vAlign w:val="bottom"/>
            <w:hideMark/>
          </w:tcPr>
          <w:p w14:paraId="45538E87"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0.277</w:t>
            </w:r>
          </w:p>
        </w:tc>
        <w:tc>
          <w:tcPr>
            <w:tcW w:w="1119" w:type="dxa"/>
            <w:tcBorders>
              <w:top w:val="nil"/>
              <w:left w:val="nil"/>
              <w:bottom w:val="nil"/>
              <w:right w:val="single" w:sz="4" w:space="0" w:color="auto"/>
            </w:tcBorders>
            <w:shd w:val="clear" w:color="auto" w:fill="auto"/>
            <w:noWrap/>
            <w:vAlign w:val="bottom"/>
            <w:hideMark/>
          </w:tcPr>
          <w:p w14:paraId="318FA317"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0.277</w:t>
            </w:r>
          </w:p>
        </w:tc>
        <w:tc>
          <w:tcPr>
            <w:tcW w:w="1119" w:type="dxa"/>
            <w:tcBorders>
              <w:top w:val="nil"/>
              <w:left w:val="nil"/>
              <w:bottom w:val="nil"/>
              <w:right w:val="single" w:sz="4" w:space="0" w:color="auto"/>
            </w:tcBorders>
            <w:shd w:val="clear" w:color="auto" w:fill="auto"/>
            <w:noWrap/>
            <w:vAlign w:val="bottom"/>
            <w:hideMark/>
          </w:tcPr>
          <w:p w14:paraId="6E707F39"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0.277</w:t>
            </w:r>
          </w:p>
        </w:tc>
        <w:tc>
          <w:tcPr>
            <w:tcW w:w="1119" w:type="dxa"/>
            <w:tcBorders>
              <w:top w:val="nil"/>
              <w:left w:val="nil"/>
              <w:bottom w:val="nil"/>
              <w:right w:val="single" w:sz="4" w:space="0" w:color="auto"/>
            </w:tcBorders>
            <w:shd w:val="clear" w:color="auto" w:fill="auto"/>
            <w:noWrap/>
            <w:vAlign w:val="bottom"/>
            <w:hideMark/>
          </w:tcPr>
          <w:p w14:paraId="6CCD8DB0"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0.277</w:t>
            </w:r>
          </w:p>
        </w:tc>
      </w:tr>
      <w:tr w:rsidR="00AA14C4" w:rsidRPr="00AA14C4" w14:paraId="4D132B22"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304B20C7"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8" w:type="dxa"/>
            <w:tcBorders>
              <w:top w:val="single" w:sz="4" w:space="0" w:color="auto"/>
              <w:left w:val="nil"/>
              <w:bottom w:val="nil"/>
              <w:right w:val="single" w:sz="4" w:space="0" w:color="auto"/>
            </w:tcBorders>
            <w:shd w:val="clear" w:color="auto" w:fill="auto"/>
            <w:noWrap/>
            <w:vAlign w:val="bottom"/>
            <w:hideMark/>
          </w:tcPr>
          <w:p w14:paraId="4D353BB9"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2.553</w:t>
            </w:r>
          </w:p>
        </w:tc>
        <w:tc>
          <w:tcPr>
            <w:tcW w:w="1118" w:type="dxa"/>
            <w:tcBorders>
              <w:top w:val="single" w:sz="4" w:space="0" w:color="auto"/>
              <w:left w:val="nil"/>
              <w:bottom w:val="nil"/>
              <w:right w:val="single" w:sz="4" w:space="0" w:color="auto"/>
            </w:tcBorders>
            <w:shd w:val="clear" w:color="auto" w:fill="auto"/>
            <w:noWrap/>
            <w:vAlign w:val="bottom"/>
            <w:hideMark/>
          </w:tcPr>
          <w:p w14:paraId="0E410259"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2.353</w:t>
            </w:r>
          </w:p>
        </w:tc>
        <w:tc>
          <w:tcPr>
            <w:tcW w:w="1119" w:type="dxa"/>
            <w:tcBorders>
              <w:top w:val="single" w:sz="4" w:space="0" w:color="auto"/>
              <w:left w:val="nil"/>
              <w:bottom w:val="nil"/>
              <w:right w:val="single" w:sz="4" w:space="0" w:color="auto"/>
            </w:tcBorders>
            <w:shd w:val="clear" w:color="auto" w:fill="auto"/>
            <w:noWrap/>
            <w:vAlign w:val="bottom"/>
            <w:hideMark/>
          </w:tcPr>
          <w:p w14:paraId="6F03D783"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2.283</w:t>
            </w:r>
          </w:p>
        </w:tc>
        <w:tc>
          <w:tcPr>
            <w:tcW w:w="1119" w:type="dxa"/>
            <w:tcBorders>
              <w:top w:val="single" w:sz="4" w:space="0" w:color="auto"/>
              <w:left w:val="nil"/>
              <w:bottom w:val="nil"/>
              <w:right w:val="single" w:sz="4" w:space="0" w:color="auto"/>
            </w:tcBorders>
            <w:shd w:val="clear" w:color="auto" w:fill="auto"/>
            <w:noWrap/>
            <w:vAlign w:val="bottom"/>
            <w:hideMark/>
          </w:tcPr>
          <w:p w14:paraId="016FABDD"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2.283</w:t>
            </w:r>
          </w:p>
        </w:tc>
        <w:tc>
          <w:tcPr>
            <w:tcW w:w="1119" w:type="dxa"/>
            <w:tcBorders>
              <w:top w:val="single" w:sz="4" w:space="0" w:color="auto"/>
              <w:left w:val="nil"/>
              <w:bottom w:val="nil"/>
              <w:right w:val="single" w:sz="4" w:space="0" w:color="auto"/>
            </w:tcBorders>
            <w:shd w:val="clear" w:color="auto" w:fill="auto"/>
            <w:noWrap/>
            <w:vAlign w:val="bottom"/>
            <w:hideMark/>
          </w:tcPr>
          <w:p w14:paraId="3420E6B9"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2.283</w:t>
            </w:r>
          </w:p>
        </w:tc>
        <w:tc>
          <w:tcPr>
            <w:tcW w:w="1119" w:type="dxa"/>
            <w:tcBorders>
              <w:top w:val="single" w:sz="4" w:space="0" w:color="auto"/>
              <w:left w:val="nil"/>
              <w:bottom w:val="nil"/>
              <w:right w:val="single" w:sz="4" w:space="0" w:color="auto"/>
            </w:tcBorders>
            <w:shd w:val="clear" w:color="auto" w:fill="auto"/>
            <w:noWrap/>
            <w:vAlign w:val="bottom"/>
            <w:hideMark/>
          </w:tcPr>
          <w:p w14:paraId="6D400BD7"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2.283</w:t>
            </w:r>
          </w:p>
        </w:tc>
      </w:tr>
      <w:tr w:rsidR="00AA14C4" w:rsidRPr="00AA14C4" w14:paraId="3A4CC04E"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736A887F" w14:textId="77777777" w:rsidR="00AA14C4" w:rsidRPr="00AA14C4" w:rsidRDefault="00AA14C4" w:rsidP="00AA14C4">
            <w:pPr>
              <w:spacing w:line="240" w:lineRule="auto"/>
              <w:rPr>
                <w:rFonts w:eastAsia="Times New Roman" w:cs="Calibri"/>
                <w:b/>
                <w:bCs/>
                <w:color w:val="000000"/>
                <w:sz w:val="20"/>
                <w:szCs w:val="20"/>
                <w:u w:val="single"/>
                <w:lang w:eastAsia="en-GB"/>
              </w:rPr>
            </w:pPr>
            <w:r w:rsidRPr="00AA14C4">
              <w:rPr>
                <w:rFonts w:eastAsia="Times New Roman" w:cs="Calibri"/>
                <w:b/>
                <w:bCs/>
                <w:color w:val="000000"/>
                <w:sz w:val="20"/>
                <w:szCs w:val="20"/>
                <w:u w:val="single"/>
                <w:lang w:eastAsia="en-GB"/>
              </w:rPr>
              <w:t>Held to support the medium term budget</w:t>
            </w:r>
          </w:p>
        </w:tc>
        <w:tc>
          <w:tcPr>
            <w:tcW w:w="1118" w:type="dxa"/>
            <w:tcBorders>
              <w:top w:val="nil"/>
              <w:left w:val="nil"/>
              <w:bottom w:val="nil"/>
              <w:right w:val="single" w:sz="4" w:space="0" w:color="auto"/>
            </w:tcBorders>
            <w:shd w:val="clear" w:color="auto" w:fill="auto"/>
            <w:noWrap/>
            <w:vAlign w:val="bottom"/>
            <w:hideMark/>
          </w:tcPr>
          <w:p w14:paraId="59036579"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8" w:type="dxa"/>
            <w:tcBorders>
              <w:top w:val="nil"/>
              <w:left w:val="nil"/>
              <w:bottom w:val="nil"/>
              <w:right w:val="single" w:sz="4" w:space="0" w:color="auto"/>
            </w:tcBorders>
            <w:shd w:val="clear" w:color="auto" w:fill="auto"/>
            <w:noWrap/>
            <w:vAlign w:val="bottom"/>
            <w:hideMark/>
          </w:tcPr>
          <w:p w14:paraId="7258BE2D"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5184C1C7"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6D0ACBD4"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523A6A5E"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260F76C9"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r>
      <w:tr w:rsidR="00AA14C4" w:rsidRPr="00AA14C4" w14:paraId="1EE953A4"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2D7A4E86"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Earmarked - Carry Forwards</w:t>
            </w:r>
          </w:p>
        </w:tc>
        <w:tc>
          <w:tcPr>
            <w:tcW w:w="1118" w:type="dxa"/>
            <w:tcBorders>
              <w:top w:val="nil"/>
              <w:left w:val="nil"/>
              <w:bottom w:val="nil"/>
              <w:right w:val="single" w:sz="4" w:space="0" w:color="auto"/>
            </w:tcBorders>
            <w:shd w:val="clear" w:color="auto" w:fill="auto"/>
            <w:noWrap/>
            <w:vAlign w:val="bottom"/>
            <w:hideMark/>
          </w:tcPr>
          <w:p w14:paraId="48232A85"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0.393</w:t>
            </w:r>
          </w:p>
        </w:tc>
        <w:tc>
          <w:tcPr>
            <w:tcW w:w="1118" w:type="dxa"/>
            <w:tcBorders>
              <w:top w:val="nil"/>
              <w:left w:val="nil"/>
              <w:bottom w:val="nil"/>
              <w:right w:val="single" w:sz="4" w:space="0" w:color="auto"/>
            </w:tcBorders>
            <w:shd w:val="clear" w:color="auto" w:fill="auto"/>
            <w:noWrap/>
            <w:vAlign w:val="bottom"/>
            <w:hideMark/>
          </w:tcPr>
          <w:p w14:paraId="082300DE"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0.200</w:t>
            </w:r>
          </w:p>
        </w:tc>
        <w:tc>
          <w:tcPr>
            <w:tcW w:w="1119" w:type="dxa"/>
            <w:tcBorders>
              <w:top w:val="nil"/>
              <w:left w:val="nil"/>
              <w:bottom w:val="nil"/>
              <w:right w:val="single" w:sz="4" w:space="0" w:color="auto"/>
            </w:tcBorders>
            <w:shd w:val="clear" w:color="auto" w:fill="auto"/>
            <w:noWrap/>
            <w:vAlign w:val="bottom"/>
            <w:hideMark/>
          </w:tcPr>
          <w:p w14:paraId="41E5023D"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0.000</w:t>
            </w:r>
          </w:p>
        </w:tc>
        <w:tc>
          <w:tcPr>
            <w:tcW w:w="1119" w:type="dxa"/>
            <w:tcBorders>
              <w:top w:val="nil"/>
              <w:left w:val="nil"/>
              <w:bottom w:val="nil"/>
              <w:right w:val="single" w:sz="4" w:space="0" w:color="auto"/>
            </w:tcBorders>
            <w:shd w:val="clear" w:color="auto" w:fill="auto"/>
            <w:noWrap/>
            <w:vAlign w:val="bottom"/>
            <w:hideMark/>
          </w:tcPr>
          <w:p w14:paraId="0993C3D7"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0.000</w:t>
            </w:r>
          </w:p>
        </w:tc>
        <w:tc>
          <w:tcPr>
            <w:tcW w:w="1119" w:type="dxa"/>
            <w:tcBorders>
              <w:top w:val="nil"/>
              <w:left w:val="nil"/>
              <w:bottom w:val="nil"/>
              <w:right w:val="single" w:sz="4" w:space="0" w:color="auto"/>
            </w:tcBorders>
            <w:shd w:val="clear" w:color="auto" w:fill="auto"/>
            <w:noWrap/>
            <w:vAlign w:val="bottom"/>
            <w:hideMark/>
          </w:tcPr>
          <w:p w14:paraId="04CCD53E"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0.000</w:t>
            </w:r>
          </w:p>
        </w:tc>
        <w:tc>
          <w:tcPr>
            <w:tcW w:w="1119" w:type="dxa"/>
            <w:tcBorders>
              <w:top w:val="nil"/>
              <w:left w:val="nil"/>
              <w:bottom w:val="nil"/>
              <w:right w:val="single" w:sz="4" w:space="0" w:color="auto"/>
            </w:tcBorders>
            <w:shd w:val="clear" w:color="auto" w:fill="auto"/>
            <w:noWrap/>
            <w:vAlign w:val="bottom"/>
            <w:hideMark/>
          </w:tcPr>
          <w:p w14:paraId="411D5F99"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0.000</w:t>
            </w:r>
          </w:p>
        </w:tc>
      </w:tr>
      <w:tr w:rsidR="00AA14C4" w:rsidRPr="00AA14C4" w14:paraId="645CF2D9"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783A72FF"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Pensions</w:t>
            </w:r>
          </w:p>
        </w:tc>
        <w:tc>
          <w:tcPr>
            <w:tcW w:w="1118" w:type="dxa"/>
            <w:tcBorders>
              <w:top w:val="nil"/>
              <w:left w:val="nil"/>
              <w:bottom w:val="nil"/>
              <w:right w:val="single" w:sz="4" w:space="0" w:color="auto"/>
            </w:tcBorders>
            <w:shd w:val="clear" w:color="auto" w:fill="auto"/>
            <w:noWrap/>
            <w:vAlign w:val="bottom"/>
            <w:hideMark/>
          </w:tcPr>
          <w:p w14:paraId="755A9838"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0.215</w:t>
            </w:r>
          </w:p>
        </w:tc>
        <w:tc>
          <w:tcPr>
            <w:tcW w:w="1118" w:type="dxa"/>
            <w:tcBorders>
              <w:top w:val="nil"/>
              <w:left w:val="nil"/>
              <w:bottom w:val="nil"/>
              <w:right w:val="single" w:sz="4" w:space="0" w:color="auto"/>
            </w:tcBorders>
            <w:shd w:val="clear" w:color="auto" w:fill="auto"/>
            <w:noWrap/>
            <w:vAlign w:val="bottom"/>
            <w:hideMark/>
          </w:tcPr>
          <w:p w14:paraId="2F8E98A7"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0.215</w:t>
            </w:r>
          </w:p>
        </w:tc>
        <w:tc>
          <w:tcPr>
            <w:tcW w:w="1119" w:type="dxa"/>
            <w:tcBorders>
              <w:top w:val="nil"/>
              <w:left w:val="nil"/>
              <w:bottom w:val="nil"/>
              <w:right w:val="single" w:sz="4" w:space="0" w:color="auto"/>
            </w:tcBorders>
            <w:shd w:val="clear" w:color="auto" w:fill="auto"/>
            <w:noWrap/>
            <w:vAlign w:val="bottom"/>
            <w:hideMark/>
          </w:tcPr>
          <w:p w14:paraId="0C82FF56"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0.094</w:t>
            </w:r>
          </w:p>
        </w:tc>
        <w:tc>
          <w:tcPr>
            <w:tcW w:w="1119" w:type="dxa"/>
            <w:tcBorders>
              <w:top w:val="nil"/>
              <w:left w:val="nil"/>
              <w:bottom w:val="nil"/>
              <w:right w:val="single" w:sz="4" w:space="0" w:color="auto"/>
            </w:tcBorders>
            <w:shd w:val="clear" w:color="auto" w:fill="auto"/>
            <w:noWrap/>
            <w:vAlign w:val="bottom"/>
            <w:hideMark/>
          </w:tcPr>
          <w:p w14:paraId="188A305B"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0.094</w:t>
            </w:r>
          </w:p>
        </w:tc>
        <w:tc>
          <w:tcPr>
            <w:tcW w:w="1119" w:type="dxa"/>
            <w:tcBorders>
              <w:top w:val="nil"/>
              <w:left w:val="nil"/>
              <w:bottom w:val="nil"/>
              <w:right w:val="single" w:sz="4" w:space="0" w:color="auto"/>
            </w:tcBorders>
            <w:shd w:val="clear" w:color="auto" w:fill="auto"/>
            <w:noWrap/>
            <w:vAlign w:val="bottom"/>
            <w:hideMark/>
          </w:tcPr>
          <w:p w14:paraId="086DC9AF"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0.094</w:t>
            </w:r>
          </w:p>
        </w:tc>
        <w:tc>
          <w:tcPr>
            <w:tcW w:w="1119" w:type="dxa"/>
            <w:tcBorders>
              <w:top w:val="nil"/>
              <w:left w:val="nil"/>
              <w:bottom w:val="nil"/>
              <w:right w:val="single" w:sz="4" w:space="0" w:color="auto"/>
            </w:tcBorders>
            <w:shd w:val="clear" w:color="auto" w:fill="auto"/>
            <w:noWrap/>
            <w:vAlign w:val="bottom"/>
            <w:hideMark/>
          </w:tcPr>
          <w:p w14:paraId="76DF0202"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0.094</w:t>
            </w:r>
          </w:p>
        </w:tc>
      </w:tr>
      <w:tr w:rsidR="00AA14C4" w:rsidRPr="00AA14C4" w14:paraId="0EF7CAF4"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5CDD4CDE"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Smoothing</w:t>
            </w:r>
          </w:p>
        </w:tc>
        <w:tc>
          <w:tcPr>
            <w:tcW w:w="1118" w:type="dxa"/>
            <w:tcBorders>
              <w:top w:val="nil"/>
              <w:left w:val="nil"/>
              <w:bottom w:val="nil"/>
              <w:right w:val="single" w:sz="4" w:space="0" w:color="auto"/>
            </w:tcBorders>
            <w:shd w:val="clear" w:color="auto" w:fill="auto"/>
            <w:noWrap/>
            <w:vAlign w:val="bottom"/>
            <w:hideMark/>
          </w:tcPr>
          <w:p w14:paraId="30DAB8EA"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3.492</w:t>
            </w:r>
          </w:p>
        </w:tc>
        <w:tc>
          <w:tcPr>
            <w:tcW w:w="1118" w:type="dxa"/>
            <w:tcBorders>
              <w:top w:val="nil"/>
              <w:left w:val="nil"/>
              <w:bottom w:val="nil"/>
              <w:right w:val="single" w:sz="4" w:space="0" w:color="auto"/>
            </w:tcBorders>
            <w:shd w:val="clear" w:color="auto" w:fill="auto"/>
            <w:noWrap/>
            <w:vAlign w:val="bottom"/>
            <w:hideMark/>
          </w:tcPr>
          <w:p w14:paraId="51F4C1CC"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3.582</w:t>
            </w:r>
          </w:p>
        </w:tc>
        <w:tc>
          <w:tcPr>
            <w:tcW w:w="1119" w:type="dxa"/>
            <w:tcBorders>
              <w:top w:val="nil"/>
              <w:left w:val="nil"/>
              <w:bottom w:val="nil"/>
              <w:right w:val="single" w:sz="4" w:space="0" w:color="auto"/>
            </w:tcBorders>
            <w:shd w:val="clear" w:color="auto" w:fill="auto"/>
            <w:noWrap/>
            <w:vAlign w:val="bottom"/>
            <w:hideMark/>
          </w:tcPr>
          <w:p w14:paraId="35BB9251"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2.397</w:t>
            </w:r>
          </w:p>
        </w:tc>
        <w:tc>
          <w:tcPr>
            <w:tcW w:w="1119" w:type="dxa"/>
            <w:tcBorders>
              <w:top w:val="nil"/>
              <w:left w:val="nil"/>
              <w:bottom w:val="nil"/>
              <w:right w:val="single" w:sz="4" w:space="0" w:color="auto"/>
            </w:tcBorders>
            <w:shd w:val="clear" w:color="auto" w:fill="auto"/>
            <w:noWrap/>
            <w:vAlign w:val="bottom"/>
            <w:hideMark/>
          </w:tcPr>
          <w:p w14:paraId="77E8F3C8"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2.397</w:t>
            </w:r>
          </w:p>
        </w:tc>
        <w:tc>
          <w:tcPr>
            <w:tcW w:w="1119" w:type="dxa"/>
            <w:tcBorders>
              <w:top w:val="nil"/>
              <w:left w:val="nil"/>
              <w:bottom w:val="nil"/>
              <w:right w:val="single" w:sz="4" w:space="0" w:color="auto"/>
            </w:tcBorders>
            <w:shd w:val="clear" w:color="auto" w:fill="auto"/>
            <w:noWrap/>
            <w:vAlign w:val="bottom"/>
            <w:hideMark/>
          </w:tcPr>
          <w:p w14:paraId="3EDD2F00"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2.397</w:t>
            </w:r>
          </w:p>
        </w:tc>
        <w:tc>
          <w:tcPr>
            <w:tcW w:w="1119" w:type="dxa"/>
            <w:tcBorders>
              <w:top w:val="nil"/>
              <w:left w:val="nil"/>
              <w:bottom w:val="nil"/>
              <w:right w:val="single" w:sz="4" w:space="0" w:color="auto"/>
            </w:tcBorders>
            <w:shd w:val="clear" w:color="auto" w:fill="auto"/>
            <w:noWrap/>
            <w:vAlign w:val="bottom"/>
            <w:hideMark/>
          </w:tcPr>
          <w:p w14:paraId="4660E9D8"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2.397</w:t>
            </w:r>
          </w:p>
        </w:tc>
      </w:tr>
      <w:tr w:rsidR="00AA14C4" w:rsidRPr="00AA14C4" w14:paraId="197FF867"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5331B10E"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8" w:type="dxa"/>
            <w:tcBorders>
              <w:top w:val="single" w:sz="4" w:space="0" w:color="auto"/>
              <w:left w:val="nil"/>
              <w:bottom w:val="nil"/>
              <w:right w:val="single" w:sz="4" w:space="0" w:color="auto"/>
            </w:tcBorders>
            <w:shd w:val="clear" w:color="auto" w:fill="auto"/>
            <w:noWrap/>
            <w:vAlign w:val="bottom"/>
            <w:hideMark/>
          </w:tcPr>
          <w:p w14:paraId="34624BB1"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4.100</w:t>
            </w:r>
          </w:p>
        </w:tc>
        <w:tc>
          <w:tcPr>
            <w:tcW w:w="1118" w:type="dxa"/>
            <w:tcBorders>
              <w:top w:val="single" w:sz="4" w:space="0" w:color="auto"/>
              <w:left w:val="nil"/>
              <w:bottom w:val="nil"/>
              <w:right w:val="single" w:sz="4" w:space="0" w:color="auto"/>
            </w:tcBorders>
            <w:shd w:val="clear" w:color="auto" w:fill="auto"/>
            <w:noWrap/>
            <w:vAlign w:val="bottom"/>
            <w:hideMark/>
          </w:tcPr>
          <w:p w14:paraId="39FE8477"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3.997</w:t>
            </w:r>
          </w:p>
        </w:tc>
        <w:tc>
          <w:tcPr>
            <w:tcW w:w="1119" w:type="dxa"/>
            <w:tcBorders>
              <w:top w:val="single" w:sz="4" w:space="0" w:color="auto"/>
              <w:left w:val="nil"/>
              <w:bottom w:val="nil"/>
              <w:right w:val="single" w:sz="4" w:space="0" w:color="auto"/>
            </w:tcBorders>
            <w:shd w:val="clear" w:color="auto" w:fill="auto"/>
            <w:noWrap/>
            <w:vAlign w:val="bottom"/>
            <w:hideMark/>
          </w:tcPr>
          <w:p w14:paraId="742CA7CA"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2.491</w:t>
            </w:r>
          </w:p>
        </w:tc>
        <w:tc>
          <w:tcPr>
            <w:tcW w:w="1119" w:type="dxa"/>
            <w:tcBorders>
              <w:top w:val="single" w:sz="4" w:space="0" w:color="auto"/>
              <w:left w:val="nil"/>
              <w:bottom w:val="nil"/>
              <w:right w:val="single" w:sz="4" w:space="0" w:color="auto"/>
            </w:tcBorders>
            <w:shd w:val="clear" w:color="auto" w:fill="auto"/>
            <w:noWrap/>
            <w:vAlign w:val="bottom"/>
            <w:hideMark/>
          </w:tcPr>
          <w:p w14:paraId="702DD310"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2.491</w:t>
            </w:r>
          </w:p>
        </w:tc>
        <w:tc>
          <w:tcPr>
            <w:tcW w:w="1119" w:type="dxa"/>
            <w:tcBorders>
              <w:top w:val="single" w:sz="4" w:space="0" w:color="auto"/>
              <w:left w:val="nil"/>
              <w:bottom w:val="nil"/>
              <w:right w:val="single" w:sz="4" w:space="0" w:color="auto"/>
            </w:tcBorders>
            <w:shd w:val="clear" w:color="auto" w:fill="auto"/>
            <w:noWrap/>
            <w:vAlign w:val="bottom"/>
            <w:hideMark/>
          </w:tcPr>
          <w:p w14:paraId="2906EF32"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2.491</w:t>
            </w:r>
          </w:p>
        </w:tc>
        <w:tc>
          <w:tcPr>
            <w:tcW w:w="1119" w:type="dxa"/>
            <w:tcBorders>
              <w:top w:val="single" w:sz="4" w:space="0" w:color="auto"/>
              <w:left w:val="nil"/>
              <w:bottom w:val="nil"/>
              <w:right w:val="single" w:sz="4" w:space="0" w:color="auto"/>
            </w:tcBorders>
            <w:shd w:val="clear" w:color="auto" w:fill="auto"/>
            <w:noWrap/>
            <w:vAlign w:val="bottom"/>
            <w:hideMark/>
          </w:tcPr>
          <w:p w14:paraId="0A1317AD"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2.491</w:t>
            </w:r>
          </w:p>
        </w:tc>
      </w:tr>
      <w:tr w:rsidR="00AA14C4" w:rsidRPr="00AA14C4" w14:paraId="2A49D983"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5D6955DE" w14:textId="77777777" w:rsidR="00AA14C4" w:rsidRPr="00AA14C4" w:rsidRDefault="00AA14C4" w:rsidP="00AA14C4">
            <w:pPr>
              <w:spacing w:line="240" w:lineRule="auto"/>
              <w:rPr>
                <w:rFonts w:eastAsia="Times New Roman" w:cs="Calibri"/>
                <w:b/>
                <w:bCs/>
                <w:color w:val="000000"/>
                <w:sz w:val="20"/>
                <w:szCs w:val="20"/>
                <w:u w:val="single"/>
                <w:lang w:eastAsia="en-GB"/>
              </w:rPr>
            </w:pPr>
            <w:r w:rsidRPr="00AA14C4">
              <w:rPr>
                <w:rFonts w:eastAsia="Times New Roman" w:cs="Calibri"/>
                <w:b/>
                <w:bCs/>
                <w:color w:val="000000"/>
                <w:sz w:val="20"/>
                <w:szCs w:val="20"/>
                <w:u w:val="single"/>
                <w:lang w:eastAsia="en-GB"/>
              </w:rPr>
              <w:t>Held to facilitate change programmes</w:t>
            </w:r>
          </w:p>
        </w:tc>
        <w:tc>
          <w:tcPr>
            <w:tcW w:w="1118" w:type="dxa"/>
            <w:tcBorders>
              <w:top w:val="nil"/>
              <w:left w:val="nil"/>
              <w:bottom w:val="nil"/>
              <w:right w:val="single" w:sz="4" w:space="0" w:color="auto"/>
            </w:tcBorders>
            <w:shd w:val="clear" w:color="auto" w:fill="auto"/>
            <w:noWrap/>
            <w:vAlign w:val="bottom"/>
            <w:hideMark/>
          </w:tcPr>
          <w:p w14:paraId="2D10064F"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8" w:type="dxa"/>
            <w:tcBorders>
              <w:top w:val="nil"/>
              <w:left w:val="nil"/>
              <w:bottom w:val="nil"/>
              <w:right w:val="single" w:sz="4" w:space="0" w:color="auto"/>
            </w:tcBorders>
            <w:shd w:val="clear" w:color="auto" w:fill="auto"/>
            <w:noWrap/>
            <w:vAlign w:val="bottom"/>
            <w:hideMark/>
          </w:tcPr>
          <w:p w14:paraId="5ACEC450"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494E1312"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533E637E"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1B7BBD54"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751B1036"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r>
      <w:tr w:rsidR="00AA14C4" w:rsidRPr="00AA14C4" w14:paraId="4B9DD1EC"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6E2A2DA9"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PFCC Initiatives Reserve</w:t>
            </w:r>
          </w:p>
        </w:tc>
        <w:tc>
          <w:tcPr>
            <w:tcW w:w="1118" w:type="dxa"/>
            <w:tcBorders>
              <w:top w:val="nil"/>
              <w:left w:val="nil"/>
              <w:bottom w:val="nil"/>
              <w:right w:val="single" w:sz="4" w:space="0" w:color="auto"/>
            </w:tcBorders>
            <w:shd w:val="clear" w:color="auto" w:fill="auto"/>
            <w:noWrap/>
            <w:vAlign w:val="bottom"/>
            <w:hideMark/>
          </w:tcPr>
          <w:p w14:paraId="632699A3"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3.912</w:t>
            </w:r>
          </w:p>
        </w:tc>
        <w:tc>
          <w:tcPr>
            <w:tcW w:w="1118" w:type="dxa"/>
            <w:tcBorders>
              <w:top w:val="nil"/>
              <w:left w:val="nil"/>
              <w:bottom w:val="nil"/>
              <w:right w:val="single" w:sz="4" w:space="0" w:color="auto"/>
            </w:tcBorders>
            <w:shd w:val="clear" w:color="auto" w:fill="auto"/>
            <w:noWrap/>
            <w:vAlign w:val="bottom"/>
            <w:hideMark/>
          </w:tcPr>
          <w:p w14:paraId="5AE0FC1F"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3.396</w:t>
            </w:r>
          </w:p>
        </w:tc>
        <w:tc>
          <w:tcPr>
            <w:tcW w:w="1119" w:type="dxa"/>
            <w:tcBorders>
              <w:top w:val="nil"/>
              <w:left w:val="nil"/>
              <w:bottom w:val="nil"/>
              <w:right w:val="single" w:sz="4" w:space="0" w:color="auto"/>
            </w:tcBorders>
            <w:shd w:val="clear" w:color="auto" w:fill="auto"/>
            <w:noWrap/>
            <w:vAlign w:val="bottom"/>
            <w:hideMark/>
          </w:tcPr>
          <w:p w14:paraId="04351F69"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2.741</w:t>
            </w:r>
          </w:p>
        </w:tc>
        <w:tc>
          <w:tcPr>
            <w:tcW w:w="1119" w:type="dxa"/>
            <w:tcBorders>
              <w:top w:val="nil"/>
              <w:left w:val="nil"/>
              <w:bottom w:val="nil"/>
              <w:right w:val="single" w:sz="4" w:space="0" w:color="auto"/>
            </w:tcBorders>
            <w:shd w:val="clear" w:color="auto" w:fill="auto"/>
            <w:noWrap/>
            <w:vAlign w:val="bottom"/>
            <w:hideMark/>
          </w:tcPr>
          <w:p w14:paraId="0502B313"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2.491</w:t>
            </w:r>
          </w:p>
        </w:tc>
        <w:tc>
          <w:tcPr>
            <w:tcW w:w="1119" w:type="dxa"/>
            <w:tcBorders>
              <w:top w:val="nil"/>
              <w:left w:val="nil"/>
              <w:bottom w:val="nil"/>
              <w:right w:val="single" w:sz="4" w:space="0" w:color="auto"/>
            </w:tcBorders>
            <w:shd w:val="clear" w:color="auto" w:fill="auto"/>
            <w:noWrap/>
            <w:vAlign w:val="bottom"/>
            <w:hideMark/>
          </w:tcPr>
          <w:p w14:paraId="539C8EA8"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2.241</w:t>
            </w:r>
          </w:p>
        </w:tc>
        <w:tc>
          <w:tcPr>
            <w:tcW w:w="1119" w:type="dxa"/>
            <w:tcBorders>
              <w:top w:val="nil"/>
              <w:left w:val="nil"/>
              <w:bottom w:val="nil"/>
              <w:right w:val="single" w:sz="4" w:space="0" w:color="auto"/>
            </w:tcBorders>
            <w:shd w:val="clear" w:color="auto" w:fill="auto"/>
            <w:noWrap/>
            <w:vAlign w:val="bottom"/>
            <w:hideMark/>
          </w:tcPr>
          <w:p w14:paraId="3819AA0F"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1.991</w:t>
            </w:r>
          </w:p>
        </w:tc>
      </w:tr>
      <w:tr w:rsidR="00AA14C4" w:rsidRPr="00AA14C4" w14:paraId="7E184F6D"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008B27B9"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Transformation Reserve</w:t>
            </w:r>
          </w:p>
        </w:tc>
        <w:tc>
          <w:tcPr>
            <w:tcW w:w="1118" w:type="dxa"/>
            <w:tcBorders>
              <w:top w:val="nil"/>
              <w:left w:val="nil"/>
              <w:bottom w:val="nil"/>
              <w:right w:val="single" w:sz="4" w:space="0" w:color="auto"/>
            </w:tcBorders>
            <w:shd w:val="clear" w:color="auto" w:fill="auto"/>
            <w:noWrap/>
            <w:vAlign w:val="bottom"/>
            <w:hideMark/>
          </w:tcPr>
          <w:p w14:paraId="757FA7A4"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3.333</w:t>
            </w:r>
          </w:p>
        </w:tc>
        <w:tc>
          <w:tcPr>
            <w:tcW w:w="1118" w:type="dxa"/>
            <w:tcBorders>
              <w:top w:val="nil"/>
              <w:left w:val="nil"/>
              <w:bottom w:val="nil"/>
              <w:right w:val="single" w:sz="4" w:space="0" w:color="auto"/>
            </w:tcBorders>
            <w:shd w:val="clear" w:color="auto" w:fill="auto"/>
            <w:noWrap/>
            <w:vAlign w:val="bottom"/>
            <w:hideMark/>
          </w:tcPr>
          <w:p w14:paraId="3D4F2AB4"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1.154</w:t>
            </w:r>
          </w:p>
        </w:tc>
        <w:tc>
          <w:tcPr>
            <w:tcW w:w="1119" w:type="dxa"/>
            <w:tcBorders>
              <w:top w:val="nil"/>
              <w:left w:val="nil"/>
              <w:bottom w:val="nil"/>
              <w:right w:val="single" w:sz="4" w:space="0" w:color="auto"/>
            </w:tcBorders>
            <w:shd w:val="clear" w:color="auto" w:fill="auto"/>
            <w:noWrap/>
            <w:vAlign w:val="bottom"/>
            <w:hideMark/>
          </w:tcPr>
          <w:p w14:paraId="2125FE9A"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1.416</w:t>
            </w:r>
          </w:p>
        </w:tc>
        <w:tc>
          <w:tcPr>
            <w:tcW w:w="1119" w:type="dxa"/>
            <w:tcBorders>
              <w:top w:val="nil"/>
              <w:left w:val="nil"/>
              <w:bottom w:val="nil"/>
              <w:right w:val="single" w:sz="4" w:space="0" w:color="auto"/>
            </w:tcBorders>
            <w:shd w:val="clear" w:color="auto" w:fill="auto"/>
            <w:noWrap/>
            <w:vAlign w:val="bottom"/>
            <w:hideMark/>
          </w:tcPr>
          <w:p w14:paraId="49A53129"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1.416</w:t>
            </w:r>
          </w:p>
        </w:tc>
        <w:tc>
          <w:tcPr>
            <w:tcW w:w="1119" w:type="dxa"/>
            <w:tcBorders>
              <w:top w:val="nil"/>
              <w:left w:val="nil"/>
              <w:bottom w:val="nil"/>
              <w:right w:val="single" w:sz="4" w:space="0" w:color="auto"/>
            </w:tcBorders>
            <w:shd w:val="clear" w:color="auto" w:fill="auto"/>
            <w:noWrap/>
            <w:vAlign w:val="bottom"/>
            <w:hideMark/>
          </w:tcPr>
          <w:p w14:paraId="615BDC37"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1.416</w:t>
            </w:r>
          </w:p>
        </w:tc>
        <w:tc>
          <w:tcPr>
            <w:tcW w:w="1119" w:type="dxa"/>
            <w:tcBorders>
              <w:top w:val="nil"/>
              <w:left w:val="nil"/>
              <w:bottom w:val="nil"/>
              <w:right w:val="single" w:sz="4" w:space="0" w:color="auto"/>
            </w:tcBorders>
            <w:shd w:val="clear" w:color="auto" w:fill="auto"/>
            <w:noWrap/>
            <w:vAlign w:val="bottom"/>
            <w:hideMark/>
          </w:tcPr>
          <w:p w14:paraId="1C1C2085"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1.416</w:t>
            </w:r>
          </w:p>
        </w:tc>
      </w:tr>
      <w:tr w:rsidR="00AA14C4" w:rsidRPr="00AA14C4" w14:paraId="796DCC4B"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05AC02E2"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Safer Roads Reserve</w:t>
            </w:r>
          </w:p>
        </w:tc>
        <w:tc>
          <w:tcPr>
            <w:tcW w:w="1118" w:type="dxa"/>
            <w:tcBorders>
              <w:top w:val="nil"/>
              <w:left w:val="nil"/>
              <w:bottom w:val="nil"/>
              <w:right w:val="single" w:sz="4" w:space="0" w:color="auto"/>
            </w:tcBorders>
            <w:shd w:val="clear" w:color="auto" w:fill="auto"/>
            <w:noWrap/>
            <w:vAlign w:val="bottom"/>
            <w:hideMark/>
          </w:tcPr>
          <w:p w14:paraId="32F75C5D"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0.664</w:t>
            </w:r>
          </w:p>
        </w:tc>
        <w:tc>
          <w:tcPr>
            <w:tcW w:w="1118" w:type="dxa"/>
            <w:tcBorders>
              <w:top w:val="nil"/>
              <w:left w:val="nil"/>
              <w:bottom w:val="nil"/>
              <w:right w:val="single" w:sz="4" w:space="0" w:color="auto"/>
            </w:tcBorders>
            <w:shd w:val="clear" w:color="auto" w:fill="auto"/>
            <w:noWrap/>
            <w:vAlign w:val="bottom"/>
            <w:hideMark/>
          </w:tcPr>
          <w:p w14:paraId="569F2178"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0.598</w:t>
            </w:r>
          </w:p>
        </w:tc>
        <w:tc>
          <w:tcPr>
            <w:tcW w:w="1119" w:type="dxa"/>
            <w:tcBorders>
              <w:top w:val="nil"/>
              <w:left w:val="nil"/>
              <w:bottom w:val="nil"/>
              <w:right w:val="single" w:sz="4" w:space="0" w:color="auto"/>
            </w:tcBorders>
            <w:shd w:val="clear" w:color="auto" w:fill="auto"/>
            <w:noWrap/>
            <w:vAlign w:val="bottom"/>
            <w:hideMark/>
          </w:tcPr>
          <w:p w14:paraId="31D3CF96"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0.532</w:t>
            </w:r>
          </w:p>
        </w:tc>
        <w:tc>
          <w:tcPr>
            <w:tcW w:w="1119" w:type="dxa"/>
            <w:tcBorders>
              <w:top w:val="nil"/>
              <w:left w:val="nil"/>
              <w:bottom w:val="nil"/>
              <w:right w:val="single" w:sz="4" w:space="0" w:color="auto"/>
            </w:tcBorders>
            <w:shd w:val="clear" w:color="auto" w:fill="auto"/>
            <w:noWrap/>
            <w:vAlign w:val="bottom"/>
            <w:hideMark/>
          </w:tcPr>
          <w:p w14:paraId="25CF82EA"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0.466</w:t>
            </w:r>
          </w:p>
        </w:tc>
        <w:tc>
          <w:tcPr>
            <w:tcW w:w="1119" w:type="dxa"/>
            <w:tcBorders>
              <w:top w:val="nil"/>
              <w:left w:val="nil"/>
              <w:bottom w:val="nil"/>
              <w:right w:val="single" w:sz="4" w:space="0" w:color="auto"/>
            </w:tcBorders>
            <w:shd w:val="clear" w:color="auto" w:fill="auto"/>
            <w:noWrap/>
            <w:vAlign w:val="bottom"/>
            <w:hideMark/>
          </w:tcPr>
          <w:p w14:paraId="24DE012F"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0.400</w:t>
            </w:r>
          </w:p>
        </w:tc>
        <w:tc>
          <w:tcPr>
            <w:tcW w:w="1119" w:type="dxa"/>
            <w:tcBorders>
              <w:top w:val="nil"/>
              <w:left w:val="nil"/>
              <w:bottom w:val="nil"/>
              <w:right w:val="single" w:sz="4" w:space="0" w:color="auto"/>
            </w:tcBorders>
            <w:shd w:val="clear" w:color="auto" w:fill="auto"/>
            <w:noWrap/>
            <w:vAlign w:val="bottom"/>
            <w:hideMark/>
          </w:tcPr>
          <w:p w14:paraId="73E0280F"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0.334</w:t>
            </w:r>
          </w:p>
        </w:tc>
      </w:tr>
      <w:tr w:rsidR="00AA14C4" w:rsidRPr="00AA14C4" w14:paraId="17CA24C7"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04435B67"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Neighbourhood Reserve</w:t>
            </w:r>
          </w:p>
        </w:tc>
        <w:tc>
          <w:tcPr>
            <w:tcW w:w="1118" w:type="dxa"/>
            <w:tcBorders>
              <w:top w:val="nil"/>
              <w:left w:val="nil"/>
              <w:bottom w:val="nil"/>
              <w:right w:val="single" w:sz="4" w:space="0" w:color="auto"/>
            </w:tcBorders>
            <w:shd w:val="clear" w:color="auto" w:fill="auto"/>
            <w:noWrap/>
            <w:vAlign w:val="bottom"/>
            <w:hideMark/>
          </w:tcPr>
          <w:p w14:paraId="27161F2A"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0.998</w:t>
            </w:r>
          </w:p>
        </w:tc>
        <w:tc>
          <w:tcPr>
            <w:tcW w:w="1118" w:type="dxa"/>
            <w:tcBorders>
              <w:top w:val="nil"/>
              <w:left w:val="nil"/>
              <w:bottom w:val="nil"/>
              <w:right w:val="single" w:sz="4" w:space="0" w:color="auto"/>
            </w:tcBorders>
            <w:shd w:val="clear" w:color="auto" w:fill="auto"/>
            <w:noWrap/>
            <w:vAlign w:val="bottom"/>
            <w:hideMark/>
          </w:tcPr>
          <w:p w14:paraId="16B65033"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1.574</w:t>
            </w:r>
          </w:p>
        </w:tc>
        <w:tc>
          <w:tcPr>
            <w:tcW w:w="1119" w:type="dxa"/>
            <w:tcBorders>
              <w:top w:val="nil"/>
              <w:left w:val="nil"/>
              <w:bottom w:val="nil"/>
              <w:right w:val="single" w:sz="4" w:space="0" w:color="auto"/>
            </w:tcBorders>
            <w:shd w:val="clear" w:color="auto" w:fill="auto"/>
            <w:noWrap/>
            <w:vAlign w:val="bottom"/>
            <w:hideMark/>
          </w:tcPr>
          <w:p w14:paraId="6B2F6202"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1.274</w:t>
            </w:r>
          </w:p>
        </w:tc>
        <w:tc>
          <w:tcPr>
            <w:tcW w:w="1119" w:type="dxa"/>
            <w:tcBorders>
              <w:top w:val="nil"/>
              <w:left w:val="nil"/>
              <w:bottom w:val="nil"/>
              <w:right w:val="single" w:sz="4" w:space="0" w:color="auto"/>
            </w:tcBorders>
            <w:shd w:val="clear" w:color="auto" w:fill="auto"/>
            <w:noWrap/>
            <w:vAlign w:val="bottom"/>
            <w:hideMark/>
          </w:tcPr>
          <w:p w14:paraId="13CFCA62"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1.274</w:t>
            </w:r>
          </w:p>
        </w:tc>
        <w:tc>
          <w:tcPr>
            <w:tcW w:w="1119" w:type="dxa"/>
            <w:tcBorders>
              <w:top w:val="nil"/>
              <w:left w:val="nil"/>
              <w:bottom w:val="nil"/>
              <w:right w:val="single" w:sz="4" w:space="0" w:color="auto"/>
            </w:tcBorders>
            <w:shd w:val="clear" w:color="auto" w:fill="auto"/>
            <w:noWrap/>
            <w:vAlign w:val="bottom"/>
            <w:hideMark/>
          </w:tcPr>
          <w:p w14:paraId="2593DB8F"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1.274</w:t>
            </w:r>
          </w:p>
        </w:tc>
        <w:tc>
          <w:tcPr>
            <w:tcW w:w="1119" w:type="dxa"/>
            <w:tcBorders>
              <w:top w:val="nil"/>
              <w:left w:val="nil"/>
              <w:bottom w:val="nil"/>
              <w:right w:val="single" w:sz="4" w:space="0" w:color="auto"/>
            </w:tcBorders>
            <w:shd w:val="clear" w:color="auto" w:fill="auto"/>
            <w:noWrap/>
            <w:vAlign w:val="bottom"/>
            <w:hideMark/>
          </w:tcPr>
          <w:p w14:paraId="345ABB24"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1.274</w:t>
            </w:r>
          </w:p>
        </w:tc>
      </w:tr>
      <w:tr w:rsidR="00AA14C4" w:rsidRPr="00AA14C4" w14:paraId="4A5D69E2"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40F1B1D2"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S106 Developer Contributions</w:t>
            </w:r>
          </w:p>
        </w:tc>
        <w:tc>
          <w:tcPr>
            <w:tcW w:w="1118" w:type="dxa"/>
            <w:tcBorders>
              <w:top w:val="nil"/>
              <w:left w:val="nil"/>
              <w:bottom w:val="nil"/>
              <w:right w:val="single" w:sz="4" w:space="0" w:color="auto"/>
            </w:tcBorders>
            <w:shd w:val="clear" w:color="auto" w:fill="auto"/>
            <w:noWrap/>
            <w:vAlign w:val="bottom"/>
            <w:hideMark/>
          </w:tcPr>
          <w:p w14:paraId="133FA2BA"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0.000</w:t>
            </w:r>
          </w:p>
        </w:tc>
        <w:tc>
          <w:tcPr>
            <w:tcW w:w="1118" w:type="dxa"/>
            <w:tcBorders>
              <w:top w:val="nil"/>
              <w:left w:val="nil"/>
              <w:bottom w:val="nil"/>
              <w:right w:val="single" w:sz="4" w:space="0" w:color="auto"/>
            </w:tcBorders>
            <w:shd w:val="clear" w:color="auto" w:fill="auto"/>
            <w:noWrap/>
            <w:vAlign w:val="bottom"/>
            <w:hideMark/>
          </w:tcPr>
          <w:p w14:paraId="0B528075"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0.042</w:t>
            </w:r>
          </w:p>
        </w:tc>
        <w:tc>
          <w:tcPr>
            <w:tcW w:w="1119" w:type="dxa"/>
            <w:tcBorders>
              <w:top w:val="nil"/>
              <w:left w:val="nil"/>
              <w:bottom w:val="nil"/>
              <w:right w:val="single" w:sz="4" w:space="0" w:color="auto"/>
            </w:tcBorders>
            <w:shd w:val="clear" w:color="auto" w:fill="auto"/>
            <w:noWrap/>
            <w:vAlign w:val="bottom"/>
            <w:hideMark/>
          </w:tcPr>
          <w:p w14:paraId="7716B588"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0.000</w:t>
            </w:r>
          </w:p>
        </w:tc>
        <w:tc>
          <w:tcPr>
            <w:tcW w:w="1119" w:type="dxa"/>
            <w:tcBorders>
              <w:top w:val="nil"/>
              <w:left w:val="nil"/>
              <w:bottom w:val="nil"/>
              <w:right w:val="single" w:sz="4" w:space="0" w:color="auto"/>
            </w:tcBorders>
            <w:shd w:val="clear" w:color="auto" w:fill="auto"/>
            <w:noWrap/>
            <w:vAlign w:val="bottom"/>
            <w:hideMark/>
          </w:tcPr>
          <w:p w14:paraId="3D3F28FA"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0.000</w:t>
            </w:r>
          </w:p>
        </w:tc>
        <w:tc>
          <w:tcPr>
            <w:tcW w:w="1119" w:type="dxa"/>
            <w:tcBorders>
              <w:top w:val="nil"/>
              <w:left w:val="nil"/>
              <w:bottom w:val="nil"/>
              <w:right w:val="single" w:sz="4" w:space="0" w:color="auto"/>
            </w:tcBorders>
            <w:shd w:val="clear" w:color="auto" w:fill="auto"/>
            <w:noWrap/>
            <w:vAlign w:val="bottom"/>
            <w:hideMark/>
          </w:tcPr>
          <w:p w14:paraId="3B13E15A"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0.000</w:t>
            </w:r>
          </w:p>
        </w:tc>
        <w:tc>
          <w:tcPr>
            <w:tcW w:w="1119" w:type="dxa"/>
            <w:tcBorders>
              <w:top w:val="nil"/>
              <w:left w:val="nil"/>
              <w:bottom w:val="nil"/>
              <w:right w:val="single" w:sz="4" w:space="0" w:color="auto"/>
            </w:tcBorders>
            <w:shd w:val="clear" w:color="auto" w:fill="auto"/>
            <w:noWrap/>
            <w:vAlign w:val="bottom"/>
            <w:hideMark/>
          </w:tcPr>
          <w:p w14:paraId="04B90E12"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0.000</w:t>
            </w:r>
          </w:p>
        </w:tc>
      </w:tr>
      <w:tr w:rsidR="00AA14C4" w:rsidRPr="00AA14C4" w14:paraId="6D722AC5"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7CB3D66B"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8" w:type="dxa"/>
            <w:tcBorders>
              <w:top w:val="single" w:sz="4" w:space="0" w:color="auto"/>
              <w:left w:val="nil"/>
              <w:bottom w:val="nil"/>
              <w:right w:val="single" w:sz="4" w:space="0" w:color="auto"/>
            </w:tcBorders>
            <w:shd w:val="clear" w:color="auto" w:fill="auto"/>
            <w:noWrap/>
            <w:vAlign w:val="bottom"/>
            <w:hideMark/>
          </w:tcPr>
          <w:p w14:paraId="1A35C67A"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8.907</w:t>
            </w:r>
          </w:p>
        </w:tc>
        <w:tc>
          <w:tcPr>
            <w:tcW w:w="1118" w:type="dxa"/>
            <w:tcBorders>
              <w:top w:val="single" w:sz="4" w:space="0" w:color="auto"/>
              <w:left w:val="nil"/>
              <w:bottom w:val="nil"/>
              <w:right w:val="single" w:sz="4" w:space="0" w:color="auto"/>
            </w:tcBorders>
            <w:shd w:val="clear" w:color="auto" w:fill="auto"/>
            <w:noWrap/>
            <w:vAlign w:val="bottom"/>
            <w:hideMark/>
          </w:tcPr>
          <w:p w14:paraId="1C0BF6B0"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6.764</w:t>
            </w:r>
          </w:p>
        </w:tc>
        <w:tc>
          <w:tcPr>
            <w:tcW w:w="1119" w:type="dxa"/>
            <w:tcBorders>
              <w:top w:val="single" w:sz="4" w:space="0" w:color="auto"/>
              <w:left w:val="nil"/>
              <w:bottom w:val="nil"/>
              <w:right w:val="single" w:sz="4" w:space="0" w:color="auto"/>
            </w:tcBorders>
            <w:shd w:val="clear" w:color="auto" w:fill="auto"/>
            <w:noWrap/>
            <w:vAlign w:val="bottom"/>
            <w:hideMark/>
          </w:tcPr>
          <w:p w14:paraId="1203728A"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5.963</w:t>
            </w:r>
          </w:p>
        </w:tc>
        <w:tc>
          <w:tcPr>
            <w:tcW w:w="1119" w:type="dxa"/>
            <w:tcBorders>
              <w:top w:val="single" w:sz="4" w:space="0" w:color="auto"/>
              <w:left w:val="nil"/>
              <w:bottom w:val="nil"/>
              <w:right w:val="single" w:sz="4" w:space="0" w:color="auto"/>
            </w:tcBorders>
            <w:shd w:val="clear" w:color="auto" w:fill="auto"/>
            <w:noWrap/>
            <w:vAlign w:val="bottom"/>
            <w:hideMark/>
          </w:tcPr>
          <w:p w14:paraId="294DDF3E"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5.647</w:t>
            </w:r>
          </w:p>
        </w:tc>
        <w:tc>
          <w:tcPr>
            <w:tcW w:w="1119" w:type="dxa"/>
            <w:tcBorders>
              <w:top w:val="single" w:sz="4" w:space="0" w:color="auto"/>
              <w:left w:val="nil"/>
              <w:bottom w:val="nil"/>
              <w:right w:val="single" w:sz="4" w:space="0" w:color="auto"/>
            </w:tcBorders>
            <w:shd w:val="clear" w:color="auto" w:fill="auto"/>
            <w:noWrap/>
            <w:vAlign w:val="bottom"/>
            <w:hideMark/>
          </w:tcPr>
          <w:p w14:paraId="2B7A0F76"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5.331</w:t>
            </w:r>
          </w:p>
        </w:tc>
        <w:tc>
          <w:tcPr>
            <w:tcW w:w="1119" w:type="dxa"/>
            <w:tcBorders>
              <w:top w:val="single" w:sz="4" w:space="0" w:color="auto"/>
              <w:left w:val="nil"/>
              <w:bottom w:val="nil"/>
              <w:right w:val="single" w:sz="4" w:space="0" w:color="auto"/>
            </w:tcBorders>
            <w:shd w:val="clear" w:color="auto" w:fill="auto"/>
            <w:noWrap/>
            <w:vAlign w:val="bottom"/>
            <w:hideMark/>
          </w:tcPr>
          <w:p w14:paraId="04AFF5B7"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5.015</w:t>
            </w:r>
          </w:p>
        </w:tc>
      </w:tr>
      <w:tr w:rsidR="00AA14C4" w:rsidRPr="00AA14C4" w14:paraId="24B7DE75"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4FDFB7BC" w14:textId="77777777" w:rsidR="00AA14C4" w:rsidRPr="00AA14C4" w:rsidRDefault="00AA14C4" w:rsidP="00AA14C4">
            <w:pPr>
              <w:spacing w:line="240" w:lineRule="auto"/>
              <w:rPr>
                <w:rFonts w:eastAsia="Times New Roman" w:cs="Calibri"/>
                <w:b/>
                <w:bCs/>
                <w:color w:val="000000"/>
                <w:sz w:val="20"/>
                <w:szCs w:val="20"/>
                <w:u w:val="single"/>
                <w:lang w:eastAsia="en-GB"/>
              </w:rPr>
            </w:pPr>
            <w:r w:rsidRPr="00AA14C4">
              <w:rPr>
                <w:rFonts w:eastAsia="Times New Roman" w:cs="Calibri"/>
                <w:b/>
                <w:bCs/>
                <w:color w:val="000000"/>
                <w:sz w:val="20"/>
                <w:szCs w:val="20"/>
                <w:u w:val="single"/>
                <w:lang w:eastAsia="en-GB"/>
              </w:rPr>
              <w:t>Capital Reserves</w:t>
            </w:r>
          </w:p>
        </w:tc>
        <w:tc>
          <w:tcPr>
            <w:tcW w:w="1118" w:type="dxa"/>
            <w:tcBorders>
              <w:top w:val="nil"/>
              <w:left w:val="nil"/>
              <w:bottom w:val="nil"/>
              <w:right w:val="single" w:sz="4" w:space="0" w:color="auto"/>
            </w:tcBorders>
            <w:shd w:val="clear" w:color="auto" w:fill="auto"/>
            <w:noWrap/>
            <w:vAlign w:val="bottom"/>
            <w:hideMark/>
          </w:tcPr>
          <w:p w14:paraId="54987DFD"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8" w:type="dxa"/>
            <w:tcBorders>
              <w:top w:val="nil"/>
              <w:left w:val="nil"/>
              <w:bottom w:val="nil"/>
              <w:right w:val="single" w:sz="4" w:space="0" w:color="auto"/>
            </w:tcBorders>
            <w:shd w:val="clear" w:color="auto" w:fill="auto"/>
            <w:noWrap/>
            <w:vAlign w:val="bottom"/>
            <w:hideMark/>
          </w:tcPr>
          <w:p w14:paraId="792632D1"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497868F2"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2B5EF0D8"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744A5BA4"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63AAA63A"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r>
      <w:tr w:rsidR="00AA14C4" w:rsidRPr="00AA14C4" w14:paraId="4F8A3400"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3CDDEABF"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Capital Reserves</w:t>
            </w:r>
          </w:p>
        </w:tc>
        <w:tc>
          <w:tcPr>
            <w:tcW w:w="1118" w:type="dxa"/>
            <w:tcBorders>
              <w:top w:val="nil"/>
              <w:left w:val="nil"/>
              <w:bottom w:val="nil"/>
              <w:right w:val="single" w:sz="4" w:space="0" w:color="auto"/>
            </w:tcBorders>
            <w:shd w:val="clear" w:color="auto" w:fill="auto"/>
            <w:noWrap/>
            <w:vAlign w:val="bottom"/>
            <w:hideMark/>
          </w:tcPr>
          <w:p w14:paraId="28837CBA"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0.077</w:t>
            </w:r>
          </w:p>
        </w:tc>
        <w:tc>
          <w:tcPr>
            <w:tcW w:w="1118" w:type="dxa"/>
            <w:tcBorders>
              <w:top w:val="nil"/>
              <w:left w:val="nil"/>
              <w:bottom w:val="nil"/>
              <w:right w:val="single" w:sz="4" w:space="0" w:color="auto"/>
            </w:tcBorders>
            <w:shd w:val="clear" w:color="auto" w:fill="auto"/>
            <w:noWrap/>
            <w:vAlign w:val="bottom"/>
            <w:hideMark/>
          </w:tcPr>
          <w:p w14:paraId="5754AF28"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0.000</w:t>
            </w:r>
          </w:p>
        </w:tc>
        <w:tc>
          <w:tcPr>
            <w:tcW w:w="1119" w:type="dxa"/>
            <w:tcBorders>
              <w:top w:val="nil"/>
              <w:left w:val="nil"/>
              <w:bottom w:val="nil"/>
              <w:right w:val="single" w:sz="4" w:space="0" w:color="auto"/>
            </w:tcBorders>
            <w:shd w:val="clear" w:color="auto" w:fill="auto"/>
            <w:noWrap/>
            <w:vAlign w:val="bottom"/>
            <w:hideMark/>
          </w:tcPr>
          <w:p w14:paraId="66D06539"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0.000</w:t>
            </w:r>
          </w:p>
        </w:tc>
        <w:tc>
          <w:tcPr>
            <w:tcW w:w="1119" w:type="dxa"/>
            <w:tcBorders>
              <w:top w:val="nil"/>
              <w:left w:val="nil"/>
              <w:bottom w:val="nil"/>
              <w:right w:val="single" w:sz="4" w:space="0" w:color="auto"/>
            </w:tcBorders>
            <w:shd w:val="clear" w:color="auto" w:fill="auto"/>
            <w:noWrap/>
            <w:vAlign w:val="bottom"/>
            <w:hideMark/>
          </w:tcPr>
          <w:p w14:paraId="63C837C9"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0.000</w:t>
            </w:r>
          </w:p>
        </w:tc>
        <w:tc>
          <w:tcPr>
            <w:tcW w:w="1119" w:type="dxa"/>
            <w:tcBorders>
              <w:top w:val="nil"/>
              <w:left w:val="nil"/>
              <w:bottom w:val="nil"/>
              <w:right w:val="single" w:sz="4" w:space="0" w:color="auto"/>
            </w:tcBorders>
            <w:shd w:val="clear" w:color="auto" w:fill="auto"/>
            <w:noWrap/>
            <w:vAlign w:val="bottom"/>
            <w:hideMark/>
          </w:tcPr>
          <w:p w14:paraId="1311126F"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0.000</w:t>
            </w:r>
          </w:p>
        </w:tc>
        <w:tc>
          <w:tcPr>
            <w:tcW w:w="1119" w:type="dxa"/>
            <w:tcBorders>
              <w:top w:val="nil"/>
              <w:left w:val="nil"/>
              <w:bottom w:val="nil"/>
              <w:right w:val="single" w:sz="4" w:space="0" w:color="auto"/>
            </w:tcBorders>
            <w:shd w:val="clear" w:color="auto" w:fill="auto"/>
            <w:noWrap/>
            <w:vAlign w:val="bottom"/>
            <w:hideMark/>
          </w:tcPr>
          <w:p w14:paraId="10FCDBD5"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0.000</w:t>
            </w:r>
          </w:p>
        </w:tc>
      </w:tr>
      <w:tr w:rsidR="00AA14C4" w:rsidRPr="00AA14C4" w14:paraId="401C989E"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03F9B1A1"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8" w:type="dxa"/>
            <w:tcBorders>
              <w:top w:val="single" w:sz="4" w:space="0" w:color="auto"/>
              <w:left w:val="nil"/>
              <w:bottom w:val="nil"/>
              <w:right w:val="single" w:sz="4" w:space="0" w:color="auto"/>
            </w:tcBorders>
            <w:shd w:val="clear" w:color="auto" w:fill="auto"/>
            <w:noWrap/>
            <w:vAlign w:val="bottom"/>
            <w:hideMark/>
          </w:tcPr>
          <w:p w14:paraId="1D2027DC"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0.077</w:t>
            </w:r>
          </w:p>
        </w:tc>
        <w:tc>
          <w:tcPr>
            <w:tcW w:w="1118" w:type="dxa"/>
            <w:tcBorders>
              <w:top w:val="single" w:sz="4" w:space="0" w:color="auto"/>
              <w:left w:val="nil"/>
              <w:bottom w:val="nil"/>
              <w:right w:val="single" w:sz="4" w:space="0" w:color="auto"/>
            </w:tcBorders>
            <w:shd w:val="clear" w:color="auto" w:fill="auto"/>
            <w:noWrap/>
            <w:vAlign w:val="bottom"/>
            <w:hideMark/>
          </w:tcPr>
          <w:p w14:paraId="75A5E980"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0.000</w:t>
            </w:r>
          </w:p>
        </w:tc>
        <w:tc>
          <w:tcPr>
            <w:tcW w:w="1119" w:type="dxa"/>
            <w:tcBorders>
              <w:top w:val="single" w:sz="4" w:space="0" w:color="auto"/>
              <w:left w:val="nil"/>
              <w:bottom w:val="nil"/>
              <w:right w:val="single" w:sz="4" w:space="0" w:color="auto"/>
            </w:tcBorders>
            <w:shd w:val="clear" w:color="auto" w:fill="auto"/>
            <w:noWrap/>
            <w:vAlign w:val="bottom"/>
            <w:hideMark/>
          </w:tcPr>
          <w:p w14:paraId="78FBD7BF"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0.000</w:t>
            </w:r>
          </w:p>
        </w:tc>
        <w:tc>
          <w:tcPr>
            <w:tcW w:w="1119" w:type="dxa"/>
            <w:tcBorders>
              <w:top w:val="single" w:sz="4" w:space="0" w:color="auto"/>
              <w:left w:val="nil"/>
              <w:bottom w:val="nil"/>
              <w:right w:val="single" w:sz="4" w:space="0" w:color="auto"/>
            </w:tcBorders>
            <w:shd w:val="clear" w:color="auto" w:fill="auto"/>
            <w:noWrap/>
            <w:vAlign w:val="bottom"/>
            <w:hideMark/>
          </w:tcPr>
          <w:p w14:paraId="7090AB27"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0.000</w:t>
            </w:r>
          </w:p>
        </w:tc>
        <w:tc>
          <w:tcPr>
            <w:tcW w:w="1119" w:type="dxa"/>
            <w:tcBorders>
              <w:top w:val="single" w:sz="4" w:space="0" w:color="auto"/>
              <w:left w:val="nil"/>
              <w:bottom w:val="nil"/>
              <w:right w:val="single" w:sz="4" w:space="0" w:color="auto"/>
            </w:tcBorders>
            <w:shd w:val="clear" w:color="auto" w:fill="auto"/>
            <w:noWrap/>
            <w:vAlign w:val="bottom"/>
            <w:hideMark/>
          </w:tcPr>
          <w:p w14:paraId="7902DF3D"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0.000</w:t>
            </w:r>
          </w:p>
        </w:tc>
        <w:tc>
          <w:tcPr>
            <w:tcW w:w="1119" w:type="dxa"/>
            <w:tcBorders>
              <w:top w:val="single" w:sz="4" w:space="0" w:color="auto"/>
              <w:left w:val="nil"/>
              <w:bottom w:val="nil"/>
              <w:right w:val="single" w:sz="4" w:space="0" w:color="auto"/>
            </w:tcBorders>
            <w:shd w:val="clear" w:color="auto" w:fill="auto"/>
            <w:noWrap/>
            <w:vAlign w:val="bottom"/>
            <w:hideMark/>
          </w:tcPr>
          <w:p w14:paraId="7E3B32E6"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0.000</w:t>
            </w:r>
          </w:p>
        </w:tc>
      </w:tr>
      <w:tr w:rsidR="00AA14C4" w:rsidRPr="00AA14C4" w14:paraId="51C45918"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2417B101" w14:textId="77777777" w:rsidR="00AA14C4" w:rsidRPr="00AA14C4" w:rsidRDefault="00AA14C4" w:rsidP="00AA14C4">
            <w:pPr>
              <w:spacing w:line="240" w:lineRule="auto"/>
              <w:rPr>
                <w:rFonts w:eastAsia="Times New Roman" w:cs="Calibri"/>
                <w:color w:val="FF0000"/>
                <w:sz w:val="20"/>
                <w:szCs w:val="20"/>
                <w:lang w:eastAsia="en-GB"/>
              </w:rPr>
            </w:pPr>
            <w:r w:rsidRPr="00AA14C4">
              <w:rPr>
                <w:rFonts w:eastAsia="Times New Roman" w:cs="Calibri"/>
                <w:color w:val="FF0000"/>
                <w:sz w:val="20"/>
                <w:szCs w:val="20"/>
                <w:lang w:eastAsia="en-GB"/>
              </w:rPr>
              <w:t> </w:t>
            </w:r>
          </w:p>
        </w:tc>
        <w:tc>
          <w:tcPr>
            <w:tcW w:w="1118" w:type="dxa"/>
            <w:tcBorders>
              <w:top w:val="nil"/>
              <w:left w:val="nil"/>
              <w:bottom w:val="nil"/>
              <w:right w:val="single" w:sz="4" w:space="0" w:color="auto"/>
            </w:tcBorders>
            <w:shd w:val="clear" w:color="auto" w:fill="auto"/>
            <w:noWrap/>
            <w:vAlign w:val="bottom"/>
            <w:hideMark/>
          </w:tcPr>
          <w:p w14:paraId="3BEE3168" w14:textId="77777777" w:rsidR="00AA14C4" w:rsidRPr="00AA14C4" w:rsidRDefault="00AA14C4" w:rsidP="00AA14C4">
            <w:pPr>
              <w:spacing w:line="240" w:lineRule="auto"/>
              <w:rPr>
                <w:rFonts w:eastAsia="Times New Roman" w:cs="Calibri"/>
                <w:b/>
                <w:bCs/>
                <w:color w:val="FF0000"/>
                <w:sz w:val="20"/>
                <w:szCs w:val="20"/>
                <w:lang w:eastAsia="en-GB"/>
              </w:rPr>
            </w:pPr>
            <w:r w:rsidRPr="00AA14C4">
              <w:rPr>
                <w:rFonts w:eastAsia="Times New Roman" w:cs="Calibri"/>
                <w:b/>
                <w:bCs/>
                <w:color w:val="FF0000"/>
                <w:sz w:val="20"/>
                <w:szCs w:val="20"/>
                <w:lang w:eastAsia="en-GB"/>
              </w:rPr>
              <w:t> </w:t>
            </w:r>
          </w:p>
        </w:tc>
        <w:tc>
          <w:tcPr>
            <w:tcW w:w="1118" w:type="dxa"/>
            <w:tcBorders>
              <w:top w:val="nil"/>
              <w:left w:val="nil"/>
              <w:bottom w:val="nil"/>
              <w:right w:val="single" w:sz="4" w:space="0" w:color="auto"/>
            </w:tcBorders>
            <w:shd w:val="clear" w:color="auto" w:fill="auto"/>
            <w:noWrap/>
            <w:vAlign w:val="bottom"/>
            <w:hideMark/>
          </w:tcPr>
          <w:p w14:paraId="3BEA258B" w14:textId="77777777" w:rsidR="00AA14C4" w:rsidRPr="00AA14C4" w:rsidRDefault="00AA14C4" w:rsidP="00AA14C4">
            <w:pPr>
              <w:spacing w:line="240" w:lineRule="auto"/>
              <w:rPr>
                <w:rFonts w:eastAsia="Times New Roman" w:cs="Calibri"/>
                <w:b/>
                <w:bCs/>
                <w:color w:val="FF0000"/>
                <w:sz w:val="20"/>
                <w:szCs w:val="20"/>
                <w:lang w:eastAsia="en-GB"/>
              </w:rPr>
            </w:pPr>
            <w:r w:rsidRPr="00AA14C4">
              <w:rPr>
                <w:rFonts w:eastAsia="Times New Roman" w:cs="Calibri"/>
                <w:b/>
                <w:bCs/>
                <w:color w:val="FF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20AF1945" w14:textId="77777777" w:rsidR="00AA14C4" w:rsidRPr="00AA14C4" w:rsidRDefault="00AA14C4" w:rsidP="00AA14C4">
            <w:pPr>
              <w:spacing w:line="240" w:lineRule="auto"/>
              <w:rPr>
                <w:rFonts w:eastAsia="Times New Roman" w:cs="Calibri"/>
                <w:b/>
                <w:bCs/>
                <w:color w:val="FF0000"/>
                <w:sz w:val="20"/>
                <w:szCs w:val="20"/>
                <w:lang w:eastAsia="en-GB"/>
              </w:rPr>
            </w:pPr>
            <w:r w:rsidRPr="00AA14C4">
              <w:rPr>
                <w:rFonts w:eastAsia="Times New Roman" w:cs="Calibri"/>
                <w:b/>
                <w:bCs/>
                <w:color w:val="FF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78692263" w14:textId="77777777" w:rsidR="00AA14C4" w:rsidRPr="00AA14C4" w:rsidRDefault="00AA14C4" w:rsidP="00AA14C4">
            <w:pPr>
              <w:spacing w:line="240" w:lineRule="auto"/>
              <w:rPr>
                <w:rFonts w:eastAsia="Times New Roman" w:cs="Calibri"/>
                <w:b/>
                <w:bCs/>
                <w:color w:val="FF0000"/>
                <w:sz w:val="20"/>
                <w:szCs w:val="20"/>
                <w:lang w:eastAsia="en-GB"/>
              </w:rPr>
            </w:pPr>
            <w:r w:rsidRPr="00AA14C4">
              <w:rPr>
                <w:rFonts w:eastAsia="Times New Roman" w:cs="Calibri"/>
                <w:b/>
                <w:bCs/>
                <w:color w:val="FF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74592440" w14:textId="77777777" w:rsidR="00AA14C4" w:rsidRPr="00AA14C4" w:rsidRDefault="00AA14C4" w:rsidP="00AA14C4">
            <w:pPr>
              <w:spacing w:line="240" w:lineRule="auto"/>
              <w:rPr>
                <w:rFonts w:eastAsia="Times New Roman" w:cs="Calibri"/>
                <w:b/>
                <w:bCs/>
                <w:color w:val="FF0000"/>
                <w:sz w:val="20"/>
                <w:szCs w:val="20"/>
                <w:lang w:eastAsia="en-GB"/>
              </w:rPr>
            </w:pPr>
            <w:r w:rsidRPr="00AA14C4">
              <w:rPr>
                <w:rFonts w:eastAsia="Times New Roman" w:cs="Calibri"/>
                <w:b/>
                <w:bCs/>
                <w:color w:val="FF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1AD0A7DC" w14:textId="77777777" w:rsidR="00AA14C4" w:rsidRPr="00AA14C4" w:rsidRDefault="00AA14C4" w:rsidP="00AA14C4">
            <w:pPr>
              <w:spacing w:line="240" w:lineRule="auto"/>
              <w:rPr>
                <w:rFonts w:eastAsia="Times New Roman" w:cs="Calibri"/>
                <w:b/>
                <w:bCs/>
                <w:color w:val="FF0000"/>
                <w:sz w:val="20"/>
                <w:szCs w:val="20"/>
                <w:lang w:eastAsia="en-GB"/>
              </w:rPr>
            </w:pPr>
            <w:r w:rsidRPr="00AA14C4">
              <w:rPr>
                <w:rFonts w:eastAsia="Times New Roman" w:cs="Calibri"/>
                <w:b/>
                <w:bCs/>
                <w:color w:val="FF0000"/>
                <w:sz w:val="20"/>
                <w:szCs w:val="20"/>
                <w:lang w:eastAsia="en-GB"/>
              </w:rPr>
              <w:t> </w:t>
            </w:r>
          </w:p>
        </w:tc>
      </w:tr>
      <w:tr w:rsidR="00AA14C4" w:rsidRPr="00AA14C4" w14:paraId="22FB7571"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749AD411"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Total PFCC Earmarked Reserves</w:t>
            </w:r>
          </w:p>
        </w:tc>
        <w:tc>
          <w:tcPr>
            <w:tcW w:w="1118" w:type="dxa"/>
            <w:tcBorders>
              <w:top w:val="single" w:sz="4" w:space="0" w:color="auto"/>
              <w:left w:val="nil"/>
              <w:bottom w:val="nil"/>
              <w:right w:val="single" w:sz="4" w:space="0" w:color="auto"/>
            </w:tcBorders>
            <w:shd w:val="clear" w:color="auto" w:fill="auto"/>
            <w:noWrap/>
            <w:vAlign w:val="bottom"/>
            <w:hideMark/>
          </w:tcPr>
          <w:p w14:paraId="72C69505"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15.637</w:t>
            </w:r>
          </w:p>
        </w:tc>
        <w:tc>
          <w:tcPr>
            <w:tcW w:w="1118" w:type="dxa"/>
            <w:tcBorders>
              <w:top w:val="single" w:sz="4" w:space="0" w:color="auto"/>
              <w:left w:val="nil"/>
              <w:bottom w:val="nil"/>
              <w:right w:val="single" w:sz="4" w:space="0" w:color="auto"/>
            </w:tcBorders>
            <w:shd w:val="clear" w:color="auto" w:fill="auto"/>
            <w:noWrap/>
            <w:vAlign w:val="bottom"/>
            <w:hideMark/>
          </w:tcPr>
          <w:p w14:paraId="474FE2F7"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13.114</w:t>
            </w:r>
          </w:p>
        </w:tc>
        <w:tc>
          <w:tcPr>
            <w:tcW w:w="1119" w:type="dxa"/>
            <w:tcBorders>
              <w:top w:val="single" w:sz="4" w:space="0" w:color="auto"/>
              <w:left w:val="nil"/>
              <w:bottom w:val="nil"/>
              <w:right w:val="single" w:sz="4" w:space="0" w:color="auto"/>
            </w:tcBorders>
            <w:shd w:val="clear" w:color="auto" w:fill="auto"/>
            <w:noWrap/>
            <w:vAlign w:val="bottom"/>
            <w:hideMark/>
          </w:tcPr>
          <w:p w14:paraId="5EC30B33"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10.737</w:t>
            </w:r>
          </w:p>
        </w:tc>
        <w:tc>
          <w:tcPr>
            <w:tcW w:w="1119" w:type="dxa"/>
            <w:tcBorders>
              <w:top w:val="single" w:sz="4" w:space="0" w:color="auto"/>
              <w:left w:val="nil"/>
              <w:bottom w:val="nil"/>
              <w:right w:val="single" w:sz="4" w:space="0" w:color="auto"/>
            </w:tcBorders>
            <w:shd w:val="clear" w:color="auto" w:fill="auto"/>
            <w:noWrap/>
            <w:vAlign w:val="bottom"/>
            <w:hideMark/>
          </w:tcPr>
          <w:p w14:paraId="7B918BD3"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10.421</w:t>
            </w:r>
          </w:p>
        </w:tc>
        <w:tc>
          <w:tcPr>
            <w:tcW w:w="1119" w:type="dxa"/>
            <w:tcBorders>
              <w:top w:val="single" w:sz="4" w:space="0" w:color="auto"/>
              <w:left w:val="nil"/>
              <w:bottom w:val="nil"/>
              <w:right w:val="single" w:sz="4" w:space="0" w:color="auto"/>
            </w:tcBorders>
            <w:shd w:val="clear" w:color="auto" w:fill="auto"/>
            <w:noWrap/>
            <w:vAlign w:val="bottom"/>
            <w:hideMark/>
          </w:tcPr>
          <w:p w14:paraId="19AE17DD"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10.105</w:t>
            </w:r>
          </w:p>
        </w:tc>
        <w:tc>
          <w:tcPr>
            <w:tcW w:w="1119" w:type="dxa"/>
            <w:tcBorders>
              <w:top w:val="single" w:sz="4" w:space="0" w:color="auto"/>
              <w:left w:val="nil"/>
              <w:bottom w:val="nil"/>
              <w:right w:val="single" w:sz="4" w:space="0" w:color="auto"/>
            </w:tcBorders>
            <w:shd w:val="clear" w:color="auto" w:fill="auto"/>
            <w:noWrap/>
            <w:vAlign w:val="bottom"/>
            <w:hideMark/>
          </w:tcPr>
          <w:p w14:paraId="46D636A7"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9.789</w:t>
            </w:r>
          </w:p>
        </w:tc>
      </w:tr>
      <w:tr w:rsidR="00AA14C4" w:rsidRPr="00AA14C4" w14:paraId="4482D089"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23D5428D"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8" w:type="dxa"/>
            <w:tcBorders>
              <w:top w:val="nil"/>
              <w:left w:val="nil"/>
              <w:bottom w:val="nil"/>
              <w:right w:val="single" w:sz="4" w:space="0" w:color="auto"/>
            </w:tcBorders>
            <w:shd w:val="clear" w:color="auto" w:fill="auto"/>
            <w:noWrap/>
            <w:vAlign w:val="bottom"/>
            <w:hideMark/>
          </w:tcPr>
          <w:p w14:paraId="4766CE2C"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8" w:type="dxa"/>
            <w:tcBorders>
              <w:top w:val="nil"/>
              <w:left w:val="nil"/>
              <w:bottom w:val="nil"/>
              <w:right w:val="single" w:sz="4" w:space="0" w:color="auto"/>
            </w:tcBorders>
            <w:shd w:val="clear" w:color="auto" w:fill="auto"/>
            <w:noWrap/>
            <w:vAlign w:val="bottom"/>
            <w:hideMark/>
          </w:tcPr>
          <w:p w14:paraId="4E005B9B"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7EC7192E"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371DEBAE"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11E73054"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6D35D03E"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r>
      <w:tr w:rsidR="00AA14C4" w:rsidRPr="00AA14C4" w14:paraId="5DE3B330"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6986F4E7"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Collaboration Reserves - Held locally</w:t>
            </w:r>
          </w:p>
        </w:tc>
        <w:tc>
          <w:tcPr>
            <w:tcW w:w="1118" w:type="dxa"/>
            <w:tcBorders>
              <w:top w:val="nil"/>
              <w:left w:val="nil"/>
              <w:bottom w:val="nil"/>
              <w:right w:val="single" w:sz="4" w:space="0" w:color="auto"/>
            </w:tcBorders>
            <w:shd w:val="clear" w:color="auto" w:fill="auto"/>
            <w:noWrap/>
            <w:vAlign w:val="bottom"/>
            <w:hideMark/>
          </w:tcPr>
          <w:p w14:paraId="796E39A6"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0.472</w:t>
            </w:r>
          </w:p>
        </w:tc>
        <w:tc>
          <w:tcPr>
            <w:tcW w:w="1118" w:type="dxa"/>
            <w:tcBorders>
              <w:top w:val="nil"/>
              <w:left w:val="nil"/>
              <w:bottom w:val="nil"/>
              <w:right w:val="single" w:sz="4" w:space="0" w:color="auto"/>
            </w:tcBorders>
            <w:shd w:val="clear" w:color="auto" w:fill="auto"/>
            <w:noWrap/>
            <w:vAlign w:val="bottom"/>
            <w:hideMark/>
          </w:tcPr>
          <w:p w14:paraId="14A69F8D"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0.472</w:t>
            </w:r>
          </w:p>
        </w:tc>
        <w:tc>
          <w:tcPr>
            <w:tcW w:w="1119" w:type="dxa"/>
            <w:tcBorders>
              <w:top w:val="nil"/>
              <w:left w:val="nil"/>
              <w:bottom w:val="nil"/>
              <w:right w:val="single" w:sz="4" w:space="0" w:color="auto"/>
            </w:tcBorders>
            <w:shd w:val="clear" w:color="auto" w:fill="auto"/>
            <w:noWrap/>
            <w:vAlign w:val="bottom"/>
            <w:hideMark/>
          </w:tcPr>
          <w:p w14:paraId="57439CA4"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0.472</w:t>
            </w:r>
          </w:p>
        </w:tc>
        <w:tc>
          <w:tcPr>
            <w:tcW w:w="1119" w:type="dxa"/>
            <w:tcBorders>
              <w:top w:val="nil"/>
              <w:left w:val="nil"/>
              <w:bottom w:val="nil"/>
              <w:right w:val="single" w:sz="4" w:space="0" w:color="auto"/>
            </w:tcBorders>
            <w:shd w:val="clear" w:color="auto" w:fill="auto"/>
            <w:noWrap/>
            <w:vAlign w:val="bottom"/>
            <w:hideMark/>
          </w:tcPr>
          <w:p w14:paraId="57DD372A"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0.472</w:t>
            </w:r>
          </w:p>
        </w:tc>
        <w:tc>
          <w:tcPr>
            <w:tcW w:w="1119" w:type="dxa"/>
            <w:tcBorders>
              <w:top w:val="nil"/>
              <w:left w:val="nil"/>
              <w:bottom w:val="nil"/>
              <w:right w:val="single" w:sz="4" w:space="0" w:color="auto"/>
            </w:tcBorders>
            <w:shd w:val="clear" w:color="auto" w:fill="auto"/>
            <w:noWrap/>
            <w:vAlign w:val="bottom"/>
            <w:hideMark/>
          </w:tcPr>
          <w:p w14:paraId="5C9A1C33"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0.472</w:t>
            </w:r>
          </w:p>
        </w:tc>
        <w:tc>
          <w:tcPr>
            <w:tcW w:w="1119" w:type="dxa"/>
            <w:tcBorders>
              <w:top w:val="nil"/>
              <w:left w:val="nil"/>
              <w:bottom w:val="nil"/>
              <w:right w:val="single" w:sz="4" w:space="0" w:color="auto"/>
            </w:tcBorders>
            <w:shd w:val="clear" w:color="auto" w:fill="auto"/>
            <w:noWrap/>
            <w:vAlign w:val="bottom"/>
            <w:hideMark/>
          </w:tcPr>
          <w:p w14:paraId="1F38B77B"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0.472</w:t>
            </w:r>
          </w:p>
        </w:tc>
      </w:tr>
      <w:tr w:rsidR="00AA14C4" w:rsidRPr="00AA14C4" w14:paraId="1BBC1BEC"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035E198C"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8" w:type="dxa"/>
            <w:tcBorders>
              <w:top w:val="nil"/>
              <w:left w:val="nil"/>
              <w:bottom w:val="nil"/>
              <w:right w:val="single" w:sz="4" w:space="0" w:color="auto"/>
            </w:tcBorders>
            <w:shd w:val="clear" w:color="auto" w:fill="auto"/>
            <w:noWrap/>
            <w:vAlign w:val="bottom"/>
            <w:hideMark/>
          </w:tcPr>
          <w:p w14:paraId="4C06D2EB"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8" w:type="dxa"/>
            <w:tcBorders>
              <w:top w:val="nil"/>
              <w:left w:val="nil"/>
              <w:bottom w:val="nil"/>
              <w:right w:val="single" w:sz="4" w:space="0" w:color="auto"/>
            </w:tcBorders>
            <w:shd w:val="clear" w:color="auto" w:fill="auto"/>
            <w:noWrap/>
            <w:vAlign w:val="bottom"/>
            <w:hideMark/>
          </w:tcPr>
          <w:p w14:paraId="3CD67104"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09BA72A9"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50CD6674"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72E05EA8"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249C502A"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r>
      <w:tr w:rsidR="00AA14C4" w:rsidRPr="00AA14C4" w14:paraId="2EF8A514" w14:textId="77777777" w:rsidTr="00AA14C4">
        <w:trPr>
          <w:trHeight w:val="300"/>
        </w:trPr>
        <w:tc>
          <w:tcPr>
            <w:tcW w:w="3648" w:type="dxa"/>
            <w:tcBorders>
              <w:top w:val="single" w:sz="4" w:space="0" w:color="auto"/>
              <w:left w:val="single" w:sz="4" w:space="0" w:color="auto"/>
              <w:bottom w:val="single" w:sz="4" w:space="0" w:color="auto"/>
              <w:right w:val="nil"/>
            </w:tcBorders>
            <w:shd w:val="clear" w:color="auto" w:fill="auto"/>
            <w:noWrap/>
            <w:vAlign w:val="bottom"/>
            <w:hideMark/>
          </w:tcPr>
          <w:p w14:paraId="1A87FD36"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Total Earmarked Reserves</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14:paraId="6E09B73D"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16.109</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14:paraId="05C788F6"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13.586</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52DE0B20"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11.209</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2B5DA896"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10.893</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431953CA"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10.577</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3DB0494B"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10.261</w:t>
            </w:r>
          </w:p>
        </w:tc>
      </w:tr>
      <w:tr w:rsidR="00AA14C4" w:rsidRPr="00AA14C4" w14:paraId="15493601"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13E1BA26"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8" w:type="dxa"/>
            <w:tcBorders>
              <w:top w:val="nil"/>
              <w:left w:val="nil"/>
              <w:bottom w:val="nil"/>
              <w:right w:val="single" w:sz="4" w:space="0" w:color="auto"/>
            </w:tcBorders>
            <w:shd w:val="clear" w:color="auto" w:fill="auto"/>
            <w:noWrap/>
            <w:vAlign w:val="bottom"/>
            <w:hideMark/>
          </w:tcPr>
          <w:p w14:paraId="55AEFB07"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8" w:type="dxa"/>
            <w:tcBorders>
              <w:top w:val="nil"/>
              <w:left w:val="nil"/>
              <w:bottom w:val="nil"/>
              <w:right w:val="single" w:sz="4" w:space="0" w:color="auto"/>
            </w:tcBorders>
            <w:shd w:val="clear" w:color="auto" w:fill="auto"/>
            <w:noWrap/>
            <w:vAlign w:val="bottom"/>
            <w:hideMark/>
          </w:tcPr>
          <w:p w14:paraId="34E1105D"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393D8AF0"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0907FA26"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121438EF"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2CD8D3FC"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r>
      <w:tr w:rsidR="00AA14C4" w:rsidRPr="00AA14C4" w14:paraId="2090F581" w14:textId="77777777" w:rsidTr="00AA14C4">
        <w:trPr>
          <w:trHeight w:val="300"/>
        </w:trPr>
        <w:tc>
          <w:tcPr>
            <w:tcW w:w="3648" w:type="dxa"/>
            <w:tcBorders>
              <w:top w:val="nil"/>
              <w:left w:val="single" w:sz="4" w:space="0" w:color="auto"/>
              <w:bottom w:val="nil"/>
              <w:right w:val="nil"/>
            </w:tcBorders>
            <w:shd w:val="clear" w:color="auto" w:fill="auto"/>
            <w:noWrap/>
            <w:vAlign w:val="bottom"/>
            <w:hideMark/>
          </w:tcPr>
          <w:p w14:paraId="34A97478"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xml:space="preserve">General Fund </w:t>
            </w:r>
          </w:p>
        </w:tc>
        <w:tc>
          <w:tcPr>
            <w:tcW w:w="1118" w:type="dxa"/>
            <w:tcBorders>
              <w:top w:val="nil"/>
              <w:left w:val="nil"/>
              <w:bottom w:val="nil"/>
              <w:right w:val="single" w:sz="4" w:space="0" w:color="auto"/>
            </w:tcBorders>
            <w:shd w:val="clear" w:color="auto" w:fill="auto"/>
            <w:noWrap/>
            <w:vAlign w:val="bottom"/>
            <w:hideMark/>
          </w:tcPr>
          <w:p w14:paraId="63E5EA98"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5.300</w:t>
            </w:r>
          </w:p>
        </w:tc>
        <w:tc>
          <w:tcPr>
            <w:tcW w:w="1118" w:type="dxa"/>
            <w:tcBorders>
              <w:top w:val="nil"/>
              <w:left w:val="nil"/>
              <w:bottom w:val="nil"/>
              <w:right w:val="single" w:sz="4" w:space="0" w:color="auto"/>
            </w:tcBorders>
            <w:shd w:val="clear" w:color="auto" w:fill="auto"/>
            <w:noWrap/>
            <w:vAlign w:val="bottom"/>
            <w:hideMark/>
          </w:tcPr>
          <w:p w14:paraId="0665C29B"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5.300</w:t>
            </w:r>
          </w:p>
        </w:tc>
        <w:tc>
          <w:tcPr>
            <w:tcW w:w="1119" w:type="dxa"/>
            <w:tcBorders>
              <w:top w:val="nil"/>
              <w:left w:val="nil"/>
              <w:bottom w:val="nil"/>
              <w:right w:val="single" w:sz="4" w:space="0" w:color="auto"/>
            </w:tcBorders>
            <w:shd w:val="clear" w:color="auto" w:fill="auto"/>
            <w:noWrap/>
            <w:vAlign w:val="bottom"/>
            <w:hideMark/>
          </w:tcPr>
          <w:p w14:paraId="08E771AE"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5.300</w:t>
            </w:r>
          </w:p>
        </w:tc>
        <w:tc>
          <w:tcPr>
            <w:tcW w:w="1119" w:type="dxa"/>
            <w:tcBorders>
              <w:top w:val="nil"/>
              <w:left w:val="nil"/>
              <w:bottom w:val="nil"/>
              <w:right w:val="single" w:sz="4" w:space="0" w:color="auto"/>
            </w:tcBorders>
            <w:shd w:val="clear" w:color="auto" w:fill="auto"/>
            <w:noWrap/>
            <w:vAlign w:val="bottom"/>
            <w:hideMark/>
          </w:tcPr>
          <w:p w14:paraId="3200CA9F"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5.350</w:t>
            </w:r>
          </w:p>
        </w:tc>
        <w:tc>
          <w:tcPr>
            <w:tcW w:w="1119" w:type="dxa"/>
            <w:tcBorders>
              <w:top w:val="nil"/>
              <w:left w:val="nil"/>
              <w:bottom w:val="nil"/>
              <w:right w:val="single" w:sz="4" w:space="0" w:color="auto"/>
            </w:tcBorders>
            <w:shd w:val="clear" w:color="auto" w:fill="auto"/>
            <w:noWrap/>
            <w:vAlign w:val="bottom"/>
            <w:hideMark/>
          </w:tcPr>
          <w:p w14:paraId="636A0842"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5.400</w:t>
            </w:r>
          </w:p>
        </w:tc>
        <w:tc>
          <w:tcPr>
            <w:tcW w:w="1119" w:type="dxa"/>
            <w:tcBorders>
              <w:top w:val="nil"/>
              <w:left w:val="nil"/>
              <w:bottom w:val="nil"/>
              <w:right w:val="single" w:sz="4" w:space="0" w:color="auto"/>
            </w:tcBorders>
            <w:shd w:val="clear" w:color="auto" w:fill="auto"/>
            <w:noWrap/>
            <w:vAlign w:val="bottom"/>
            <w:hideMark/>
          </w:tcPr>
          <w:p w14:paraId="75CBA54A" w14:textId="77777777" w:rsidR="00AA14C4" w:rsidRPr="00AA14C4" w:rsidRDefault="00AA14C4" w:rsidP="00AA14C4">
            <w:pPr>
              <w:spacing w:line="240" w:lineRule="auto"/>
              <w:jc w:val="right"/>
              <w:rPr>
                <w:rFonts w:eastAsia="Times New Roman" w:cs="Calibri"/>
                <w:color w:val="000000"/>
                <w:sz w:val="20"/>
                <w:szCs w:val="20"/>
                <w:lang w:eastAsia="en-GB"/>
              </w:rPr>
            </w:pPr>
            <w:r w:rsidRPr="00AA14C4">
              <w:rPr>
                <w:rFonts w:eastAsia="Times New Roman" w:cs="Calibri"/>
                <w:color w:val="000000"/>
                <w:sz w:val="20"/>
                <w:szCs w:val="20"/>
                <w:lang w:eastAsia="en-GB"/>
              </w:rPr>
              <w:t>5.500</w:t>
            </w:r>
          </w:p>
        </w:tc>
      </w:tr>
      <w:tr w:rsidR="00AA14C4" w:rsidRPr="00AA14C4" w14:paraId="0396FF37" w14:textId="77777777" w:rsidTr="00AA14C4">
        <w:trPr>
          <w:trHeight w:val="315"/>
        </w:trPr>
        <w:tc>
          <w:tcPr>
            <w:tcW w:w="3648" w:type="dxa"/>
            <w:tcBorders>
              <w:top w:val="nil"/>
              <w:left w:val="single" w:sz="4" w:space="0" w:color="auto"/>
              <w:bottom w:val="nil"/>
              <w:right w:val="nil"/>
            </w:tcBorders>
            <w:shd w:val="clear" w:color="auto" w:fill="auto"/>
            <w:noWrap/>
            <w:vAlign w:val="bottom"/>
            <w:hideMark/>
          </w:tcPr>
          <w:p w14:paraId="742725CF" w14:textId="77777777" w:rsidR="00AA14C4" w:rsidRPr="00AA14C4" w:rsidRDefault="00AA14C4" w:rsidP="00AA14C4">
            <w:pPr>
              <w:spacing w:line="240" w:lineRule="auto"/>
              <w:rPr>
                <w:rFonts w:eastAsia="Times New Roman" w:cs="Calibri"/>
                <w:color w:val="000000"/>
                <w:sz w:val="20"/>
                <w:szCs w:val="20"/>
                <w:lang w:eastAsia="en-GB"/>
              </w:rPr>
            </w:pPr>
            <w:r w:rsidRPr="00AA14C4">
              <w:rPr>
                <w:rFonts w:eastAsia="Times New Roman" w:cs="Calibri"/>
                <w:color w:val="000000"/>
                <w:sz w:val="20"/>
                <w:szCs w:val="20"/>
                <w:lang w:eastAsia="en-GB"/>
              </w:rPr>
              <w:t> </w:t>
            </w:r>
          </w:p>
        </w:tc>
        <w:tc>
          <w:tcPr>
            <w:tcW w:w="1118" w:type="dxa"/>
            <w:tcBorders>
              <w:top w:val="nil"/>
              <w:left w:val="nil"/>
              <w:bottom w:val="nil"/>
              <w:right w:val="single" w:sz="4" w:space="0" w:color="auto"/>
            </w:tcBorders>
            <w:shd w:val="clear" w:color="auto" w:fill="auto"/>
            <w:noWrap/>
            <w:vAlign w:val="bottom"/>
            <w:hideMark/>
          </w:tcPr>
          <w:p w14:paraId="1CE26F23"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8" w:type="dxa"/>
            <w:tcBorders>
              <w:top w:val="nil"/>
              <w:left w:val="nil"/>
              <w:bottom w:val="nil"/>
              <w:right w:val="single" w:sz="4" w:space="0" w:color="auto"/>
            </w:tcBorders>
            <w:shd w:val="clear" w:color="auto" w:fill="auto"/>
            <w:noWrap/>
            <w:vAlign w:val="bottom"/>
            <w:hideMark/>
          </w:tcPr>
          <w:p w14:paraId="35CE4BC9"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463E2F18"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5AA173B9"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7EE16F66"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c>
          <w:tcPr>
            <w:tcW w:w="1119" w:type="dxa"/>
            <w:tcBorders>
              <w:top w:val="nil"/>
              <w:left w:val="nil"/>
              <w:bottom w:val="nil"/>
              <w:right w:val="single" w:sz="4" w:space="0" w:color="auto"/>
            </w:tcBorders>
            <w:shd w:val="clear" w:color="auto" w:fill="auto"/>
            <w:noWrap/>
            <w:vAlign w:val="bottom"/>
            <w:hideMark/>
          </w:tcPr>
          <w:p w14:paraId="297B8B2D"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 </w:t>
            </w:r>
          </w:p>
        </w:tc>
      </w:tr>
      <w:tr w:rsidR="00AA14C4" w:rsidRPr="00AA14C4" w14:paraId="17319A4F" w14:textId="77777777" w:rsidTr="00AA14C4">
        <w:trPr>
          <w:trHeight w:val="300"/>
        </w:trPr>
        <w:tc>
          <w:tcPr>
            <w:tcW w:w="3648" w:type="dxa"/>
            <w:tcBorders>
              <w:top w:val="single" w:sz="8" w:space="0" w:color="auto"/>
              <w:left w:val="single" w:sz="4" w:space="0" w:color="auto"/>
              <w:bottom w:val="single" w:sz="4" w:space="0" w:color="auto"/>
              <w:right w:val="nil"/>
            </w:tcBorders>
            <w:shd w:val="clear" w:color="auto" w:fill="auto"/>
            <w:noWrap/>
            <w:vAlign w:val="bottom"/>
            <w:hideMark/>
          </w:tcPr>
          <w:p w14:paraId="52C9877E" w14:textId="77777777" w:rsidR="00AA14C4" w:rsidRPr="00AA14C4" w:rsidRDefault="00AA14C4" w:rsidP="00AA14C4">
            <w:pPr>
              <w:spacing w:line="240" w:lineRule="auto"/>
              <w:rPr>
                <w:rFonts w:eastAsia="Times New Roman" w:cs="Calibri"/>
                <w:b/>
                <w:bCs/>
                <w:color w:val="000000"/>
                <w:sz w:val="20"/>
                <w:szCs w:val="20"/>
                <w:lang w:eastAsia="en-GB"/>
              </w:rPr>
            </w:pPr>
            <w:r w:rsidRPr="00AA14C4">
              <w:rPr>
                <w:rFonts w:eastAsia="Times New Roman" w:cs="Calibri"/>
                <w:b/>
                <w:bCs/>
                <w:color w:val="000000"/>
                <w:sz w:val="20"/>
                <w:szCs w:val="20"/>
                <w:lang w:eastAsia="en-GB"/>
              </w:rPr>
              <w:t>Total Reserves</w:t>
            </w:r>
          </w:p>
        </w:tc>
        <w:tc>
          <w:tcPr>
            <w:tcW w:w="1118" w:type="dxa"/>
            <w:tcBorders>
              <w:top w:val="single" w:sz="8" w:space="0" w:color="auto"/>
              <w:left w:val="nil"/>
              <w:bottom w:val="single" w:sz="4" w:space="0" w:color="auto"/>
              <w:right w:val="single" w:sz="4" w:space="0" w:color="auto"/>
            </w:tcBorders>
            <w:shd w:val="clear" w:color="auto" w:fill="auto"/>
            <w:noWrap/>
            <w:vAlign w:val="bottom"/>
            <w:hideMark/>
          </w:tcPr>
          <w:p w14:paraId="185FD48D"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21.409</w:t>
            </w:r>
          </w:p>
        </w:tc>
        <w:tc>
          <w:tcPr>
            <w:tcW w:w="1118" w:type="dxa"/>
            <w:tcBorders>
              <w:top w:val="single" w:sz="8" w:space="0" w:color="auto"/>
              <w:left w:val="nil"/>
              <w:bottom w:val="single" w:sz="4" w:space="0" w:color="auto"/>
              <w:right w:val="single" w:sz="4" w:space="0" w:color="auto"/>
            </w:tcBorders>
            <w:shd w:val="clear" w:color="auto" w:fill="auto"/>
            <w:noWrap/>
            <w:vAlign w:val="bottom"/>
            <w:hideMark/>
          </w:tcPr>
          <w:p w14:paraId="2F69EEA7"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18.886</w:t>
            </w:r>
          </w:p>
        </w:tc>
        <w:tc>
          <w:tcPr>
            <w:tcW w:w="1119" w:type="dxa"/>
            <w:tcBorders>
              <w:top w:val="single" w:sz="8" w:space="0" w:color="auto"/>
              <w:left w:val="nil"/>
              <w:bottom w:val="single" w:sz="4" w:space="0" w:color="auto"/>
              <w:right w:val="single" w:sz="4" w:space="0" w:color="auto"/>
            </w:tcBorders>
            <w:shd w:val="clear" w:color="auto" w:fill="auto"/>
            <w:noWrap/>
            <w:vAlign w:val="bottom"/>
            <w:hideMark/>
          </w:tcPr>
          <w:p w14:paraId="0DF556CF"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16.509</w:t>
            </w:r>
          </w:p>
        </w:tc>
        <w:tc>
          <w:tcPr>
            <w:tcW w:w="1119" w:type="dxa"/>
            <w:tcBorders>
              <w:top w:val="single" w:sz="8" w:space="0" w:color="auto"/>
              <w:left w:val="nil"/>
              <w:bottom w:val="single" w:sz="4" w:space="0" w:color="auto"/>
              <w:right w:val="single" w:sz="4" w:space="0" w:color="auto"/>
            </w:tcBorders>
            <w:shd w:val="clear" w:color="auto" w:fill="auto"/>
            <w:noWrap/>
            <w:vAlign w:val="bottom"/>
            <w:hideMark/>
          </w:tcPr>
          <w:p w14:paraId="18100A62"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16.243</w:t>
            </w:r>
          </w:p>
        </w:tc>
        <w:tc>
          <w:tcPr>
            <w:tcW w:w="1119" w:type="dxa"/>
            <w:tcBorders>
              <w:top w:val="single" w:sz="8" w:space="0" w:color="auto"/>
              <w:left w:val="nil"/>
              <w:bottom w:val="single" w:sz="4" w:space="0" w:color="auto"/>
              <w:right w:val="single" w:sz="4" w:space="0" w:color="auto"/>
            </w:tcBorders>
            <w:shd w:val="clear" w:color="auto" w:fill="auto"/>
            <w:noWrap/>
            <w:vAlign w:val="bottom"/>
            <w:hideMark/>
          </w:tcPr>
          <w:p w14:paraId="3A6B1A82"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15.977</w:t>
            </w:r>
          </w:p>
        </w:tc>
        <w:tc>
          <w:tcPr>
            <w:tcW w:w="1119" w:type="dxa"/>
            <w:tcBorders>
              <w:top w:val="single" w:sz="8" w:space="0" w:color="auto"/>
              <w:left w:val="nil"/>
              <w:bottom w:val="single" w:sz="4" w:space="0" w:color="auto"/>
              <w:right w:val="single" w:sz="4" w:space="0" w:color="auto"/>
            </w:tcBorders>
            <w:shd w:val="clear" w:color="auto" w:fill="auto"/>
            <w:noWrap/>
            <w:vAlign w:val="bottom"/>
            <w:hideMark/>
          </w:tcPr>
          <w:p w14:paraId="39E4BCF3" w14:textId="77777777" w:rsidR="00AA14C4" w:rsidRPr="00AA14C4" w:rsidRDefault="00AA14C4" w:rsidP="00AA14C4">
            <w:pPr>
              <w:spacing w:line="240" w:lineRule="auto"/>
              <w:jc w:val="right"/>
              <w:rPr>
                <w:rFonts w:eastAsia="Times New Roman" w:cs="Calibri"/>
                <w:b/>
                <w:bCs/>
                <w:color w:val="000000"/>
                <w:sz w:val="20"/>
                <w:szCs w:val="20"/>
                <w:lang w:eastAsia="en-GB"/>
              </w:rPr>
            </w:pPr>
            <w:r w:rsidRPr="00AA14C4">
              <w:rPr>
                <w:rFonts w:eastAsia="Times New Roman" w:cs="Calibri"/>
                <w:b/>
                <w:bCs/>
                <w:color w:val="000000"/>
                <w:sz w:val="20"/>
                <w:szCs w:val="20"/>
                <w:lang w:eastAsia="en-GB"/>
              </w:rPr>
              <w:t>15.761</w:t>
            </w:r>
          </w:p>
        </w:tc>
      </w:tr>
    </w:tbl>
    <w:p w14:paraId="314BF7B9" w14:textId="6A7E2532" w:rsidR="00DC1AAF" w:rsidRPr="00A81E04" w:rsidRDefault="00DC1AAF" w:rsidP="00DC1AAF">
      <w:pPr>
        <w:spacing w:line="240" w:lineRule="auto"/>
        <w:jc w:val="center"/>
        <w:rPr>
          <w:rFonts w:ascii="Arial" w:eastAsia="Times New Roman" w:hAnsi="Arial"/>
          <w:szCs w:val="24"/>
          <w:highlight w:val="yellow"/>
        </w:rPr>
      </w:pPr>
    </w:p>
    <w:p w14:paraId="0E341B5A" w14:textId="0BF54A66" w:rsidR="00DC1AAF" w:rsidRPr="00283648" w:rsidRDefault="00DC1AAF" w:rsidP="006400EB">
      <w:pPr>
        <w:spacing w:line="240" w:lineRule="auto"/>
        <w:rPr>
          <w:rFonts w:ascii="Arial" w:eastAsia="Times New Roman" w:hAnsi="Arial"/>
          <w:b/>
          <w:sz w:val="20"/>
          <w:szCs w:val="20"/>
        </w:rPr>
      </w:pPr>
      <w:bookmarkStart w:id="75" w:name="_Hlk188270595"/>
      <w:r w:rsidRPr="00283648">
        <w:rPr>
          <w:rFonts w:ascii="Arial" w:eastAsia="Times New Roman" w:hAnsi="Arial" w:cs="Arial"/>
          <w:bCs/>
          <w:i/>
          <w:iCs/>
          <w:sz w:val="20"/>
          <w:szCs w:val="20"/>
          <w:lang w:val="en"/>
        </w:rPr>
        <w:t>Note: numbers may not sum due to rounding</w:t>
      </w:r>
    </w:p>
    <w:bookmarkEnd w:id="75"/>
    <w:p w14:paraId="0C55690C" w14:textId="0009F18A" w:rsidR="000D1925" w:rsidRPr="00DC1AAF" w:rsidRDefault="000D1925" w:rsidP="00DC1AAF">
      <w:pPr>
        <w:spacing w:line="240" w:lineRule="auto"/>
        <w:rPr>
          <w:rFonts w:asciiTheme="minorHAnsi" w:hAnsiTheme="minorHAnsi" w:cstheme="minorHAnsi"/>
          <w:bCs/>
          <w:sz w:val="24"/>
          <w:szCs w:val="24"/>
        </w:rPr>
      </w:pPr>
    </w:p>
    <w:sectPr w:rsidR="000D1925" w:rsidRPr="00DC1AAF" w:rsidSect="00CC09C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33D11" w14:textId="77777777" w:rsidR="00194081" w:rsidRDefault="00194081" w:rsidP="008B7473">
      <w:pPr>
        <w:spacing w:line="240" w:lineRule="auto"/>
      </w:pPr>
      <w:r>
        <w:separator/>
      </w:r>
    </w:p>
  </w:endnote>
  <w:endnote w:type="continuationSeparator" w:id="0">
    <w:p w14:paraId="5F7E911F" w14:textId="77777777" w:rsidR="00194081" w:rsidRDefault="00194081" w:rsidP="008B74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6D252" w14:textId="77777777" w:rsidR="00DC1AAF" w:rsidRDefault="00DC1A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4F786A" w14:textId="77777777" w:rsidR="00DC1AAF" w:rsidRDefault="00DC1A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C0D8A" w14:textId="77777777" w:rsidR="00DC1AAF" w:rsidRDefault="00DC1AAF" w:rsidP="00A60C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8A35C" w14:textId="77777777" w:rsidR="00DC1AAF" w:rsidRDefault="00DC1A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1B10D" w14:textId="77777777" w:rsidR="00476743" w:rsidRDefault="0047674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4F23F" w14:textId="77777777" w:rsidR="00476743" w:rsidRPr="008B7473" w:rsidRDefault="00476743" w:rsidP="008B7473">
    <w:pPr>
      <w:pStyle w:val="Head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7B2DA" w14:textId="77777777" w:rsidR="00476743" w:rsidRDefault="004767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CED57" w14:textId="77777777" w:rsidR="00194081" w:rsidRDefault="00194081" w:rsidP="008B7473">
      <w:pPr>
        <w:spacing w:line="240" w:lineRule="auto"/>
      </w:pPr>
      <w:r>
        <w:separator/>
      </w:r>
    </w:p>
  </w:footnote>
  <w:footnote w:type="continuationSeparator" w:id="0">
    <w:p w14:paraId="5DF47104" w14:textId="77777777" w:rsidR="00194081" w:rsidRDefault="00194081" w:rsidP="008B74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3E432" w14:textId="77777777" w:rsidR="00DC1AAF" w:rsidRDefault="00DC1A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CA037" w14:textId="77777777" w:rsidR="00DC1AAF" w:rsidRDefault="00DC1A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1BB46" w14:textId="77777777" w:rsidR="00DC1AAF" w:rsidRDefault="00DC1A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8A84" w14:textId="77777777" w:rsidR="00476743" w:rsidRDefault="0047674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74C58" w14:textId="77777777" w:rsidR="00476743" w:rsidRPr="008B7473" w:rsidRDefault="00476743" w:rsidP="008B7473">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EB49" w14:textId="77777777" w:rsidR="00476743" w:rsidRDefault="004767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D39FE"/>
    <w:multiLevelType w:val="hybridMultilevel"/>
    <w:tmpl w:val="260CF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EF5332"/>
    <w:multiLevelType w:val="hybridMultilevel"/>
    <w:tmpl w:val="3614FDB4"/>
    <w:lvl w:ilvl="0" w:tplc="08090001">
      <w:start w:val="1"/>
      <w:numFmt w:val="bullet"/>
      <w:lvlText w:val=""/>
      <w:lvlJc w:val="left"/>
      <w:pPr>
        <w:ind w:left="1065" w:hanging="360"/>
      </w:pPr>
      <w:rPr>
        <w:rFonts w:ascii="Symbol" w:hAnsi="Symbol" w:hint="default"/>
      </w:rPr>
    </w:lvl>
    <w:lvl w:ilvl="1" w:tplc="08090003">
      <w:start w:val="1"/>
      <w:numFmt w:val="bullet"/>
      <w:lvlText w:val="o"/>
      <w:lvlJc w:val="left"/>
      <w:pPr>
        <w:ind w:left="1785" w:hanging="360"/>
      </w:pPr>
      <w:rPr>
        <w:rFonts w:ascii="Courier New" w:hAnsi="Courier New" w:cs="Courier New" w:hint="default"/>
      </w:rPr>
    </w:lvl>
    <w:lvl w:ilvl="2" w:tplc="08090005">
      <w:start w:val="1"/>
      <w:numFmt w:val="bullet"/>
      <w:lvlText w:val=""/>
      <w:lvlJc w:val="left"/>
      <w:pPr>
        <w:ind w:left="2505" w:hanging="360"/>
      </w:pPr>
      <w:rPr>
        <w:rFonts w:ascii="Wingdings" w:hAnsi="Wingdings" w:hint="default"/>
      </w:rPr>
    </w:lvl>
    <w:lvl w:ilvl="3" w:tplc="08090001">
      <w:start w:val="1"/>
      <w:numFmt w:val="bullet"/>
      <w:lvlText w:val=""/>
      <w:lvlJc w:val="left"/>
      <w:pPr>
        <w:ind w:left="3225" w:hanging="360"/>
      </w:pPr>
      <w:rPr>
        <w:rFonts w:ascii="Symbol" w:hAnsi="Symbol" w:hint="default"/>
      </w:rPr>
    </w:lvl>
    <w:lvl w:ilvl="4" w:tplc="08090003">
      <w:start w:val="1"/>
      <w:numFmt w:val="bullet"/>
      <w:lvlText w:val="o"/>
      <w:lvlJc w:val="left"/>
      <w:pPr>
        <w:ind w:left="3945" w:hanging="360"/>
      </w:pPr>
      <w:rPr>
        <w:rFonts w:ascii="Courier New" w:hAnsi="Courier New" w:cs="Courier New" w:hint="default"/>
      </w:rPr>
    </w:lvl>
    <w:lvl w:ilvl="5" w:tplc="08090005">
      <w:start w:val="1"/>
      <w:numFmt w:val="bullet"/>
      <w:lvlText w:val=""/>
      <w:lvlJc w:val="left"/>
      <w:pPr>
        <w:ind w:left="4665" w:hanging="360"/>
      </w:pPr>
      <w:rPr>
        <w:rFonts w:ascii="Wingdings" w:hAnsi="Wingdings" w:hint="default"/>
      </w:rPr>
    </w:lvl>
    <w:lvl w:ilvl="6" w:tplc="08090001">
      <w:start w:val="1"/>
      <w:numFmt w:val="bullet"/>
      <w:lvlText w:val=""/>
      <w:lvlJc w:val="left"/>
      <w:pPr>
        <w:ind w:left="5385" w:hanging="360"/>
      </w:pPr>
      <w:rPr>
        <w:rFonts w:ascii="Symbol" w:hAnsi="Symbol" w:hint="default"/>
      </w:rPr>
    </w:lvl>
    <w:lvl w:ilvl="7" w:tplc="08090003">
      <w:start w:val="1"/>
      <w:numFmt w:val="bullet"/>
      <w:lvlText w:val="o"/>
      <w:lvlJc w:val="left"/>
      <w:pPr>
        <w:ind w:left="6105" w:hanging="360"/>
      </w:pPr>
      <w:rPr>
        <w:rFonts w:ascii="Courier New" w:hAnsi="Courier New" w:cs="Courier New" w:hint="default"/>
      </w:rPr>
    </w:lvl>
    <w:lvl w:ilvl="8" w:tplc="08090005">
      <w:start w:val="1"/>
      <w:numFmt w:val="bullet"/>
      <w:lvlText w:val=""/>
      <w:lvlJc w:val="left"/>
      <w:pPr>
        <w:ind w:left="6825" w:hanging="360"/>
      </w:pPr>
      <w:rPr>
        <w:rFonts w:ascii="Wingdings" w:hAnsi="Wingdings" w:hint="default"/>
      </w:rPr>
    </w:lvl>
  </w:abstractNum>
  <w:abstractNum w:abstractNumId="2" w15:restartNumberingAfterBreak="0">
    <w:nsid w:val="37625B79"/>
    <w:multiLevelType w:val="hybridMultilevel"/>
    <w:tmpl w:val="9196B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006AD8"/>
    <w:multiLevelType w:val="hybridMultilevel"/>
    <w:tmpl w:val="4D288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A31BFF"/>
    <w:multiLevelType w:val="hybridMultilevel"/>
    <w:tmpl w:val="79729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191332"/>
    <w:multiLevelType w:val="multilevel"/>
    <w:tmpl w:val="1BC26A64"/>
    <w:lvl w:ilvl="0">
      <w:start w:val="1"/>
      <w:numFmt w:val="decimal"/>
      <w:pStyle w:val="PanelPara"/>
      <w:lvlText w:val="%1."/>
      <w:lvlJc w:val="left"/>
      <w:pPr>
        <w:ind w:left="567" w:hanging="567"/>
      </w:pPr>
      <w:rPr>
        <w:rFonts w:hint="default"/>
        <w:b w:val="0"/>
        <w:bCs/>
        <w:i w:val="0"/>
        <w:iCs w:val="0"/>
      </w:rPr>
    </w:lvl>
    <w:lvl w:ilvl="1">
      <w:start w:val="1"/>
      <w:numFmt w:val="lowerLetter"/>
      <w:lvlText w:val="%2."/>
      <w:lvlJc w:val="left"/>
      <w:pPr>
        <w:ind w:left="1134" w:hanging="567"/>
      </w:pPr>
      <w:rPr>
        <w:rFonts w:hint="default"/>
      </w:rPr>
    </w:lvl>
    <w:lvl w:ilvl="2">
      <w:start w:val="1"/>
      <w:numFmt w:val="bullet"/>
      <w:pStyle w:val="PanelBullet"/>
      <w:lvlText w:val=""/>
      <w:lvlJc w:val="left"/>
      <w:pPr>
        <w:ind w:left="1701" w:hanging="567"/>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5D1B210C"/>
    <w:multiLevelType w:val="hybridMultilevel"/>
    <w:tmpl w:val="C9BEF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0141E2"/>
    <w:multiLevelType w:val="multilevel"/>
    <w:tmpl w:val="8432EB84"/>
    <w:lvl w:ilvl="0">
      <w:start w:val="1"/>
      <w:numFmt w:val="decimal"/>
      <w:pStyle w:val="ReservesHeading"/>
      <w:lvlText w:val="%1."/>
      <w:lvlJc w:val="left"/>
      <w:pPr>
        <w:ind w:left="360" w:hanging="360"/>
      </w:pPr>
    </w:lvl>
    <w:lvl w:ilvl="1">
      <w:start w:val="1"/>
      <w:numFmt w:val="decimal"/>
      <w:pStyle w:val="ReservesBody"/>
      <w:lvlText w:val="%1.%2."/>
      <w:lvlJc w:val="left"/>
      <w:pPr>
        <w:ind w:left="792" w:hanging="432"/>
      </w:pPr>
      <w:rPr>
        <w:i w:val="0"/>
        <w:iCs/>
      </w:rPr>
    </w:lvl>
    <w:lvl w:ilvl="2">
      <w:start w:val="1"/>
      <w:numFmt w:val="bullet"/>
      <w:pStyle w:val="Reserves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2D07622"/>
    <w:multiLevelType w:val="hybridMultilevel"/>
    <w:tmpl w:val="72FA5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3271906">
    <w:abstractNumId w:val="3"/>
  </w:num>
  <w:num w:numId="2" w16cid:durableId="442460560">
    <w:abstractNumId w:val="4"/>
  </w:num>
  <w:num w:numId="3" w16cid:durableId="761996753">
    <w:abstractNumId w:val="8"/>
  </w:num>
  <w:num w:numId="4" w16cid:durableId="970211236">
    <w:abstractNumId w:val="6"/>
  </w:num>
  <w:num w:numId="5" w16cid:durableId="1212226803">
    <w:abstractNumId w:val="2"/>
  </w:num>
  <w:num w:numId="6" w16cid:durableId="590091818">
    <w:abstractNumId w:val="5"/>
  </w:num>
  <w:num w:numId="7" w16cid:durableId="31926870">
    <w:abstractNumId w:val="7"/>
  </w:num>
  <w:num w:numId="8" w16cid:durableId="516189182">
    <w:abstractNumId w:val="5"/>
  </w:num>
  <w:num w:numId="9" w16cid:durableId="1742213253">
    <w:abstractNumId w:val="5"/>
  </w:num>
  <w:num w:numId="10" w16cid:durableId="870529313">
    <w:abstractNumId w:val="5"/>
  </w:num>
  <w:num w:numId="11" w16cid:durableId="1624116790">
    <w:abstractNumId w:val="5"/>
  </w:num>
  <w:num w:numId="12" w16cid:durableId="2075203394">
    <w:abstractNumId w:val="5"/>
  </w:num>
  <w:num w:numId="13" w16cid:durableId="2101174892">
    <w:abstractNumId w:val="5"/>
  </w:num>
  <w:num w:numId="14" w16cid:durableId="1136684657">
    <w:abstractNumId w:val="5"/>
  </w:num>
  <w:num w:numId="15" w16cid:durableId="1625581162">
    <w:abstractNumId w:val="5"/>
  </w:num>
  <w:num w:numId="16" w16cid:durableId="398476371">
    <w:abstractNumId w:val="5"/>
  </w:num>
  <w:num w:numId="17" w16cid:durableId="1843935771">
    <w:abstractNumId w:val="5"/>
  </w:num>
  <w:num w:numId="18" w16cid:durableId="122575901">
    <w:abstractNumId w:val="5"/>
  </w:num>
  <w:num w:numId="19" w16cid:durableId="1478575145">
    <w:abstractNumId w:val="5"/>
  </w:num>
  <w:num w:numId="20" w16cid:durableId="1063718023">
    <w:abstractNumId w:val="1"/>
  </w:num>
  <w:num w:numId="21" w16cid:durableId="271985667">
    <w:abstractNumId w:val="0"/>
  </w:num>
  <w:num w:numId="22" w16cid:durableId="2076776213">
    <w:abstractNumId w:val="5"/>
  </w:num>
  <w:num w:numId="23" w16cid:durableId="258679091">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9D6"/>
    <w:rsid w:val="00000509"/>
    <w:rsid w:val="00001BB6"/>
    <w:rsid w:val="00001C7E"/>
    <w:rsid w:val="0000490D"/>
    <w:rsid w:val="00004F36"/>
    <w:rsid w:val="000139F2"/>
    <w:rsid w:val="000143C4"/>
    <w:rsid w:val="000201F9"/>
    <w:rsid w:val="00020C70"/>
    <w:rsid w:val="00021940"/>
    <w:rsid w:val="00023752"/>
    <w:rsid w:val="000244FF"/>
    <w:rsid w:val="000249E2"/>
    <w:rsid w:val="000255B4"/>
    <w:rsid w:val="0003142E"/>
    <w:rsid w:val="00035F03"/>
    <w:rsid w:val="00035FDC"/>
    <w:rsid w:val="00040449"/>
    <w:rsid w:val="00040DD9"/>
    <w:rsid w:val="0004158E"/>
    <w:rsid w:val="00044BFF"/>
    <w:rsid w:val="00045427"/>
    <w:rsid w:val="0004646B"/>
    <w:rsid w:val="00047250"/>
    <w:rsid w:val="00047432"/>
    <w:rsid w:val="00047952"/>
    <w:rsid w:val="00047BC3"/>
    <w:rsid w:val="00052820"/>
    <w:rsid w:val="000574AD"/>
    <w:rsid w:val="00060568"/>
    <w:rsid w:val="00060ECC"/>
    <w:rsid w:val="00062F65"/>
    <w:rsid w:val="00063637"/>
    <w:rsid w:val="000641E8"/>
    <w:rsid w:val="000659CF"/>
    <w:rsid w:val="000713E6"/>
    <w:rsid w:val="000727DB"/>
    <w:rsid w:val="00073E24"/>
    <w:rsid w:val="00076099"/>
    <w:rsid w:val="00076927"/>
    <w:rsid w:val="00080E5A"/>
    <w:rsid w:val="000827F0"/>
    <w:rsid w:val="000836B9"/>
    <w:rsid w:val="00083DE2"/>
    <w:rsid w:val="00085B04"/>
    <w:rsid w:val="00086EC5"/>
    <w:rsid w:val="000937CF"/>
    <w:rsid w:val="000949B7"/>
    <w:rsid w:val="000952E6"/>
    <w:rsid w:val="00096589"/>
    <w:rsid w:val="000967F1"/>
    <w:rsid w:val="00096FBD"/>
    <w:rsid w:val="00097D5E"/>
    <w:rsid w:val="000A0765"/>
    <w:rsid w:val="000A0A55"/>
    <w:rsid w:val="000A0AFB"/>
    <w:rsid w:val="000A0F45"/>
    <w:rsid w:val="000A1215"/>
    <w:rsid w:val="000A18A7"/>
    <w:rsid w:val="000A1DFA"/>
    <w:rsid w:val="000A4660"/>
    <w:rsid w:val="000A4FAF"/>
    <w:rsid w:val="000A52BE"/>
    <w:rsid w:val="000A77F0"/>
    <w:rsid w:val="000A7C1D"/>
    <w:rsid w:val="000B0D00"/>
    <w:rsid w:val="000B0DB2"/>
    <w:rsid w:val="000B124D"/>
    <w:rsid w:val="000B25F3"/>
    <w:rsid w:val="000B2EB8"/>
    <w:rsid w:val="000B2F67"/>
    <w:rsid w:val="000B6B36"/>
    <w:rsid w:val="000C269E"/>
    <w:rsid w:val="000C4CE1"/>
    <w:rsid w:val="000C5361"/>
    <w:rsid w:val="000D0F95"/>
    <w:rsid w:val="000D1925"/>
    <w:rsid w:val="000D3D9A"/>
    <w:rsid w:val="000D3FDC"/>
    <w:rsid w:val="000D54E6"/>
    <w:rsid w:val="000D63B7"/>
    <w:rsid w:val="000E0F8E"/>
    <w:rsid w:val="000E0FA1"/>
    <w:rsid w:val="000E2E7C"/>
    <w:rsid w:val="000E3187"/>
    <w:rsid w:val="000E35D2"/>
    <w:rsid w:val="000E5161"/>
    <w:rsid w:val="000E676B"/>
    <w:rsid w:val="000E6C0B"/>
    <w:rsid w:val="000E78A0"/>
    <w:rsid w:val="000E7A5D"/>
    <w:rsid w:val="000F44B6"/>
    <w:rsid w:val="00101310"/>
    <w:rsid w:val="00101736"/>
    <w:rsid w:val="00106757"/>
    <w:rsid w:val="00106A69"/>
    <w:rsid w:val="00106B37"/>
    <w:rsid w:val="00107C61"/>
    <w:rsid w:val="00110E27"/>
    <w:rsid w:val="001165F5"/>
    <w:rsid w:val="00116F6A"/>
    <w:rsid w:val="00117B24"/>
    <w:rsid w:val="0012341A"/>
    <w:rsid w:val="00124159"/>
    <w:rsid w:val="001256C4"/>
    <w:rsid w:val="001306B5"/>
    <w:rsid w:val="0013118D"/>
    <w:rsid w:val="00131D80"/>
    <w:rsid w:val="00131E14"/>
    <w:rsid w:val="00133FCA"/>
    <w:rsid w:val="00134538"/>
    <w:rsid w:val="0013658D"/>
    <w:rsid w:val="00136C60"/>
    <w:rsid w:val="00141D16"/>
    <w:rsid w:val="00142AEE"/>
    <w:rsid w:val="00142CB4"/>
    <w:rsid w:val="00143AD7"/>
    <w:rsid w:val="0014427A"/>
    <w:rsid w:val="00144B22"/>
    <w:rsid w:val="0014672E"/>
    <w:rsid w:val="00146AEC"/>
    <w:rsid w:val="00147995"/>
    <w:rsid w:val="00151106"/>
    <w:rsid w:val="00152B93"/>
    <w:rsid w:val="00152E7B"/>
    <w:rsid w:val="001540F5"/>
    <w:rsid w:val="001720D0"/>
    <w:rsid w:val="001722C3"/>
    <w:rsid w:val="00173107"/>
    <w:rsid w:val="00174124"/>
    <w:rsid w:val="00174CE0"/>
    <w:rsid w:val="0017545F"/>
    <w:rsid w:val="0017694F"/>
    <w:rsid w:val="00176A2A"/>
    <w:rsid w:val="00177FA7"/>
    <w:rsid w:val="00184BF7"/>
    <w:rsid w:val="00185C1B"/>
    <w:rsid w:val="00191853"/>
    <w:rsid w:val="00191B83"/>
    <w:rsid w:val="00194081"/>
    <w:rsid w:val="001946E0"/>
    <w:rsid w:val="00194DF5"/>
    <w:rsid w:val="00196312"/>
    <w:rsid w:val="00197388"/>
    <w:rsid w:val="001A1872"/>
    <w:rsid w:val="001A1D6E"/>
    <w:rsid w:val="001A2092"/>
    <w:rsid w:val="001A6BFA"/>
    <w:rsid w:val="001A7B70"/>
    <w:rsid w:val="001B1E92"/>
    <w:rsid w:val="001B3EA3"/>
    <w:rsid w:val="001B4F2E"/>
    <w:rsid w:val="001B53AC"/>
    <w:rsid w:val="001B5AD6"/>
    <w:rsid w:val="001C1326"/>
    <w:rsid w:val="001C32E6"/>
    <w:rsid w:val="001C4612"/>
    <w:rsid w:val="001C762E"/>
    <w:rsid w:val="001D0E11"/>
    <w:rsid w:val="001D111E"/>
    <w:rsid w:val="001D144A"/>
    <w:rsid w:val="001D15C6"/>
    <w:rsid w:val="001D2374"/>
    <w:rsid w:val="001D2F95"/>
    <w:rsid w:val="001D38B2"/>
    <w:rsid w:val="001D38F9"/>
    <w:rsid w:val="001D3CF5"/>
    <w:rsid w:val="001D55FA"/>
    <w:rsid w:val="001E1A00"/>
    <w:rsid w:val="001E1ECE"/>
    <w:rsid w:val="001E26FE"/>
    <w:rsid w:val="001E27E5"/>
    <w:rsid w:val="001E3237"/>
    <w:rsid w:val="001E4A29"/>
    <w:rsid w:val="001E61BE"/>
    <w:rsid w:val="001E6428"/>
    <w:rsid w:val="001E64A9"/>
    <w:rsid w:val="001F1FB5"/>
    <w:rsid w:val="001F309C"/>
    <w:rsid w:val="001F4086"/>
    <w:rsid w:val="001F587A"/>
    <w:rsid w:val="00200286"/>
    <w:rsid w:val="00203453"/>
    <w:rsid w:val="00203989"/>
    <w:rsid w:val="00203EBF"/>
    <w:rsid w:val="00206F72"/>
    <w:rsid w:val="00207273"/>
    <w:rsid w:val="002075A2"/>
    <w:rsid w:val="00207D0D"/>
    <w:rsid w:val="00211AF5"/>
    <w:rsid w:val="00211F1A"/>
    <w:rsid w:val="002124FB"/>
    <w:rsid w:val="0021623B"/>
    <w:rsid w:val="00217928"/>
    <w:rsid w:val="00217B2A"/>
    <w:rsid w:val="00217B88"/>
    <w:rsid w:val="00220144"/>
    <w:rsid w:val="00223E10"/>
    <w:rsid w:val="00224E1E"/>
    <w:rsid w:val="00227D1A"/>
    <w:rsid w:val="002307C3"/>
    <w:rsid w:val="00237D13"/>
    <w:rsid w:val="00240256"/>
    <w:rsid w:val="0024161B"/>
    <w:rsid w:val="002424FB"/>
    <w:rsid w:val="002433ED"/>
    <w:rsid w:val="00244366"/>
    <w:rsid w:val="002455CC"/>
    <w:rsid w:val="002464CA"/>
    <w:rsid w:val="002469AB"/>
    <w:rsid w:val="002478B9"/>
    <w:rsid w:val="00250B39"/>
    <w:rsid w:val="00252C65"/>
    <w:rsid w:val="00253C0B"/>
    <w:rsid w:val="0025538C"/>
    <w:rsid w:val="00256682"/>
    <w:rsid w:val="0026046C"/>
    <w:rsid w:val="00261126"/>
    <w:rsid w:val="00261263"/>
    <w:rsid w:val="002617A5"/>
    <w:rsid w:val="00264D9D"/>
    <w:rsid w:val="0027069C"/>
    <w:rsid w:val="00272DA6"/>
    <w:rsid w:val="00273010"/>
    <w:rsid w:val="00275ADE"/>
    <w:rsid w:val="00276BF4"/>
    <w:rsid w:val="0027745A"/>
    <w:rsid w:val="00280882"/>
    <w:rsid w:val="00280E6A"/>
    <w:rsid w:val="00281527"/>
    <w:rsid w:val="002827D8"/>
    <w:rsid w:val="00282AC6"/>
    <w:rsid w:val="00283648"/>
    <w:rsid w:val="002942FC"/>
    <w:rsid w:val="00297A65"/>
    <w:rsid w:val="00297F08"/>
    <w:rsid w:val="002A0550"/>
    <w:rsid w:val="002A32A6"/>
    <w:rsid w:val="002A4535"/>
    <w:rsid w:val="002A5432"/>
    <w:rsid w:val="002A7320"/>
    <w:rsid w:val="002A782E"/>
    <w:rsid w:val="002B1E98"/>
    <w:rsid w:val="002B4BFE"/>
    <w:rsid w:val="002B58F7"/>
    <w:rsid w:val="002C00AB"/>
    <w:rsid w:val="002C1A75"/>
    <w:rsid w:val="002C1B66"/>
    <w:rsid w:val="002C21A3"/>
    <w:rsid w:val="002C7223"/>
    <w:rsid w:val="002C7710"/>
    <w:rsid w:val="002D393C"/>
    <w:rsid w:val="002D49E8"/>
    <w:rsid w:val="002D4D15"/>
    <w:rsid w:val="002D6993"/>
    <w:rsid w:val="002D6AA6"/>
    <w:rsid w:val="002D7500"/>
    <w:rsid w:val="002E0D24"/>
    <w:rsid w:val="002E15EF"/>
    <w:rsid w:val="002E221A"/>
    <w:rsid w:val="002E5EBA"/>
    <w:rsid w:val="002E7988"/>
    <w:rsid w:val="002E7C67"/>
    <w:rsid w:val="002F0B6B"/>
    <w:rsid w:val="002F12F7"/>
    <w:rsid w:val="002F2EF9"/>
    <w:rsid w:val="002F313D"/>
    <w:rsid w:val="002F436F"/>
    <w:rsid w:val="002F71D1"/>
    <w:rsid w:val="002F7569"/>
    <w:rsid w:val="00306286"/>
    <w:rsid w:val="00306D43"/>
    <w:rsid w:val="00307680"/>
    <w:rsid w:val="00307B74"/>
    <w:rsid w:val="0031016E"/>
    <w:rsid w:val="003138C8"/>
    <w:rsid w:val="00313907"/>
    <w:rsid w:val="00316966"/>
    <w:rsid w:val="00325554"/>
    <w:rsid w:val="00325769"/>
    <w:rsid w:val="00325CC7"/>
    <w:rsid w:val="00326E1C"/>
    <w:rsid w:val="00327ADF"/>
    <w:rsid w:val="00327FAC"/>
    <w:rsid w:val="00331DA8"/>
    <w:rsid w:val="003324F4"/>
    <w:rsid w:val="0033266D"/>
    <w:rsid w:val="00334760"/>
    <w:rsid w:val="003375BC"/>
    <w:rsid w:val="0034131C"/>
    <w:rsid w:val="003443E7"/>
    <w:rsid w:val="00345F79"/>
    <w:rsid w:val="0034617D"/>
    <w:rsid w:val="00355D7E"/>
    <w:rsid w:val="0035605A"/>
    <w:rsid w:val="00356802"/>
    <w:rsid w:val="00356B50"/>
    <w:rsid w:val="00357350"/>
    <w:rsid w:val="0035748F"/>
    <w:rsid w:val="00357925"/>
    <w:rsid w:val="00360A96"/>
    <w:rsid w:val="00361AE9"/>
    <w:rsid w:val="00362289"/>
    <w:rsid w:val="003626B0"/>
    <w:rsid w:val="00367C1E"/>
    <w:rsid w:val="003701F3"/>
    <w:rsid w:val="00373F28"/>
    <w:rsid w:val="00374DD2"/>
    <w:rsid w:val="00376315"/>
    <w:rsid w:val="0037796D"/>
    <w:rsid w:val="003803AD"/>
    <w:rsid w:val="00390DAC"/>
    <w:rsid w:val="00390F04"/>
    <w:rsid w:val="00393FE3"/>
    <w:rsid w:val="00394958"/>
    <w:rsid w:val="00395E90"/>
    <w:rsid w:val="00396F75"/>
    <w:rsid w:val="003A12A4"/>
    <w:rsid w:val="003A185E"/>
    <w:rsid w:val="003A1A04"/>
    <w:rsid w:val="003A2B26"/>
    <w:rsid w:val="003A314D"/>
    <w:rsid w:val="003A432E"/>
    <w:rsid w:val="003A5172"/>
    <w:rsid w:val="003A588C"/>
    <w:rsid w:val="003A623B"/>
    <w:rsid w:val="003B06F6"/>
    <w:rsid w:val="003B29C6"/>
    <w:rsid w:val="003B2C75"/>
    <w:rsid w:val="003B3D3F"/>
    <w:rsid w:val="003B499E"/>
    <w:rsid w:val="003B66A9"/>
    <w:rsid w:val="003B7D5D"/>
    <w:rsid w:val="003B7F41"/>
    <w:rsid w:val="003C093B"/>
    <w:rsid w:val="003C0D8C"/>
    <w:rsid w:val="003C4580"/>
    <w:rsid w:val="003C5986"/>
    <w:rsid w:val="003C625E"/>
    <w:rsid w:val="003C6A2F"/>
    <w:rsid w:val="003C7194"/>
    <w:rsid w:val="003D1B22"/>
    <w:rsid w:val="003D5746"/>
    <w:rsid w:val="003D5E66"/>
    <w:rsid w:val="003D7208"/>
    <w:rsid w:val="003D7EB9"/>
    <w:rsid w:val="003E0FE8"/>
    <w:rsid w:val="003E291E"/>
    <w:rsid w:val="003E2C5F"/>
    <w:rsid w:val="003E535A"/>
    <w:rsid w:val="003E5914"/>
    <w:rsid w:val="003E7A06"/>
    <w:rsid w:val="003F03E3"/>
    <w:rsid w:val="003F04BB"/>
    <w:rsid w:val="003F0D6A"/>
    <w:rsid w:val="003F410A"/>
    <w:rsid w:val="00400E85"/>
    <w:rsid w:val="0040239A"/>
    <w:rsid w:val="00402579"/>
    <w:rsid w:val="00402714"/>
    <w:rsid w:val="004032F1"/>
    <w:rsid w:val="004036C9"/>
    <w:rsid w:val="00403A5D"/>
    <w:rsid w:val="00405C42"/>
    <w:rsid w:val="004075E3"/>
    <w:rsid w:val="00410606"/>
    <w:rsid w:val="004106DF"/>
    <w:rsid w:val="00412294"/>
    <w:rsid w:val="0041232D"/>
    <w:rsid w:val="00412755"/>
    <w:rsid w:val="00412D0F"/>
    <w:rsid w:val="004160E0"/>
    <w:rsid w:val="00417CF8"/>
    <w:rsid w:val="004202DC"/>
    <w:rsid w:val="0042074C"/>
    <w:rsid w:val="004242FB"/>
    <w:rsid w:val="00425585"/>
    <w:rsid w:val="004309F8"/>
    <w:rsid w:val="004339B8"/>
    <w:rsid w:val="004364E9"/>
    <w:rsid w:val="004418E2"/>
    <w:rsid w:val="00442D89"/>
    <w:rsid w:val="00443389"/>
    <w:rsid w:val="0044465B"/>
    <w:rsid w:val="00444B26"/>
    <w:rsid w:val="00444BEC"/>
    <w:rsid w:val="00453A53"/>
    <w:rsid w:val="00461F30"/>
    <w:rsid w:val="0046298F"/>
    <w:rsid w:val="0046656D"/>
    <w:rsid w:val="00467B85"/>
    <w:rsid w:val="00470378"/>
    <w:rsid w:val="00471038"/>
    <w:rsid w:val="004717D1"/>
    <w:rsid w:val="0047296C"/>
    <w:rsid w:val="00472A18"/>
    <w:rsid w:val="00474625"/>
    <w:rsid w:val="00475D06"/>
    <w:rsid w:val="00476743"/>
    <w:rsid w:val="00480296"/>
    <w:rsid w:val="00480708"/>
    <w:rsid w:val="004807BB"/>
    <w:rsid w:val="004826A0"/>
    <w:rsid w:val="004837A4"/>
    <w:rsid w:val="00484495"/>
    <w:rsid w:val="004909F4"/>
    <w:rsid w:val="00492E61"/>
    <w:rsid w:val="00493095"/>
    <w:rsid w:val="004936C0"/>
    <w:rsid w:val="0049467C"/>
    <w:rsid w:val="00494D92"/>
    <w:rsid w:val="004951D5"/>
    <w:rsid w:val="0049621D"/>
    <w:rsid w:val="004A058F"/>
    <w:rsid w:val="004A0A59"/>
    <w:rsid w:val="004A41CF"/>
    <w:rsid w:val="004A5C45"/>
    <w:rsid w:val="004A733A"/>
    <w:rsid w:val="004B03BB"/>
    <w:rsid w:val="004B1AD4"/>
    <w:rsid w:val="004B30CA"/>
    <w:rsid w:val="004B5297"/>
    <w:rsid w:val="004B566F"/>
    <w:rsid w:val="004B5C7B"/>
    <w:rsid w:val="004B5FAB"/>
    <w:rsid w:val="004B6F0B"/>
    <w:rsid w:val="004C083D"/>
    <w:rsid w:val="004C1E3B"/>
    <w:rsid w:val="004C5EDF"/>
    <w:rsid w:val="004C787E"/>
    <w:rsid w:val="004D1F07"/>
    <w:rsid w:val="004D2895"/>
    <w:rsid w:val="004D2F09"/>
    <w:rsid w:val="004D352C"/>
    <w:rsid w:val="004D5103"/>
    <w:rsid w:val="004D799E"/>
    <w:rsid w:val="004E09C1"/>
    <w:rsid w:val="004E111D"/>
    <w:rsid w:val="004E1242"/>
    <w:rsid w:val="004E1FE1"/>
    <w:rsid w:val="004E24DC"/>
    <w:rsid w:val="004E2A5F"/>
    <w:rsid w:val="004E3764"/>
    <w:rsid w:val="004E492C"/>
    <w:rsid w:val="004F0728"/>
    <w:rsid w:val="004F1B8E"/>
    <w:rsid w:val="004F31D7"/>
    <w:rsid w:val="004F632E"/>
    <w:rsid w:val="004F63CC"/>
    <w:rsid w:val="004F754D"/>
    <w:rsid w:val="00501DCB"/>
    <w:rsid w:val="00503283"/>
    <w:rsid w:val="00504080"/>
    <w:rsid w:val="005073E5"/>
    <w:rsid w:val="00511C57"/>
    <w:rsid w:val="0051282F"/>
    <w:rsid w:val="005135B5"/>
    <w:rsid w:val="00515C5D"/>
    <w:rsid w:val="0051750C"/>
    <w:rsid w:val="0052043B"/>
    <w:rsid w:val="005233E7"/>
    <w:rsid w:val="00523DF7"/>
    <w:rsid w:val="005266F8"/>
    <w:rsid w:val="00526D9C"/>
    <w:rsid w:val="0052769F"/>
    <w:rsid w:val="00530253"/>
    <w:rsid w:val="00531AAF"/>
    <w:rsid w:val="00531E3A"/>
    <w:rsid w:val="00532192"/>
    <w:rsid w:val="00532950"/>
    <w:rsid w:val="0053593E"/>
    <w:rsid w:val="0053616E"/>
    <w:rsid w:val="00536C53"/>
    <w:rsid w:val="00540BAC"/>
    <w:rsid w:val="00541BB6"/>
    <w:rsid w:val="00541FBF"/>
    <w:rsid w:val="005432DD"/>
    <w:rsid w:val="0054433E"/>
    <w:rsid w:val="005445FA"/>
    <w:rsid w:val="0054520F"/>
    <w:rsid w:val="00545397"/>
    <w:rsid w:val="00545CA8"/>
    <w:rsid w:val="005465AE"/>
    <w:rsid w:val="00547E86"/>
    <w:rsid w:val="00551AC3"/>
    <w:rsid w:val="00553631"/>
    <w:rsid w:val="00553FA0"/>
    <w:rsid w:val="00554F7A"/>
    <w:rsid w:val="00556444"/>
    <w:rsid w:val="00556D06"/>
    <w:rsid w:val="0056081F"/>
    <w:rsid w:val="005623EB"/>
    <w:rsid w:val="00564183"/>
    <w:rsid w:val="0056502A"/>
    <w:rsid w:val="00571172"/>
    <w:rsid w:val="0057151C"/>
    <w:rsid w:val="00571831"/>
    <w:rsid w:val="00571D45"/>
    <w:rsid w:val="005737F1"/>
    <w:rsid w:val="005751D3"/>
    <w:rsid w:val="00576105"/>
    <w:rsid w:val="00576C57"/>
    <w:rsid w:val="00577522"/>
    <w:rsid w:val="00582D56"/>
    <w:rsid w:val="00583685"/>
    <w:rsid w:val="005857F1"/>
    <w:rsid w:val="005859FE"/>
    <w:rsid w:val="005866E2"/>
    <w:rsid w:val="00592481"/>
    <w:rsid w:val="00592B61"/>
    <w:rsid w:val="00592CA9"/>
    <w:rsid w:val="00596D6D"/>
    <w:rsid w:val="005A192C"/>
    <w:rsid w:val="005A2421"/>
    <w:rsid w:val="005A2A59"/>
    <w:rsid w:val="005A3E68"/>
    <w:rsid w:val="005A50DB"/>
    <w:rsid w:val="005A6827"/>
    <w:rsid w:val="005A6DCF"/>
    <w:rsid w:val="005A78E0"/>
    <w:rsid w:val="005B2230"/>
    <w:rsid w:val="005B2D82"/>
    <w:rsid w:val="005B362B"/>
    <w:rsid w:val="005B36E3"/>
    <w:rsid w:val="005B4FDE"/>
    <w:rsid w:val="005B52D6"/>
    <w:rsid w:val="005B590E"/>
    <w:rsid w:val="005B62D7"/>
    <w:rsid w:val="005B7A16"/>
    <w:rsid w:val="005B7AB8"/>
    <w:rsid w:val="005B7E37"/>
    <w:rsid w:val="005B7F15"/>
    <w:rsid w:val="005B7F24"/>
    <w:rsid w:val="005C032A"/>
    <w:rsid w:val="005C4961"/>
    <w:rsid w:val="005C62BC"/>
    <w:rsid w:val="005D2DA4"/>
    <w:rsid w:val="005E07E0"/>
    <w:rsid w:val="005E1F1C"/>
    <w:rsid w:val="005E30A1"/>
    <w:rsid w:val="005E33B0"/>
    <w:rsid w:val="005E4732"/>
    <w:rsid w:val="005E55D6"/>
    <w:rsid w:val="005E744A"/>
    <w:rsid w:val="005F1627"/>
    <w:rsid w:val="005F1F9D"/>
    <w:rsid w:val="005F27C6"/>
    <w:rsid w:val="005F5983"/>
    <w:rsid w:val="00603C70"/>
    <w:rsid w:val="00604389"/>
    <w:rsid w:val="00604C03"/>
    <w:rsid w:val="00613055"/>
    <w:rsid w:val="00613FA4"/>
    <w:rsid w:val="00626335"/>
    <w:rsid w:val="00627ED0"/>
    <w:rsid w:val="00630456"/>
    <w:rsid w:val="00631AB8"/>
    <w:rsid w:val="00631F44"/>
    <w:rsid w:val="00632F11"/>
    <w:rsid w:val="006362C7"/>
    <w:rsid w:val="006400EB"/>
    <w:rsid w:val="00640ACC"/>
    <w:rsid w:val="0064102D"/>
    <w:rsid w:val="00641136"/>
    <w:rsid w:val="00641182"/>
    <w:rsid w:val="006437C2"/>
    <w:rsid w:val="00644CE4"/>
    <w:rsid w:val="00644E14"/>
    <w:rsid w:val="00644F8B"/>
    <w:rsid w:val="00646300"/>
    <w:rsid w:val="0064685E"/>
    <w:rsid w:val="00646AE0"/>
    <w:rsid w:val="00646E9A"/>
    <w:rsid w:val="00646F63"/>
    <w:rsid w:val="006473E4"/>
    <w:rsid w:val="00651436"/>
    <w:rsid w:val="006543AD"/>
    <w:rsid w:val="00655DA1"/>
    <w:rsid w:val="00656A64"/>
    <w:rsid w:val="0065728E"/>
    <w:rsid w:val="00657BE8"/>
    <w:rsid w:val="00661683"/>
    <w:rsid w:val="0066419D"/>
    <w:rsid w:val="006649CD"/>
    <w:rsid w:val="006719CF"/>
    <w:rsid w:val="00671A58"/>
    <w:rsid w:val="00672089"/>
    <w:rsid w:val="006730C2"/>
    <w:rsid w:val="006754D2"/>
    <w:rsid w:val="006770A5"/>
    <w:rsid w:val="006820B5"/>
    <w:rsid w:val="006832EB"/>
    <w:rsid w:val="00684EFE"/>
    <w:rsid w:val="006855E9"/>
    <w:rsid w:val="00685B66"/>
    <w:rsid w:val="00686822"/>
    <w:rsid w:val="00690574"/>
    <w:rsid w:val="00690779"/>
    <w:rsid w:val="00691DF4"/>
    <w:rsid w:val="0069624E"/>
    <w:rsid w:val="00696821"/>
    <w:rsid w:val="00696B85"/>
    <w:rsid w:val="006A2025"/>
    <w:rsid w:val="006A4B06"/>
    <w:rsid w:val="006A7F66"/>
    <w:rsid w:val="006B0AD8"/>
    <w:rsid w:val="006C2CFF"/>
    <w:rsid w:val="006C3038"/>
    <w:rsid w:val="006C5A24"/>
    <w:rsid w:val="006D0AD7"/>
    <w:rsid w:val="006D2047"/>
    <w:rsid w:val="006D73BB"/>
    <w:rsid w:val="006E1DBD"/>
    <w:rsid w:val="006E295B"/>
    <w:rsid w:val="006E2B37"/>
    <w:rsid w:val="006E3F7F"/>
    <w:rsid w:val="006E6D1C"/>
    <w:rsid w:val="006F0E6B"/>
    <w:rsid w:val="006F130B"/>
    <w:rsid w:val="006F5862"/>
    <w:rsid w:val="006F61D1"/>
    <w:rsid w:val="006F62F7"/>
    <w:rsid w:val="006F70B5"/>
    <w:rsid w:val="006F7769"/>
    <w:rsid w:val="006F7974"/>
    <w:rsid w:val="007012F9"/>
    <w:rsid w:val="00703492"/>
    <w:rsid w:val="00704F6D"/>
    <w:rsid w:val="00711CCA"/>
    <w:rsid w:val="007120DF"/>
    <w:rsid w:val="007121D6"/>
    <w:rsid w:val="007126EB"/>
    <w:rsid w:val="00714120"/>
    <w:rsid w:val="00714D2B"/>
    <w:rsid w:val="0071506C"/>
    <w:rsid w:val="00721518"/>
    <w:rsid w:val="007217CA"/>
    <w:rsid w:val="0072311F"/>
    <w:rsid w:val="00725432"/>
    <w:rsid w:val="0072700A"/>
    <w:rsid w:val="00727CDD"/>
    <w:rsid w:val="0073258F"/>
    <w:rsid w:val="00733E07"/>
    <w:rsid w:val="0073493A"/>
    <w:rsid w:val="0073566D"/>
    <w:rsid w:val="00735C6E"/>
    <w:rsid w:val="007375CA"/>
    <w:rsid w:val="007402A1"/>
    <w:rsid w:val="00741CF9"/>
    <w:rsid w:val="0074315C"/>
    <w:rsid w:val="007433CF"/>
    <w:rsid w:val="00743EE5"/>
    <w:rsid w:val="007449D4"/>
    <w:rsid w:val="00744F4E"/>
    <w:rsid w:val="0074575D"/>
    <w:rsid w:val="00746FA2"/>
    <w:rsid w:val="00750003"/>
    <w:rsid w:val="0075019E"/>
    <w:rsid w:val="0075131D"/>
    <w:rsid w:val="0075574D"/>
    <w:rsid w:val="0075615D"/>
    <w:rsid w:val="00756DB7"/>
    <w:rsid w:val="00757703"/>
    <w:rsid w:val="00760A8C"/>
    <w:rsid w:val="007618C4"/>
    <w:rsid w:val="00762DC0"/>
    <w:rsid w:val="00770645"/>
    <w:rsid w:val="00775AA4"/>
    <w:rsid w:val="00777477"/>
    <w:rsid w:val="00782E3D"/>
    <w:rsid w:val="00785C65"/>
    <w:rsid w:val="00791043"/>
    <w:rsid w:val="00791A32"/>
    <w:rsid w:val="00792285"/>
    <w:rsid w:val="00793ECA"/>
    <w:rsid w:val="00795B28"/>
    <w:rsid w:val="007A17F8"/>
    <w:rsid w:val="007A2E61"/>
    <w:rsid w:val="007A6383"/>
    <w:rsid w:val="007A67E5"/>
    <w:rsid w:val="007B0947"/>
    <w:rsid w:val="007B1055"/>
    <w:rsid w:val="007B25D3"/>
    <w:rsid w:val="007B2B09"/>
    <w:rsid w:val="007B2C90"/>
    <w:rsid w:val="007B36CE"/>
    <w:rsid w:val="007B5228"/>
    <w:rsid w:val="007B55BE"/>
    <w:rsid w:val="007B684F"/>
    <w:rsid w:val="007B7859"/>
    <w:rsid w:val="007C11AF"/>
    <w:rsid w:val="007C1895"/>
    <w:rsid w:val="007C5C82"/>
    <w:rsid w:val="007C6141"/>
    <w:rsid w:val="007C6391"/>
    <w:rsid w:val="007C7571"/>
    <w:rsid w:val="007C77E8"/>
    <w:rsid w:val="007D18FC"/>
    <w:rsid w:val="007D2B47"/>
    <w:rsid w:val="007D45EC"/>
    <w:rsid w:val="007D5313"/>
    <w:rsid w:val="007D769B"/>
    <w:rsid w:val="007E2146"/>
    <w:rsid w:val="007E231E"/>
    <w:rsid w:val="007E29EE"/>
    <w:rsid w:val="007E3F46"/>
    <w:rsid w:val="007E4515"/>
    <w:rsid w:val="007F0E17"/>
    <w:rsid w:val="007F0EA3"/>
    <w:rsid w:val="007F195D"/>
    <w:rsid w:val="007F1A0D"/>
    <w:rsid w:val="007F363C"/>
    <w:rsid w:val="007F59B8"/>
    <w:rsid w:val="007F7724"/>
    <w:rsid w:val="007F7EE9"/>
    <w:rsid w:val="00802599"/>
    <w:rsid w:val="00802C51"/>
    <w:rsid w:val="00807BFD"/>
    <w:rsid w:val="0081132F"/>
    <w:rsid w:val="0081175B"/>
    <w:rsid w:val="00813DB4"/>
    <w:rsid w:val="00814B38"/>
    <w:rsid w:val="0081614D"/>
    <w:rsid w:val="008166E2"/>
    <w:rsid w:val="0081696D"/>
    <w:rsid w:val="00816BE6"/>
    <w:rsid w:val="0081721C"/>
    <w:rsid w:val="0082107C"/>
    <w:rsid w:val="00822958"/>
    <w:rsid w:val="008248FE"/>
    <w:rsid w:val="0082525E"/>
    <w:rsid w:val="00826374"/>
    <w:rsid w:val="00830D37"/>
    <w:rsid w:val="0083163E"/>
    <w:rsid w:val="00833580"/>
    <w:rsid w:val="00834BFB"/>
    <w:rsid w:val="00835AD3"/>
    <w:rsid w:val="0084249C"/>
    <w:rsid w:val="0084375B"/>
    <w:rsid w:val="00843F6A"/>
    <w:rsid w:val="0084427A"/>
    <w:rsid w:val="0084554A"/>
    <w:rsid w:val="008462AC"/>
    <w:rsid w:val="00846705"/>
    <w:rsid w:val="00850F04"/>
    <w:rsid w:val="0085150F"/>
    <w:rsid w:val="008521C2"/>
    <w:rsid w:val="0085332A"/>
    <w:rsid w:val="00856914"/>
    <w:rsid w:val="00857409"/>
    <w:rsid w:val="00865F33"/>
    <w:rsid w:val="00866EDA"/>
    <w:rsid w:val="00866FEA"/>
    <w:rsid w:val="00867F0A"/>
    <w:rsid w:val="008722B8"/>
    <w:rsid w:val="00872517"/>
    <w:rsid w:val="00872601"/>
    <w:rsid w:val="00873836"/>
    <w:rsid w:val="008747A8"/>
    <w:rsid w:val="00874BF3"/>
    <w:rsid w:val="00874D19"/>
    <w:rsid w:val="00875D71"/>
    <w:rsid w:val="00876802"/>
    <w:rsid w:val="008778C8"/>
    <w:rsid w:val="00880B2E"/>
    <w:rsid w:val="00881C6F"/>
    <w:rsid w:val="00883AB6"/>
    <w:rsid w:val="00885446"/>
    <w:rsid w:val="00886CB0"/>
    <w:rsid w:val="00893058"/>
    <w:rsid w:val="00894851"/>
    <w:rsid w:val="008A0CC5"/>
    <w:rsid w:val="008A3937"/>
    <w:rsid w:val="008A64C8"/>
    <w:rsid w:val="008A669B"/>
    <w:rsid w:val="008A6A85"/>
    <w:rsid w:val="008A7480"/>
    <w:rsid w:val="008A79C0"/>
    <w:rsid w:val="008B265B"/>
    <w:rsid w:val="008B6FC6"/>
    <w:rsid w:val="008B7473"/>
    <w:rsid w:val="008C0D2B"/>
    <w:rsid w:val="008C2267"/>
    <w:rsid w:val="008C3B36"/>
    <w:rsid w:val="008C4139"/>
    <w:rsid w:val="008C6DF5"/>
    <w:rsid w:val="008D0CD4"/>
    <w:rsid w:val="008D3E32"/>
    <w:rsid w:val="008D42FA"/>
    <w:rsid w:val="008D52A0"/>
    <w:rsid w:val="008D5CE7"/>
    <w:rsid w:val="008D770E"/>
    <w:rsid w:val="008D77FC"/>
    <w:rsid w:val="008D795C"/>
    <w:rsid w:val="008D7F04"/>
    <w:rsid w:val="008E133A"/>
    <w:rsid w:val="008E2AAE"/>
    <w:rsid w:val="008E47BF"/>
    <w:rsid w:val="008E570F"/>
    <w:rsid w:val="008E5EB9"/>
    <w:rsid w:val="008F01E6"/>
    <w:rsid w:val="008F0349"/>
    <w:rsid w:val="008F5708"/>
    <w:rsid w:val="008F68DD"/>
    <w:rsid w:val="008F7527"/>
    <w:rsid w:val="008F7D81"/>
    <w:rsid w:val="00900286"/>
    <w:rsid w:val="00901127"/>
    <w:rsid w:val="009023A4"/>
    <w:rsid w:val="009032E5"/>
    <w:rsid w:val="009070CE"/>
    <w:rsid w:val="009078B0"/>
    <w:rsid w:val="00910645"/>
    <w:rsid w:val="00920481"/>
    <w:rsid w:val="00920BE8"/>
    <w:rsid w:val="00922DE8"/>
    <w:rsid w:val="0092329E"/>
    <w:rsid w:val="00924A74"/>
    <w:rsid w:val="00925615"/>
    <w:rsid w:val="00926601"/>
    <w:rsid w:val="00926E6D"/>
    <w:rsid w:val="00933FD5"/>
    <w:rsid w:val="00934843"/>
    <w:rsid w:val="00934AB4"/>
    <w:rsid w:val="00934B13"/>
    <w:rsid w:val="00934CA7"/>
    <w:rsid w:val="009356AB"/>
    <w:rsid w:val="009361B3"/>
    <w:rsid w:val="009433F4"/>
    <w:rsid w:val="00943DCE"/>
    <w:rsid w:val="009455E6"/>
    <w:rsid w:val="00947856"/>
    <w:rsid w:val="00947D75"/>
    <w:rsid w:val="009507E4"/>
    <w:rsid w:val="00950F9D"/>
    <w:rsid w:val="00952A50"/>
    <w:rsid w:val="009537E3"/>
    <w:rsid w:val="009546F3"/>
    <w:rsid w:val="00956F1D"/>
    <w:rsid w:val="00960E79"/>
    <w:rsid w:val="009615A2"/>
    <w:rsid w:val="009639B1"/>
    <w:rsid w:val="00964490"/>
    <w:rsid w:val="00964F88"/>
    <w:rsid w:val="00966F7F"/>
    <w:rsid w:val="00967548"/>
    <w:rsid w:val="00967E05"/>
    <w:rsid w:val="00971F09"/>
    <w:rsid w:val="009731AD"/>
    <w:rsid w:val="009736C3"/>
    <w:rsid w:val="009740CB"/>
    <w:rsid w:val="00975740"/>
    <w:rsid w:val="00980218"/>
    <w:rsid w:val="009811CA"/>
    <w:rsid w:val="00981785"/>
    <w:rsid w:val="00981FE1"/>
    <w:rsid w:val="009846F4"/>
    <w:rsid w:val="00984C55"/>
    <w:rsid w:val="0099146D"/>
    <w:rsid w:val="0099232D"/>
    <w:rsid w:val="009925D4"/>
    <w:rsid w:val="0099433E"/>
    <w:rsid w:val="009947F6"/>
    <w:rsid w:val="00994DF3"/>
    <w:rsid w:val="009954BF"/>
    <w:rsid w:val="00997B4B"/>
    <w:rsid w:val="00997E49"/>
    <w:rsid w:val="009A005E"/>
    <w:rsid w:val="009A0C55"/>
    <w:rsid w:val="009A1145"/>
    <w:rsid w:val="009A40BA"/>
    <w:rsid w:val="009A6A8E"/>
    <w:rsid w:val="009A76A2"/>
    <w:rsid w:val="009B0583"/>
    <w:rsid w:val="009B0902"/>
    <w:rsid w:val="009B17BC"/>
    <w:rsid w:val="009B1C90"/>
    <w:rsid w:val="009B315F"/>
    <w:rsid w:val="009C1984"/>
    <w:rsid w:val="009C4FAD"/>
    <w:rsid w:val="009C6B1A"/>
    <w:rsid w:val="009D0130"/>
    <w:rsid w:val="009D134E"/>
    <w:rsid w:val="009D7914"/>
    <w:rsid w:val="009E051D"/>
    <w:rsid w:val="009E070C"/>
    <w:rsid w:val="009E3F3D"/>
    <w:rsid w:val="009E47D7"/>
    <w:rsid w:val="009E5FBE"/>
    <w:rsid w:val="009E6BBB"/>
    <w:rsid w:val="009F08C6"/>
    <w:rsid w:val="009F0F92"/>
    <w:rsid w:val="009F1236"/>
    <w:rsid w:val="009F3824"/>
    <w:rsid w:val="009F491B"/>
    <w:rsid w:val="009F5E3F"/>
    <w:rsid w:val="009F7330"/>
    <w:rsid w:val="009F7EAF"/>
    <w:rsid w:val="00A054DA"/>
    <w:rsid w:val="00A05AEA"/>
    <w:rsid w:val="00A07E71"/>
    <w:rsid w:val="00A11E19"/>
    <w:rsid w:val="00A1226A"/>
    <w:rsid w:val="00A1250A"/>
    <w:rsid w:val="00A12D4F"/>
    <w:rsid w:val="00A12DDB"/>
    <w:rsid w:val="00A13958"/>
    <w:rsid w:val="00A16B65"/>
    <w:rsid w:val="00A17B62"/>
    <w:rsid w:val="00A201A7"/>
    <w:rsid w:val="00A209BC"/>
    <w:rsid w:val="00A20BAD"/>
    <w:rsid w:val="00A24B51"/>
    <w:rsid w:val="00A303B4"/>
    <w:rsid w:val="00A3127E"/>
    <w:rsid w:val="00A31545"/>
    <w:rsid w:val="00A31AAB"/>
    <w:rsid w:val="00A3220A"/>
    <w:rsid w:val="00A3280C"/>
    <w:rsid w:val="00A3383F"/>
    <w:rsid w:val="00A342E3"/>
    <w:rsid w:val="00A40E50"/>
    <w:rsid w:val="00A410D4"/>
    <w:rsid w:val="00A427E5"/>
    <w:rsid w:val="00A4509E"/>
    <w:rsid w:val="00A458F0"/>
    <w:rsid w:val="00A47C0C"/>
    <w:rsid w:val="00A5056A"/>
    <w:rsid w:val="00A51E08"/>
    <w:rsid w:val="00A520B3"/>
    <w:rsid w:val="00A52E83"/>
    <w:rsid w:val="00A53C80"/>
    <w:rsid w:val="00A53E8E"/>
    <w:rsid w:val="00A5533F"/>
    <w:rsid w:val="00A579F7"/>
    <w:rsid w:val="00A60AD1"/>
    <w:rsid w:val="00A62A01"/>
    <w:rsid w:val="00A63F16"/>
    <w:rsid w:val="00A64B7D"/>
    <w:rsid w:val="00A67748"/>
    <w:rsid w:val="00A71DF5"/>
    <w:rsid w:val="00A744C6"/>
    <w:rsid w:val="00A80E58"/>
    <w:rsid w:val="00A81E04"/>
    <w:rsid w:val="00A81E58"/>
    <w:rsid w:val="00A821F9"/>
    <w:rsid w:val="00A82B46"/>
    <w:rsid w:val="00A8426B"/>
    <w:rsid w:val="00A86088"/>
    <w:rsid w:val="00A94357"/>
    <w:rsid w:val="00A94A3C"/>
    <w:rsid w:val="00A9701F"/>
    <w:rsid w:val="00AA0664"/>
    <w:rsid w:val="00AA06A9"/>
    <w:rsid w:val="00AA14C4"/>
    <w:rsid w:val="00AA1B14"/>
    <w:rsid w:val="00AA2277"/>
    <w:rsid w:val="00AA2AC1"/>
    <w:rsid w:val="00AA5E18"/>
    <w:rsid w:val="00AA7BE8"/>
    <w:rsid w:val="00AA7D42"/>
    <w:rsid w:val="00AB0685"/>
    <w:rsid w:val="00AB2495"/>
    <w:rsid w:val="00AB33AE"/>
    <w:rsid w:val="00AB49A9"/>
    <w:rsid w:val="00AB5510"/>
    <w:rsid w:val="00AB72FD"/>
    <w:rsid w:val="00AC1EED"/>
    <w:rsid w:val="00AC20B1"/>
    <w:rsid w:val="00AC3803"/>
    <w:rsid w:val="00AC5BDA"/>
    <w:rsid w:val="00AD13FA"/>
    <w:rsid w:val="00AD2BF1"/>
    <w:rsid w:val="00AD3087"/>
    <w:rsid w:val="00AD400F"/>
    <w:rsid w:val="00AD40C9"/>
    <w:rsid w:val="00AD69D6"/>
    <w:rsid w:val="00AD7B4F"/>
    <w:rsid w:val="00AE0643"/>
    <w:rsid w:val="00AE170F"/>
    <w:rsid w:val="00AE1A39"/>
    <w:rsid w:val="00AE34F2"/>
    <w:rsid w:val="00AE4160"/>
    <w:rsid w:val="00AE423E"/>
    <w:rsid w:val="00AE543F"/>
    <w:rsid w:val="00AE5591"/>
    <w:rsid w:val="00AE5B5E"/>
    <w:rsid w:val="00AE6244"/>
    <w:rsid w:val="00AE75DF"/>
    <w:rsid w:val="00B02BB4"/>
    <w:rsid w:val="00B02F64"/>
    <w:rsid w:val="00B03511"/>
    <w:rsid w:val="00B04F4F"/>
    <w:rsid w:val="00B07DD0"/>
    <w:rsid w:val="00B12135"/>
    <w:rsid w:val="00B13D39"/>
    <w:rsid w:val="00B14362"/>
    <w:rsid w:val="00B1524E"/>
    <w:rsid w:val="00B15A8E"/>
    <w:rsid w:val="00B16B9C"/>
    <w:rsid w:val="00B17E86"/>
    <w:rsid w:val="00B200EE"/>
    <w:rsid w:val="00B223DE"/>
    <w:rsid w:val="00B22494"/>
    <w:rsid w:val="00B232A1"/>
    <w:rsid w:val="00B2620C"/>
    <w:rsid w:val="00B2624F"/>
    <w:rsid w:val="00B26307"/>
    <w:rsid w:val="00B31A3D"/>
    <w:rsid w:val="00B31CEB"/>
    <w:rsid w:val="00B34874"/>
    <w:rsid w:val="00B35232"/>
    <w:rsid w:val="00B35D54"/>
    <w:rsid w:val="00B366DB"/>
    <w:rsid w:val="00B3738C"/>
    <w:rsid w:val="00B40836"/>
    <w:rsid w:val="00B4513E"/>
    <w:rsid w:val="00B45F7E"/>
    <w:rsid w:val="00B46761"/>
    <w:rsid w:val="00B47251"/>
    <w:rsid w:val="00B4779C"/>
    <w:rsid w:val="00B52A36"/>
    <w:rsid w:val="00B537F3"/>
    <w:rsid w:val="00B5503F"/>
    <w:rsid w:val="00B57606"/>
    <w:rsid w:val="00B60304"/>
    <w:rsid w:val="00B607EA"/>
    <w:rsid w:val="00B62E0F"/>
    <w:rsid w:val="00B70261"/>
    <w:rsid w:val="00B70D02"/>
    <w:rsid w:val="00B72E98"/>
    <w:rsid w:val="00B73179"/>
    <w:rsid w:val="00B74B9C"/>
    <w:rsid w:val="00B75DDE"/>
    <w:rsid w:val="00B766BE"/>
    <w:rsid w:val="00B774F5"/>
    <w:rsid w:val="00B8117D"/>
    <w:rsid w:val="00B81767"/>
    <w:rsid w:val="00B84288"/>
    <w:rsid w:val="00B8520C"/>
    <w:rsid w:val="00B86341"/>
    <w:rsid w:val="00B866FE"/>
    <w:rsid w:val="00B877F6"/>
    <w:rsid w:val="00B95944"/>
    <w:rsid w:val="00B95B38"/>
    <w:rsid w:val="00B96947"/>
    <w:rsid w:val="00B96D4F"/>
    <w:rsid w:val="00B971E7"/>
    <w:rsid w:val="00BA0C36"/>
    <w:rsid w:val="00BA39C4"/>
    <w:rsid w:val="00BA59CB"/>
    <w:rsid w:val="00BB1B4A"/>
    <w:rsid w:val="00BB23D8"/>
    <w:rsid w:val="00BB27D6"/>
    <w:rsid w:val="00BB3693"/>
    <w:rsid w:val="00BB48B1"/>
    <w:rsid w:val="00BB53B6"/>
    <w:rsid w:val="00BB5414"/>
    <w:rsid w:val="00BB54DB"/>
    <w:rsid w:val="00BB57D9"/>
    <w:rsid w:val="00BB6888"/>
    <w:rsid w:val="00BB71D8"/>
    <w:rsid w:val="00BB7C6E"/>
    <w:rsid w:val="00BC01A5"/>
    <w:rsid w:val="00BC0522"/>
    <w:rsid w:val="00BC0D5A"/>
    <w:rsid w:val="00BC181F"/>
    <w:rsid w:val="00BC19F5"/>
    <w:rsid w:val="00BC4E8B"/>
    <w:rsid w:val="00BC5485"/>
    <w:rsid w:val="00BC7016"/>
    <w:rsid w:val="00BC794E"/>
    <w:rsid w:val="00BD007C"/>
    <w:rsid w:val="00BD0924"/>
    <w:rsid w:val="00BD23A3"/>
    <w:rsid w:val="00BD2797"/>
    <w:rsid w:val="00BD4901"/>
    <w:rsid w:val="00BD62CF"/>
    <w:rsid w:val="00BD7FFE"/>
    <w:rsid w:val="00BE0A83"/>
    <w:rsid w:val="00BE2C7D"/>
    <w:rsid w:val="00BE40BA"/>
    <w:rsid w:val="00BE60D8"/>
    <w:rsid w:val="00BE6E4F"/>
    <w:rsid w:val="00BE708F"/>
    <w:rsid w:val="00BE7CBF"/>
    <w:rsid w:val="00BF095D"/>
    <w:rsid w:val="00BF3190"/>
    <w:rsid w:val="00BF4D7C"/>
    <w:rsid w:val="00BF5F3A"/>
    <w:rsid w:val="00C06D1B"/>
    <w:rsid w:val="00C0712F"/>
    <w:rsid w:val="00C111D9"/>
    <w:rsid w:val="00C12DA6"/>
    <w:rsid w:val="00C1301C"/>
    <w:rsid w:val="00C149FE"/>
    <w:rsid w:val="00C154A3"/>
    <w:rsid w:val="00C16298"/>
    <w:rsid w:val="00C164C8"/>
    <w:rsid w:val="00C166B7"/>
    <w:rsid w:val="00C204D3"/>
    <w:rsid w:val="00C209C1"/>
    <w:rsid w:val="00C23A89"/>
    <w:rsid w:val="00C26A06"/>
    <w:rsid w:val="00C270EC"/>
    <w:rsid w:val="00C3224F"/>
    <w:rsid w:val="00C32EC3"/>
    <w:rsid w:val="00C36A05"/>
    <w:rsid w:val="00C36B7A"/>
    <w:rsid w:val="00C37D2D"/>
    <w:rsid w:val="00C40200"/>
    <w:rsid w:val="00C41186"/>
    <w:rsid w:val="00C42C32"/>
    <w:rsid w:val="00C432D6"/>
    <w:rsid w:val="00C4559D"/>
    <w:rsid w:val="00C45B29"/>
    <w:rsid w:val="00C46B47"/>
    <w:rsid w:val="00C47408"/>
    <w:rsid w:val="00C50B44"/>
    <w:rsid w:val="00C51408"/>
    <w:rsid w:val="00C516B1"/>
    <w:rsid w:val="00C536DE"/>
    <w:rsid w:val="00C53C8E"/>
    <w:rsid w:val="00C5409F"/>
    <w:rsid w:val="00C62692"/>
    <w:rsid w:val="00C662E1"/>
    <w:rsid w:val="00C6649D"/>
    <w:rsid w:val="00C66AF0"/>
    <w:rsid w:val="00C6702D"/>
    <w:rsid w:val="00C701FB"/>
    <w:rsid w:val="00C70823"/>
    <w:rsid w:val="00C70F56"/>
    <w:rsid w:val="00C720EC"/>
    <w:rsid w:val="00C7260F"/>
    <w:rsid w:val="00C75B26"/>
    <w:rsid w:val="00C76FBD"/>
    <w:rsid w:val="00C770AE"/>
    <w:rsid w:val="00C77744"/>
    <w:rsid w:val="00C777E5"/>
    <w:rsid w:val="00C77CDF"/>
    <w:rsid w:val="00C82987"/>
    <w:rsid w:val="00C8388E"/>
    <w:rsid w:val="00C848A0"/>
    <w:rsid w:val="00C87C19"/>
    <w:rsid w:val="00C87CB8"/>
    <w:rsid w:val="00C91C66"/>
    <w:rsid w:val="00C93291"/>
    <w:rsid w:val="00C97DE7"/>
    <w:rsid w:val="00C97F07"/>
    <w:rsid w:val="00CA0960"/>
    <w:rsid w:val="00CA1329"/>
    <w:rsid w:val="00CA4112"/>
    <w:rsid w:val="00CA56D7"/>
    <w:rsid w:val="00CA6FF7"/>
    <w:rsid w:val="00CA7451"/>
    <w:rsid w:val="00CB0070"/>
    <w:rsid w:val="00CB1D0E"/>
    <w:rsid w:val="00CB212F"/>
    <w:rsid w:val="00CB25E6"/>
    <w:rsid w:val="00CB35D9"/>
    <w:rsid w:val="00CB3FFC"/>
    <w:rsid w:val="00CB51B0"/>
    <w:rsid w:val="00CB63D5"/>
    <w:rsid w:val="00CB7DDA"/>
    <w:rsid w:val="00CC09C1"/>
    <w:rsid w:val="00CC0A00"/>
    <w:rsid w:val="00CC1C60"/>
    <w:rsid w:val="00CC297E"/>
    <w:rsid w:val="00CC2BF4"/>
    <w:rsid w:val="00CC3A2D"/>
    <w:rsid w:val="00CC3D39"/>
    <w:rsid w:val="00CC52F4"/>
    <w:rsid w:val="00CC53D1"/>
    <w:rsid w:val="00CC576E"/>
    <w:rsid w:val="00CC5B0E"/>
    <w:rsid w:val="00CD079C"/>
    <w:rsid w:val="00CD36C5"/>
    <w:rsid w:val="00CD49C0"/>
    <w:rsid w:val="00CE0559"/>
    <w:rsid w:val="00CE0FEE"/>
    <w:rsid w:val="00CE50ED"/>
    <w:rsid w:val="00CF10DB"/>
    <w:rsid w:val="00CF1CC3"/>
    <w:rsid w:val="00CF27E5"/>
    <w:rsid w:val="00CF2932"/>
    <w:rsid w:val="00CF3E12"/>
    <w:rsid w:val="00CF50EE"/>
    <w:rsid w:val="00CF5D71"/>
    <w:rsid w:val="00CF6BC0"/>
    <w:rsid w:val="00CF7749"/>
    <w:rsid w:val="00D0097E"/>
    <w:rsid w:val="00D0180F"/>
    <w:rsid w:val="00D02514"/>
    <w:rsid w:val="00D04A86"/>
    <w:rsid w:val="00D065B7"/>
    <w:rsid w:val="00D1098C"/>
    <w:rsid w:val="00D117C6"/>
    <w:rsid w:val="00D15A0A"/>
    <w:rsid w:val="00D1683A"/>
    <w:rsid w:val="00D20309"/>
    <w:rsid w:val="00D23B4B"/>
    <w:rsid w:val="00D243E8"/>
    <w:rsid w:val="00D26B05"/>
    <w:rsid w:val="00D30506"/>
    <w:rsid w:val="00D30D1C"/>
    <w:rsid w:val="00D323A1"/>
    <w:rsid w:val="00D3314C"/>
    <w:rsid w:val="00D33319"/>
    <w:rsid w:val="00D36806"/>
    <w:rsid w:val="00D37BDA"/>
    <w:rsid w:val="00D404BE"/>
    <w:rsid w:val="00D460F1"/>
    <w:rsid w:val="00D4639F"/>
    <w:rsid w:val="00D46F5F"/>
    <w:rsid w:val="00D47A69"/>
    <w:rsid w:val="00D47E49"/>
    <w:rsid w:val="00D51A4F"/>
    <w:rsid w:val="00D51AA4"/>
    <w:rsid w:val="00D51DFF"/>
    <w:rsid w:val="00D52E21"/>
    <w:rsid w:val="00D5643C"/>
    <w:rsid w:val="00D57531"/>
    <w:rsid w:val="00D622BF"/>
    <w:rsid w:val="00D647AD"/>
    <w:rsid w:val="00D652BB"/>
    <w:rsid w:val="00D662BA"/>
    <w:rsid w:val="00D66C31"/>
    <w:rsid w:val="00D66D30"/>
    <w:rsid w:val="00D6728D"/>
    <w:rsid w:val="00D67ACB"/>
    <w:rsid w:val="00D7603A"/>
    <w:rsid w:val="00D8183B"/>
    <w:rsid w:val="00D82500"/>
    <w:rsid w:val="00D84BC4"/>
    <w:rsid w:val="00D87062"/>
    <w:rsid w:val="00D9094E"/>
    <w:rsid w:val="00D90E84"/>
    <w:rsid w:val="00D9181A"/>
    <w:rsid w:val="00D9502C"/>
    <w:rsid w:val="00D958D3"/>
    <w:rsid w:val="00D96894"/>
    <w:rsid w:val="00D96E64"/>
    <w:rsid w:val="00D970F0"/>
    <w:rsid w:val="00DA572C"/>
    <w:rsid w:val="00DA5F99"/>
    <w:rsid w:val="00DA6D88"/>
    <w:rsid w:val="00DA742D"/>
    <w:rsid w:val="00DC09E2"/>
    <w:rsid w:val="00DC1274"/>
    <w:rsid w:val="00DC1AAF"/>
    <w:rsid w:val="00DC1ECF"/>
    <w:rsid w:val="00DC32DD"/>
    <w:rsid w:val="00DC3411"/>
    <w:rsid w:val="00DC3D4F"/>
    <w:rsid w:val="00DC66F5"/>
    <w:rsid w:val="00DC7955"/>
    <w:rsid w:val="00DD0003"/>
    <w:rsid w:val="00DD01D1"/>
    <w:rsid w:val="00DD0250"/>
    <w:rsid w:val="00DD0E23"/>
    <w:rsid w:val="00DD3B22"/>
    <w:rsid w:val="00DD6197"/>
    <w:rsid w:val="00DD68B7"/>
    <w:rsid w:val="00DD75A9"/>
    <w:rsid w:val="00DD7EA1"/>
    <w:rsid w:val="00DE1CCE"/>
    <w:rsid w:val="00DE6368"/>
    <w:rsid w:val="00DF12DC"/>
    <w:rsid w:val="00DF1391"/>
    <w:rsid w:val="00DF18AF"/>
    <w:rsid w:val="00DF2770"/>
    <w:rsid w:val="00DF5346"/>
    <w:rsid w:val="00DF635B"/>
    <w:rsid w:val="00E0063A"/>
    <w:rsid w:val="00E00C27"/>
    <w:rsid w:val="00E02D63"/>
    <w:rsid w:val="00E047F5"/>
    <w:rsid w:val="00E0579C"/>
    <w:rsid w:val="00E06514"/>
    <w:rsid w:val="00E06583"/>
    <w:rsid w:val="00E07C2B"/>
    <w:rsid w:val="00E11627"/>
    <w:rsid w:val="00E12ACE"/>
    <w:rsid w:val="00E13336"/>
    <w:rsid w:val="00E15033"/>
    <w:rsid w:val="00E21842"/>
    <w:rsid w:val="00E21C22"/>
    <w:rsid w:val="00E240D3"/>
    <w:rsid w:val="00E25941"/>
    <w:rsid w:val="00E26588"/>
    <w:rsid w:val="00E2716F"/>
    <w:rsid w:val="00E32160"/>
    <w:rsid w:val="00E40B40"/>
    <w:rsid w:val="00E41A0E"/>
    <w:rsid w:val="00E41D15"/>
    <w:rsid w:val="00E42F50"/>
    <w:rsid w:val="00E44E2B"/>
    <w:rsid w:val="00E45790"/>
    <w:rsid w:val="00E46427"/>
    <w:rsid w:val="00E4696E"/>
    <w:rsid w:val="00E50CF0"/>
    <w:rsid w:val="00E519D0"/>
    <w:rsid w:val="00E52808"/>
    <w:rsid w:val="00E53588"/>
    <w:rsid w:val="00E54031"/>
    <w:rsid w:val="00E543B8"/>
    <w:rsid w:val="00E54441"/>
    <w:rsid w:val="00E54E5F"/>
    <w:rsid w:val="00E6098A"/>
    <w:rsid w:val="00E6187D"/>
    <w:rsid w:val="00E61CF4"/>
    <w:rsid w:val="00E628F8"/>
    <w:rsid w:val="00E65221"/>
    <w:rsid w:val="00E65FA4"/>
    <w:rsid w:val="00E6686D"/>
    <w:rsid w:val="00E67E42"/>
    <w:rsid w:val="00E70CEB"/>
    <w:rsid w:val="00E7205D"/>
    <w:rsid w:val="00E7492D"/>
    <w:rsid w:val="00E76064"/>
    <w:rsid w:val="00E77C89"/>
    <w:rsid w:val="00E80055"/>
    <w:rsid w:val="00E8007E"/>
    <w:rsid w:val="00E82792"/>
    <w:rsid w:val="00E82EE5"/>
    <w:rsid w:val="00E85266"/>
    <w:rsid w:val="00E8698D"/>
    <w:rsid w:val="00E96230"/>
    <w:rsid w:val="00E966EE"/>
    <w:rsid w:val="00E9677E"/>
    <w:rsid w:val="00E96CEA"/>
    <w:rsid w:val="00E9734C"/>
    <w:rsid w:val="00EA1F71"/>
    <w:rsid w:val="00EA2316"/>
    <w:rsid w:val="00EA5622"/>
    <w:rsid w:val="00EB0125"/>
    <w:rsid w:val="00EB1D9B"/>
    <w:rsid w:val="00EB2105"/>
    <w:rsid w:val="00EB423C"/>
    <w:rsid w:val="00EB7DA6"/>
    <w:rsid w:val="00EC1B2F"/>
    <w:rsid w:val="00EC2F0A"/>
    <w:rsid w:val="00EC3166"/>
    <w:rsid w:val="00EC6BC5"/>
    <w:rsid w:val="00ED1138"/>
    <w:rsid w:val="00ED1C35"/>
    <w:rsid w:val="00ED2E3F"/>
    <w:rsid w:val="00ED33C0"/>
    <w:rsid w:val="00ED3F3D"/>
    <w:rsid w:val="00ED47A2"/>
    <w:rsid w:val="00ED6358"/>
    <w:rsid w:val="00ED710B"/>
    <w:rsid w:val="00EE032F"/>
    <w:rsid w:val="00EE05D8"/>
    <w:rsid w:val="00EE08B9"/>
    <w:rsid w:val="00EE0BF8"/>
    <w:rsid w:val="00EE150B"/>
    <w:rsid w:val="00EE2333"/>
    <w:rsid w:val="00EE4050"/>
    <w:rsid w:val="00EE684E"/>
    <w:rsid w:val="00EE76A9"/>
    <w:rsid w:val="00EF07CF"/>
    <w:rsid w:val="00EF2F80"/>
    <w:rsid w:val="00EF40A7"/>
    <w:rsid w:val="00EF5331"/>
    <w:rsid w:val="00EF67F6"/>
    <w:rsid w:val="00EF7039"/>
    <w:rsid w:val="00F02E18"/>
    <w:rsid w:val="00F0481B"/>
    <w:rsid w:val="00F05E4B"/>
    <w:rsid w:val="00F10927"/>
    <w:rsid w:val="00F139DF"/>
    <w:rsid w:val="00F14CA5"/>
    <w:rsid w:val="00F15021"/>
    <w:rsid w:val="00F157CA"/>
    <w:rsid w:val="00F168D3"/>
    <w:rsid w:val="00F2188E"/>
    <w:rsid w:val="00F21CDC"/>
    <w:rsid w:val="00F22504"/>
    <w:rsid w:val="00F2411F"/>
    <w:rsid w:val="00F306A9"/>
    <w:rsid w:val="00F30B07"/>
    <w:rsid w:val="00F33F9E"/>
    <w:rsid w:val="00F34934"/>
    <w:rsid w:val="00F35FA0"/>
    <w:rsid w:val="00F368AA"/>
    <w:rsid w:val="00F42C2B"/>
    <w:rsid w:val="00F43745"/>
    <w:rsid w:val="00F44482"/>
    <w:rsid w:val="00F476EA"/>
    <w:rsid w:val="00F50C82"/>
    <w:rsid w:val="00F528F6"/>
    <w:rsid w:val="00F54149"/>
    <w:rsid w:val="00F56758"/>
    <w:rsid w:val="00F570CC"/>
    <w:rsid w:val="00F57399"/>
    <w:rsid w:val="00F60CEB"/>
    <w:rsid w:val="00F625EB"/>
    <w:rsid w:val="00F6339A"/>
    <w:rsid w:val="00F646E9"/>
    <w:rsid w:val="00F65175"/>
    <w:rsid w:val="00F65E59"/>
    <w:rsid w:val="00F65F9A"/>
    <w:rsid w:val="00F66AA3"/>
    <w:rsid w:val="00F67A25"/>
    <w:rsid w:val="00F7017D"/>
    <w:rsid w:val="00F7094D"/>
    <w:rsid w:val="00F709C6"/>
    <w:rsid w:val="00F70FF7"/>
    <w:rsid w:val="00F712E5"/>
    <w:rsid w:val="00F720E1"/>
    <w:rsid w:val="00F73ACA"/>
    <w:rsid w:val="00F75D07"/>
    <w:rsid w:val="00F76237"/>
    <w:rsid w:val="00F80F47"/>
    <w:rsid w:val="00F81011"/>
    <w:rsid w:val="00F82357"/>
    <w:rsid w:val="00F8390C"/>
    <w:rsid w:val="00F8557F"/>
    <w:rsid w:val="00F86CED"/>
    <w:rsid w:val="00F86E8E"/>
    <w:rsid w:val="00F86E9B"/>
    <w:rsid w:val="00F87FBA"/>
    <w:rsid w:val="00F90E0A"/>
    <w:rsid w:val="00F93560"/>
    <w:rsid w:val="00F93700"/>
    <w:rsid w:val="00F93A0D"/>
    <w:rsid w:val="00F94116"/>
    <w:rsid w:val="00F95008"/>
    <w:rsid w:val="00F96766"/>
    <w:rsid w:val="00F97F45"/>
    <w:rsid w:val="00FA156A"/>
    <w:rsid w:val="00FA1857"/>
    <w:rsid w:val="00FA211E"/>
    <w:rsid w:val="00FA3143"/>
    <w:rsid w:val="00FA3982"/>
    <w:rsid w:val="00FA3B68"/>
    <w:rsid w:val="00FA574B"/>
    <w:rsid w:val="00FA6EA5"/>
    <w:rsid w:val="00FB1FA0"/>
    <w:rsid w:val="00FB22FA"/>
    <w:rsid w:val="00FB234E"/>
    <w:rsid w:val="00FB28DB"/>
    <w:rsid w:val="00FB2CAE"/>
    <w:rsid w:val="00FB33A0"/>
    <w:rsid w:val="00FB5949"/>
    <w:rsid w:val="00FB79D9"/>
    <w:rsid w:val="00FC4407"/>
    <w:rsid w:val="00FC6FAF"/>
    <w:rsid w:val="00FD1846"/>
    <w:rsid w:val="00FD300A"/>
    <w:rsid w:val="00FD3980"/>
    <w:rsid w:val="00FD4496"/>
    <w:rsid w:val="00FD668D"/>
    <w:rsid w:val="00FD6BBC"/>
    <w:rsid w:val="00FD7DF1"/>
    <w:rsid w:val="00FE0DE6"/>
    <w:rsid w:val="00FE211D"/>
    <w:rsid w:val="00FE29E6"/>
    <w:rsid w:val="00FE30AB"/>
    <w:rsid w:val="00FE46A6"/>
    <w:rsid w:val="00FE520B"/>
    <w:rsid w:val="00FE5CC0"/>
    <w:rsid w:val="00FE7E7D"/>
    <w:rsid w:val="00FF3003"/>
    <w:rsid w:val="00FF3640"/>
    <w:rsid w:val="00FF3F04"/>
    <w:rsid w:val="00FF5501"/>
    <w:rsid w:val="00FF60DB"/>
    <w:rsid w:val="00FF6549"/>
    <w:rsid w:val="00FF6886"/>
    <w:rsid w:val="00FF78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A9B9389"/>
  <w15:docId w15:val="{29B4A77A-B3A4-4D83-9500-51B4D4228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lock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5DF"/>
    <w:pPr>
      <w:spacing w:line="276" w:lineRule="auto"/>
    </w:pPr>
    <w:rPr>
      <w:sz w:val="22"/>
      <w:szCs w:val="22"/>
      <w:lang w:eastAsia="en-US"/>
    </w:rPr>
  </w:style>
  <w:style w:type="paragraph" w:styleId="Heading1">
    <w:name w:val="heading 1"/>
    <w:basedOn w:val="Normal"/>
    <w:next w:val="Normal"/>
    <w:link w:val="Heading1Char"/>
    <w:qFormat/>
    <w:locked/>
    <w:rsid w:val="00866FEA"/>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nhideWhenUsed/>
    <w:qFormat/>
    <w:locked/>
    <w:rsid w:val="00DC1AA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locked/>
    <w:rsid w:val="00DC1AA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locked/>
    <w:rsid w:val="00DC1AAF"/>
    <w:pPr>
      <w:keepNext/>
      <w:tabs>
        <w:tab w:val="num" w:pos="864"/>
      </w:tabs>
      <w:spacing w:line="240" w:lineRule="auto"/>
      <w:ind w:left="864" w:hanging="864"/>
      <w:outlineLvl w:val="3"/>
    </w:pPr>
    <w:rPr>
      <w:rFonts w:ascii="Arial" w:eastAsia="Times New Roman" w:hAnsi="Arial" w:cs="Arial"/>
      <w:b/>
      <w:bCs/>
      <w:color w:val="000080"/>
      <w:sz w:val="20"/>
      <w:szCs w:val="20"/>
    </w:rPr>
  </w:style>
  <w:style w:type="paragraph" w:styleId="Heading5">
    <w:name w:val="heading 5"/>
    <w:basedOn w:val="Normal"/>
    <w:next w:val="Normal"/>
    <w:link w:val="Heading5Char"/>
    <w:qFormat/>
    <w:locked/>
    <w:rsid w:val="00866FEA"/>
    <w:pPr>
      <w:spacing w:before="240" w:after="60" w:line="240" w:lineRule="auto"/>
      <w:outlineLvl w:val="4"/>
    </w:pPr>
    <w:rPr>
      <w:rFonts w:ascii="Century Gothic" w:eastAsia="Times New Roman" w:hAnsi="Century Gothic"/>
      <w:b/>
      <w:bCs/>
      <w:i/>
      <w:iCs/>
      <w:sz w:val="26"/>
      <w:szCs w:val="26"/>
    </w:rPr>
  </w:style>
  <w:style w:type="paragraph" w:styleId="Heading6">
    <w:name w:val="heading 6"/>
    <w:basedOn w:val="Normal"/>
    <w:next w:val="Normal"/>
    <w:link w:val="Heading6Char"/>
    <w:qFormat/>
    <w:locked/>
    <w:rsid w:val="00200286"/>
    <w:pPr>
      <w:keepNext/>
      <w:spacing w:line="240" w:lineRule="auto"/>
      <w:outlineLvl w:val="5"/>
    </w:pPr>
    <w:rPr>
      <w:rFonts w:ascii="Century Gothic" w:eastAsia="Times New Roman" w:hAnsi="Century Gothic"/>
      <w:b/>
      <w:szCs w:val="20"/>
    </w:rPr>
  </w:style>
  <w:style w:type="paragraph" w:styleId="Heading7">
    <w:name w:val="heading 7"/>
    <w:basedOn w:val="Normal"/>
    <w:next w:val="Normal"/>
    <w:link w:val="Heading7Char"/>
    <w:qFormat/>
    <w:locked/>
    <w:rsid w:val="00866FEA"/>
    <w:pPr>
      <w:spacing w:before="240" w:after="60" w:line="240" w:lineRule="auto"/>
      <w:outlineLvl w:val="6"/>
    </w:pPr>
    <w:rPr>
      <w:rFonts w:ascii="Times New Roman" w:eastAsia="Times New Roman" w:hAnsi="Times New Roman"/>
      <w:sz w:val="24"/>
      <w:szCs w:val="24"/>
    </w:rPr>
  </w:style>
  <w:style w:type="paragraph" w:styleId="Heading8">
    <w:name w:val="heading 8"/>
    <w:basedOn w:val="Normal"/>
    <w:next w:val="Normal"/>
    <w:link w:val="Heading8Char"/>
    <w:qFormat/>
    <w:locked/>
    <w:rsid w:val="00866FEA"/>
    <w:pPr>
      <w:spacing w:before="240" w:after="60" w:line="240" w:lineRule="auto"/>
      <w:outlineLvl w:val="7"/>
    </w:pPr>
    <w:rPr>
      <w:rFonts w:ascii="Times New Roman" w:eastAsia="Times New Roman" w:hAnsi="Times New Roman"/>
      <w:i/>
      <w:iCs/>
      <w:sz w:val="24"/>
      <w:szCs w:val="24"/>
    </w:rPr>
  </w:style>
  <w:style w:type="paragraph" w:styleId="Heading9">
    <w:name w:val="heading 9"/>
    <w:basedOn w:val="Normal"/>
    <w:next w:val="Normal"/>
    <w:link w:val="Heading9Char"/>
    <w:qFormat/>
    <w:locked/>
    <w:rsid w:val="00DC1AAF"/>
    <w:pPr>
      <w:tabs>
        <w:tab w:val="num" w:pos="1584"/>
      </w:tabs>
      <w:spacing w:before="240" w:after="60" w:line="240"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uiPriority w:val="99"/>
    <w:locked/>
    <w:rsid w:val="00200286"/>
    <w:rPr>
      <w:rFonts w:ascii="Century Gothic" w:hAnsi="Century Gothic" w:cs="Times New Roman"/>
      <w:b/>
      <w:sz w:val="20"/>
      <w:szCs w:val="20"/>
      <w:lang w:eastAsia="en-US"/>
    </w:rPr>
  </w:style>
  <w:style w:type="paragraph" w:styleId="Header">
    <w:name w:val="header"/>
    <w:aliases w:val="MEL Header"/>
    <w:basedOn w:val="Normal"/>
    <w:link w:val="HeaderChar"/>
    <w:uiPriority w:val="99"/>
    <w:rsid w:val="008B7473"/>
    <w:pPr>
      <w:tabs>
        <w:tab w:val="center" w:pos="4513"/>
        <w:tab w:val="right" w:pos="9026"/>
      </w:tabs>
      <w:spacing w:line="240" w:lineRule="auto"/>
    </w:pPr>
  </w:style>
  <w:style w:type="character" w:customStyle="1" w:styleId="HeaderChar">
    <w:name w:val="Header Char"/>
    <w:aliases w:val="MEL Header Char"/>
    <w:link w:val="Header"/>
    <w:uiPriority w:val="99"/>
    <w:locked/>
    <w:rsid w:val="008B7473"/>
    <w:rPr>
      <w:rFonts w:cs="Times New Roman"/>
    </w:rPr>
  </w:style>
  <w:style w:type="paragraph" w:styleId="Footer">
    <w:name w:val="footer"/>
    <w:basedOn w:val="Normal"/>
    <w:link w:val="FooterChar"/>
    <w:rsid w:val="008B7473"/>
    <w:pPr>
      <w:tabs>
        <w:tab w:val="center" w:pos="4513"/>
        <w:tab w:val="right" w:pos="9026"/>
      </w:tabs>
      <w:spacing w:line="240" w:lineRule="auto"/>
    </w:pPr>
  </w:style>
  <w:style w:type="character" w:customStyle="1" w:styleId="FooterChar">
    <w:name w:val="Footer Char"/>
    <w:link w:val="Footer"/>
    <w:uiPriority w:val="99"/>
    <w:locked/>
    <w:rsid w:val="008B7473"/>
    <w:rPr>
      <w:rFonts w:cs="Times New Roman"/>
    </w:rPr>
  </w:style>
  <w:style w:type="paragraph" w:styleId="ListParagraph">
    <w:name w:val="List Paragraph"/>
    <w:basedOn w:val="Normal"/>
    <w:link w:val="ListParagraphChar"/>
    <w:uiPriority w:val="34"/>
    <w:qFormat/>
    <w:rsid w:val="00101736"/>
    <w:pPr>
      <w:ind w:left="720"/>
      <w:contextualSpacing/>
    </w:pPr>
  </w:style>
  <w:style w:type="table" w:styleId="TableGrid">
    <w:name w:val="Table Grid"/>
    <w:basedOn w:val="TableNormal"/>
    <w:uiPriority w:val="39"/>
    <w:rsid w:val="004F754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F754D"/>
    <w:pPr>
      <w:spacing w:line="240" w:lineRule="auto"/>
    </w:pPr>
    <w:rPr>
      <w:rFonts w:ascii="Tahoma" w:hAnsi="Tahoma" w:cs="Tahoma"/>
      <w:sz w:val="16"/>
      <w:szCs w:val="16"/>
    </w:rPr>
  </w:style>
  <w:style w:type="character" w:customStyle="1" w:styleId="BalloonTextChar">
    <w:name w:val="Balloon Text Char"/>
    <w:link w:val="BalloonText"/>
    <w:uiPriority w:val="99"/>
    <w:semiHidden/>
    <w:locked/>
    <w:rsid w:val="004F754D"/>
    <w:rPr>
      <w:rFonts w:ascii="Tahoma" w:hAnsi="Tahoma" w:cs="Tahoma"/>
      <w:sz w:val="16"/>
      <w:szCs w:val="16"/>
    </w:rPr>
  </w:style>
  <w:style w:type="character" w:styleId="CommentReference">
    <w:name w:val="annotation reference"/>
    <w:rsid w:val="00F6339A"/>
    <w:rPr>
      <w:rFonts w:cs="Times New Roman"/>
      <w:sz w:val="16"/>
      <w:szCs w:val="16"/>
    </w:rPr>
  </w:style>
  <w:style w:type="paragraph" w:styleId="CommentText">
    <w:name w:val="annotation text"/>
    <w:basedOn w:val="Normal"/>
    <w:link w:val="CommentTextChar"/>
    <w:rsid w:val="00F6339A"/>
    <w:pPr>
      <w:spacing w:line="240" w:lineRule="auto"/>
    </w:pPr>
    <w:rPr>
      <w:sz w:val="20"/>
      <w:szCs w:val="20"/>
    </w:rPr>
  </w:style>
  <w:style w:type="character" w:customStyle="1" w:styleId="CommentTextChar">
    <w:name w:val="Comment Text Char"/>
    <w:link w:val="CommentText"/>
    <w:locked/>
    <w:rsid w:val="00F6339A"/>
    <w:rPr>
      <w:rFonts w:cs="Times New Roman"/>
      <w:sz w:val="20"/>
      <w:szCs w:val="20"/>
    </w:rPr>
  </w:style>
  <w:style w:type="paragraph" w:styleId="CommentSubject">
    <w:name w:val="annotation subject"/>
    <w:basedOn w:val="CommentText"/>
    <w:next w:val="CommentText"/>
    <w:link w:val="CommentSubjectChar"/>
    <w:rsid w:val="00F6339A"/>
    <w:rPr>
      <w:b/>
      <w:bCs/>
    </w:rPr>
  </w:style>
  <w:style w:type="character" w:customStyle="1" w:styleId="CommentSubjectChar">
    <w:name w:val="Comment Subject Char"/>
    <w:link w:val="CommentSubject"/>
    <w:locked/>
    <w:rsid w:val="00F6339A"/>
    <w:rPr>
      <w:rFonts w:cs="Times New Roman"/>
      <w:b/>
      <w:bCs/>
      <w:sz w:val="20"/>
      <w:szCs w:val="20"/>
    </w:rPr>
  </w:style>
  <w:style w:type="paragraph" w:styleId="BodyText">
    <w:name w:val="Body Text"/>
    <w:basedOn w:val="Normal"/>
    <w:link w:val="BodyTextChar"/>
    <w:uiPriority w:val="99"/>
    <w:semiHidden/>
    <w:rsid w:val="00BE60D8"/>
    <w:pPr>
      <w:spacing w:after="120"/>
    </w:pPr>
  </w:style>
  <w:style w:type="character" w:customStyle="1" w:styleId="BodyTextChar">
    <w:name w:val="Body Text Char"/>
    <w:link w:val="BodyText"/>
    <w:uiPriority w:val="99"/>
    <w:semiHidden/>
    <w:locked/>
    <w:rsid w:val="00BE60D8"/>
    <w:rPr>
      <w:rFonts w:cs="Times New Roman"/>
    </w:rPr>
  </w:style>
  <w:style w:type="character" w:styleId="Hyperlink">
    <w:name w:val="Hyperlink"/>
    <w:uiPriority w:val="99"/>
    <w:rsid w:val="003B7D5D"/>
    <w:rPr>
      <w:rFonts w:cs="Times New Roman"/>
      <w:color w:val="0000FF"/>
      <w:u w:val="single"/>
    </w:rPr>
  </w:style>
  <w:style w:type="paragraph" w:styleId="BodyTextIndent2">
    <w:name w:val="Body Text Indent 2"/>
    <w:basedOn w:val="Normal"/>
    <w:link w:val="BodyTextIndent2Char"/>
    <w:rsid w:val="00173107"/>
    <w:pPr>
      <w:spacing w:after="120" w:line="480" w:lineRule="auto"/>
      <w:ind w:left="283"/>
    </w:pPr>
    <w:rPr>
      <w:rFonts w:ascii="Century Gothic" w:eastAsia="Times New Roman" w:hAnsi="Century Gothic"/>
      <w:sz w:val="20"/>
      <w:szCs w:val="20"/>
    </w:rPr>
  </w:style>
  <w:style w:type="character" w:customStyle="1" w:styleId="BodyTextIndent2Char">
    <w:name w:val="Body Text Indent 2 Char"/>
    <w:link w:val="BodyTextIndent2"/>
    <w:uiPriority w:val="99"/>
    <w:locked/>
    <w:rsid w:val="00173107"/>
    <w:rPr>
      <w:rFonts w:ascii="Century Gothic" w:hAnsi="Century Gothic" w:cs="Times New Roman"/>
      <w:sz w:val="20"/>
      <w:szCs w:val="20"/>
      <w:lang w:eastAsia="en-US"/>
    </w:rPr>
  </w:style>
  <w:style w:type="paragraph" w:styleId="NoSpacing">
    <w:name w:val="No Spacing"/>
    <w:uiPriority w:val="1"/>
    <w:qFormat/>
    <w:rsid w:val="001946E0"/>
    <w:rPr>
      <w:sz w:val="22"/>
      <w:szCs w:val="22"/>
      <w:lang w:eastAsia="en-US"/>
    </w:rPr>
  </w:style>
  <w:style w:type="character" w:customStyle="1" w:styleId="emailstyle17">
    <w:name w:val="emailstyle17"/>
    <w:uiPriority w:val="99"/>
    <w:semiHidden/>
    <w:rsid w:val="005737F1"/>
    <w:rPr>
      <w:rFonts w:ascii="Arial" w:hAnsi="Arial" w:cs="Arial"/>
      <w:color w:val="auto"/>
      <w:sz w:val="20"/>
      <w:szCs w:val="20"/>
    </w:rPr>
  </w:style>
  <w:style w:type="paragraph" w:customStyle="1" w:styleId="Default">
    <w:name w:val="Default"/>
    <w:rsid w:val="008462AC"/>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327ADF"/>
    <w:pPr>
      <w:spacing w:before="100" w:beforeAutospacing="1" w:after="100" w:afterAutospacing="1" w:line="240" w:lineRule="auto"/>
    </w:pPr>
    <w:rPr>
      <w:rFonts w:ascii="Times New Roman" w:eastAsiaTheme="minorHAnsi" w:hAnsi="Times New Roman"/>
      <w:sz w:val="24"/>
      <w:szCs w:val="24"/>
      <w:lang w:eastAsia="en-GB"/>
    </w:rPr>
  </w:style>
  <w:style w:type="character" w:customStyle="1" w:styleId="Heading1Char">
    <w:name w:val="Heading 1 Char"/>
    <w:basedOn w:val="DefaultParagraphFont"/>
    <w:link w:val="Heading1"/>
    <w:rsid w:val="00866FEA"/>
    <w:rPr>
      <w:rFonts w:ascii="Arial" w:eastAsia="Times New Roman" w:hAnsi="Arial" w:cs="Arial"/>
      <w:b/>
      <w:bCs/>
      <w:kern w:val="32"/>
      <w:sz w:val="32"/>
      <w:szCs w:val="32"/>
      <w:lang w:eastAsia="en-US"/>
    </w:rPr>
  </w:style>
  <w:style w:type="character" w:customStyle="1" w:styleId="Heading5Char">
    <w:name w:val="Heading 5 Char"/>
    <w:basedOn w:val="DefaultParagraphFont"/>
    <w:link w:val="Heading5"/>
    <w:rsid w:val="00866FEA"/>
    <w:rPr>
      <w:rFonts w:ascii="Century Gothic" w:eastAsia="Times New Roman" w:hAnsi="Century Gothic"/>
      <w:b/>
      <w:bCs/>
      <w:i/>
      <w:iCs/>
      <w:sz w:val="26"/>
      <w:szCs w:val="26"/>
      <w:lang w:eastAsia="en-US"/>
    </w:rPr>
  </w:style>
  <w:style w:type="character" w:customStyle="1" w:styleId="Heading7Char">
    <w:name w:val="Heading 7 Char"/>
    <w:basedOn w:val="DefaultParagraphFont"/>
    <w:link w:val="Heading7"/>
    <w:rsid w:val="00866FEA"/>
    <w:rPr>
      <w:rFonts w:ascii="Times New Roman" w:eastAsia="Times New Roman" w:hAnsi="Times New Roman"/>
      <w:sz w:val="24"/>
      <w:szCs w:val="24"/>
      <w:lang w:eastAsia="en-US"/>
    </w:rPr>
  </w:style>
  <w:style w:type="character" w:customStyle="1" w:styleId="Heading8Char">
    <w:name w:val="Heading 8 Char"/>
    <w:basedOn w:val="DefaultParagraphFont"/>
    <w:link w:val="Heading8"/>
    <w:rsid w:val="00866FEA"/>
    <w:rPr>
      <w:rFonts w:ascii="Times New Roman" w:eastAsia="Times New Roman" w:hAnsi="Times New Roman"/>
      <w:i/>
      <w:iCs/>
      <w:sz w:val="24"/>
      <w:szCs w:val="24"/>
      <w:lang w:eastAsia="en-US"/>
    </w:rPr>
  </w:style>
  <w:style w:type="paragraph" w:styleId="BodyTextIndent">
    <w:name w:val="Body Text Indent"/>
    <w:basedOn w:val="Normal"/>
    <w:link w:val="BodyTextIndentChar"/>
    <w:rsid w:val="00866FEA"/>
    <w:pPr>
      <w:spacing w:after="120" w:line="240" w:lineRule="auto"/>
      <w:ind w:left="283"/>
    </w:pPr>
    <w:rPr>
      <w:rFonts w:ascii="Century Gothic" w:eastAsia="Times New Roman" w:hAnsi="Century Gothic"/>
      <w:sz w:val="20"/>
      <w:szCs w:val="20"/>
    </w:rPr>
  </w:style>
  <w:style w:type="character" w:customStyle="1" w:styleId="BodyTextIndentChar">
    <w:name w:val="Body Text Indent Char"/>
    <w:basedOn w:val="DefaultParagraphFont"/>
    <w:link w:val="BodyTextIndent"/>
    <w:rsid w:val="00866FEA"/>
    <w:rPr>
      <w:rFonts w:ascii="Century Gothic" w:eastAsia="Times New Roman" w:hAnsi="Century Gothic"/>
      <w:lang w:eastAsia="en-US"/>
    </w:rPr>
  </w:style>
  <w:style w:type="paragraph" w:styleId="FootnoteText">
    <w:name w:val="footnote text"/>
    <w:basedOn w:val="Normal"/>
    <w:link w:val="FootnoteTextChar"/>
    <w:uiPriority w:val="99"/>
    <w:semiHidden/>
    <w:unhideWhenUsed/>
    <w:rsid w:val="002D6993"/>
    <w:pPr>
      <w:spacing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2D6993"/>
    <w:rPr>
      <w:rFonts w:asciiTheme="minorHAnsi" w:hAnsiTheme="minorHAnsi" w:cstheme="minorBidi"/>
      <w:lang w:eastAsia="en-US"/>
    </w:rPr>
  </w:style>
  <w:style w:type="character" w:styleId="FootnoteReference">
    <w:name w:val="footnote reference"/>
    <w:basedOn w:val="DefaultParagraphFont"/>
    <w:uiPriority w:val="99"/>
    <w:semiHidden/>
    <w:unhideWhenUsed/>
    <w:rsid w:val="002D6993"/>
    <w:rPr>
      <w:vertAlign w:val="superscript"/>
    </w:rPr>
  </w:style>
  <w:style w:type="paragraph" w:styleId="Revision">
    <w:name w:val="Revision"/>
    <w:hidden/>
    <w:uiPriority w:val="99"/>
    <w:semiHidden/>
    <w:rsid w:val="00950F9D"/>
    <w:rPr>
      <w:sz w:val="22"/>
      <w:szCs w:val="22"/>
      <w:lang w:eastAsia="en-US"/>
    </w:rPr>
  </w:style>
  <w:style w:type="character" w:customStyle="1" w:styleId="Heading2Char">
    <w:name w:val="Heading 2 Char"/>
    <w:basedOn w:val="DefaultParagraphFont"/>
    <w:link w:val="Heading2"/>
    <w:semiHidden/>
    <w:rsid w:val="00DC1AAF"/>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semiHidden/>
    <w:rsid w:val="00DC1AAF"/>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rsid w:val="00DC1AAF"/>
    <w:rPr>
      <w:rFonts w:ascii="Arial" w:eastAsia="Times New Roman" w:hAnsi="Arial" w:cs="Arial"/>
      <w:b/>
      <w:bCs/>
      <w:color w:val="000080"/>
      <w:lang w:eastAsia="en-US"/>
    </w:rPr>
  </w:style>
  <w:style w:type="character" w:customStyle="1" w:styleId="Heading9Char">
    <w:name w:val="Heading 9 Char"/>
    <w:basedOn w:val="DefaultParagraphFont"/>
    <w:link w:val="Heading9"/>
    <w:rsid w:val="00DC1AAF"/>
    <w:rPr>
      <w:rFonts w:ascii="Arial" w:eastAsia="Times New Roman" w:hAnsi="Arial" w:cs="Arial"/>
      <w:sz w:val="22"/>
      <w:szCs w:val="22"/>
      <w:lang w:eastAsia="en-US"/>
    </w:rPr>
  </w:style>
  <w:style w:type="numbering" w:customStyle="1" w:styleId="NoList1">
    <w:name w:val="No List1"/>
    <w:next w:val="NoList"/>
    <w:semiHidden/>
    <w:rsid w:val="00DC1AAF"/>
  </w:style>
  <w:style w:type="paragraph" w:styleId="BodyTextIndent3">
    <w:name w:val="Body Text Indent 3"/>
    <w:basedOn w:val="Normal"/>
    <w:link w:val="BodyTextIndent3Char"/>
    <w:rsid w:val="00DC1AAF"/>
    <w:pPr>
      <w:spacing w:line="240" w:lineRule="auto"/>
      <w:ind w:left="576"/>
      <w:jc w:val="both"/>
    </w:pPr>
    <w:rPr>
      <w:rFonts w:ascii="Arial" w:eastAsia="Times New Roman" w:hAnsi="Arial"/>
      <w:lang w:val="en"/>
    </w:rPr>
  </w:style>
  <w:style w:type="character" w:customStyle="1" w:styleId="BodyTextIndent3Char">
    <w:name w:val="Body Text Indent 3 Char"/>
    <w:basedOn w:val="DefaultParagraphFont"/>
    <w:link w:val="BodyTextIndent3"/>
    <w:rsid w:val="00DC1AAF"/>
    <w:rPr>
      <w:rFonts w:ascii="Arial" w:eastAsia="Times New Roman" w:hAnsi="Arial"/>
      <w:sz w:val="22"/>
      <w:szCs w:val="22"/>
      <w:lang w:val="en" w:eastAsia="en-US"/>
    </w:rPr>
  </w:style>
  <w:style w:type="character" w:styleId="PageNumber">
    <w:name w:val="page number"/>
    <w:basedOn w:val="DefaultParagraphFont"/>
    <w:rsid w:val="00DC1AAF"/>
  </w:style>
  <w:style w:type="paragraph" w:customStyle="1" w:styleId="StyleCCC">
    <w:name w:val="StyleCCC"/>
    <w:basedOn w:val="Normal"/>
    <w:rsid w:val="00DC1AAF"/>
    <w:pPr>
      <w:tabs>
        <w:tab w:val="num" w:pos="360"/>
      </w:tabs>
      <w:spacing w:line="240" w:lineRule="auto"/>
      <w:ind w:left="360" w:hanging="360"/>
    </w:pPr>
    <w:rPr>
      <w:rFonts w:ascii="Arial" w:eastAsia="Times New Roman" w:hAnsi="Arial"/>
      <w:sz w:val="24"/>
      <w:szCs w:val="20"/>
    </w:rPr>
  </w:style>
  <w:style w:type="paragraph" w:customStyle="1" w:styleId="Char">
    <w:name w:val="Char"/>
    <w:basedOn w:val="Normal"/>
    <w:rsid w:val="00DC1AAF"/>
    <w:pPr>
      <w:spacing w:after="160" w:line="240" w:lineRule="exact"/>
    </w:pPr>
    <w:rPr>
      <w:rFonts w:ascii="Verdana" w:eastAsia="Times New Roman" w:hAnsi="Verdana" w:cs="Verdana"/>
      <w:sz w:val="20"/>
      <w:szCs w:val="20"/>
      <w:lang w:val="en-US"/>
    </w:rPr>
  </w:style>
  <w:style w:type="table" w:customStyle="1" w:styleId="TableGrid1">
    <w:name w:val="Table Grid1"/>
    <w:basedOn w:val="TableNormal"/>
    <w:next w:val="TableGrid"/>
    <w:rsid w:val="00DC1A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locked/>
    <w:rsid w:val="00DC1AAF"/>
    <w:pPr>
      <w:spacing w:before="240" w:after="60" w:line="240" w:lineRule="auto"/>
      <w:jc w:val="center"/>
      <w:outlineLvl w:val="0"/>
    </w:pPr>
    <w:rPr>
      <w:rFonts w:ascii="Calibri Light" w:eastAsia="Times New Roman" w:hAnsi="Calibri Light"/>
      <w:b/>
      <w:bCs/>
      <w:kern w:val="28"/>
      <w:sz w:val="32"/>
      <w:szCs w:val="32"/>
    </w:rPr>
  </w:style>
  <w:style w:type="character" w:customStyle="1" w:styleId="TitleChar">
    <w:name w:val="Title Char"/>
    <w:basedOn w:val="DefaultParagraphFont"/>
    <w:link w:val="Title"/>
    <w:rsid w:val="00DC1AAF"/>
    <w:rPr>
      <w:rFonts w:ascii="Calibri Light" w:eastAsia="Times New Roman" w:hAnsi="Calibri Light"/>
      <w:b/>
      <w:bCs/>
      <w:kern w:val="28"/>
      <w:sz w:val="32"/>
      <w:szCs w:val="32"/>
      <w:lang w:eastAsia="en-US"/>
    </w:rPr>
  </w:style>
  <w:style w:type="paragraph" w:customStyle="1" w:styleId="PanelPara">
    <w:name w:val="Panel Para"/>
    <w:basedOn w:val="ListParagraph"/>
    <w:link w:val="PanelParaChar"/>
    <w:qFormat/>
    <w:rsid w:val="00083DE2"/>
    <w:pPr>
      <w:numPr>
        <w:numId w:val="6"/>
      </w:numPr>
      <w:spacing w:after="240" w:line="240" w:lineRule="auto"/>
      <w:contextualSpacing w:val="0"/>
      <w:jc w:val="both"/>
    </w:pPr>
    <w:rPr>
      <w:rFonts w:asciiTheme="minorHAnsi" w:hAnsiTheme="minorHAnsi" w:cstheme="minorHAnsi"/>
      <w:sz w:val="24"/>
      <w:szCs w:val="24"/>
    </w:rPr>
  </w:style>
  <w:style w:type="paragraph" w:customStyle="1" w:styleId="PanelHeading">
    <w:name w:val="Panel Heading"/>
    <w:basedOn w:val="ListParagraph"/>
    <w:link w:val="PanelHeadingChar"/>
    <w:qFormat/>
    <w:rsid w:val="00685B66"/>
    <w:pPr>
      <w:spacing w:after="240" w:line="240" w:lineRule="auto"/>
      <w:ind w:left="0"/>
      <w:jc w:val="both"/>
    </w:pPr>
    <w:rPr>
      <w:rFonts w:asciiTheme="minorHAnsi" w:hAnsiTheme="minorHAnsi" w:cstheme="minorHAnsi"/>
      <w:b/>
      <w:sz w:val="24"/>
      <w:szCs w:val="24"/>
    </w:rPr>
  </w:style>
  <w:style w:type="character" w:customStyle="1" w:styleId="ListParagraphChar">
    <w:name w:val="List Paragraph Char"/>
    <w:basedOn w:val="DefaultParagraphFont"/>
    <w:link w:val="ListParagraph"/>
    <w:uiPriority w:val="34"/>
    <w:rsid w:val="00EE08B9"/>
    <w:rPr>
      <w:sz w:val="22"/>
      <w:szCs w:val="22"/>
      <w:lang w:eastAsia="en-US"/>
    </w:rPr>
  </w:style>
  <w:style w:type="character" w:customStyle="1" w:styleId="PanelParaChar">
    <w:name w:val="Panel Para Char"/>
    <w:basedOn w:val="ListParagraphChar"/>
    <w:link w:val="PanelPara"/>
    <w:rsid w:val="00083DE2"/>
    <w:rPr>
      <w:rFonts w:asciiTheme="minorHAnsi" w:hAnsiTheme="minorHAnsi" w:cstheme="minorHAnsi"/>
      <w:sz w:val="24"/>
      <w:szCs w:val="24"/>
      <w:lang w:eastAsia="en-US"/>
    </w:rPr>
  </w:style>
  <w:style w:type="character" w:customStyle="1" w:styleId="PanelHeadingChar">
    <w:name w:val="Panel Heading Char"/>
    <w:basedOn w:val="ListParagraphChar"/>
    <w:link w:val="PanelHeading"/>
    <w:rsid w:val="00685B66"/>
    <w:rPr>
      <w:rFonts w:asciiTheme="minorHAnsi" w:hAnsiTheme="minorHAnsi" w:cstheme="minorHAnsi"/>
      <w:b/>
      <w:sz w:val="24"/>
      <w:szCs w:val="24"/>
      <w:lang w:eastAsia="en-US"/>
    </w:rPr>
  </w:style>
  <w:style w:type="paragraph" w:customStyle="1" w:styleId="ReservesHeading">
    <w:name w:val="Reserves Heading"/>
    <w:basedOn w:val="Normal"/>
    <w:link w:val="ReservesHeadingChar"/>
    <w:qFormat/>
    <w:rsid w:val="008722B8"/>
    <w:pPr>
      <w:numPr>
        <w:numId w:val="7"/>
      </w:numPr>
      <w:spacing w:after="240" w:line="240" w:lineRule="auto"/>
      <w:ind w:left="567" w:hanging="567"/>
      <w:jc w:val="both"/>
    </w:pPr>
    <w:rPr>
      <w:rFonts w:eastAsia="Times New Roman" w:cs="Calibri"/>
      <w:b/>
      <w:bCs/>
      <w:sz w:val="24"/>
      <w:szCs w:val="24"/>
    </w:rPr>
  </w:style>
  <w:style w:type="paragraph" w:customStyle="1" w:styleId="ReservesBody">
    <w:name w:val="Reserves Body"/>
    <w:basedOn w:val="ReservesHeading"/>
    <w:link w:val="ReservesBodyChar"/>
    <w:qFormat/>
    <w:rsid w:val="008722B8"/>
    <w:pPr>
      <w:numPr>
        <w:ilvl w:val="1"/>
      </w:numPr>
      <w:ind w:left="567" w:hanging="567"/>
    </w:pPr>
    <w:rPr>
      <w:b w:val="0"/>
      <w:bCs w:val="0"/>
    </w:rPr>
  </w:style>
  <w:style w:type="character" w:customStyle="1" w:styleId="ReservesHeadingChar">
    <w:name w:val="Reserves Heading Char"/>
    <w:basedOn w:val="DefaultParagraphFont"/>
    <w:link w:val="ReservesHeading"/>
    <w:rsid w:val="008722B8"/>
    <w:rPr>
      <w:rFonts w:eastAsia="Times New Roman" w:cs="Calibri"/>
      <w:b/>
      <w:bCs/>
      <w:sz w:val="24"/>
      <w:szCs w:val="24"/>
      <w:lang w:eastAsia="en-US"/>
    </w:rPr>
  </w:style>
  <w:style w:type="paragraph" w:customStyle="1" w:styleId="Reservesbullet">
    <w:name w:val="Reserves bullet"/>
    <w:basedOn w:val="ReservesBody"/>
    <w:link w:val="ReservesbulletChar"/>
    <w:qFormat/>
    <w:rsid w:val="0075574D"/>
    <w:pPr>
      <w:numPr>
        <w:ilvl w:val="2"/>
      </w:numPr>
      <w:spacing w:after="120"/>
      <w:ind w:left="1077" w:hanging="357"/>
    </w:pPr>
  </w:style>
  <w:style w:type="character" w:customStyle="1" w:styleId="ReservesBodyChar">
    <w:name w:val="Reserves Body Char"/>
    <w:basedOn w:val="ReservesHeadingChar"/>
    <w:link w:val="ReservesBody"/>
    <w:rsid w:val="008722B8"/>
    <w:rPr>
      <w:rFonts w:eastAsia="Times New Roman" w:cs="Calibri"/>
      <w:b w:val="0"/>
      <w:bCs w:val="0"/>
      <w:sz w:val="24"/>
      <w:szCs w:val="24"/>
      <w:lang w:eastAsia="en-US"/>
    </w:rPr>
  </w:style>
  <w:style w:type="character" w:customStyle="1" w:styleId="ReservesbulletChar">
    <w:name w:val="Reserves bullet Char"/>
    <w:basedOn w:val="ReservesBodyChar"/>
    <w:link w:val="Reservesbullet"/>
    <w:rsid w:val="0075574D"/>
    <w:rPr>
      <w:rFonts w:eastAsia="Times New Roman" w:cs="Calibri"/>
      <w:b w:val="0"/>
      <w:bCs w:val="0"/>
      <w:sz w:val="24"/>
      <w:szCs w:val="24"/>
      <w:lang w:eastAsia="en-US"/>
    </w:rPr>
  </w:style>
  <w:style w:type="paragraph" w:customStyle="1" w:styleId="PanelBullet">
    <w:name w:val="Panel Bullet"/>
    <w:basedOn w:val="PanelPara"/>
    <w:link w:val="PanelBulletChar"/>
    <w:qFormat/>
    <w:rsid w:val="00640ACC"/>
    <w:pPr>
      <w:numPr>
        <w:ilvl w:val="2"/>
      </w:numPr>
      <w:spacing w:after="120"/>
    </w:pPr>
  </w:style>
  <w:style w:type="character" w:customStyle="1" w:styleId="PanelBulletChar">
    <w:name w:val="Panel Bullet Char"/>
    <w:basedOn w:val="PanelParaChar"/>
    <w:link w:val="PanelBullet"/>
    <w:rsid w:val="00640ACC"/>
    <w:rPr>
      <w:rFonts w:asciiTheme="minorHAnsi" w:hAnsiTheme="minorHAnsi" w:cstheme="minorHAnsi"/>
      <w:sz w:val="24"/>
      <w:szCs w:val="24"/>
      <w:lang w:eastAsia="en-US"/>
    </w:rPr>
  </w:style>
  <w:style w:type="paragraph" w:customStyle="1" w:styleId="PanelPara2">
    <w:name w:val="Panel Para 2"/>
    <w:basedOn w:val="PanelPara"/>
    <w:qFormat/>
    <w:rsid w:val="00FF6886"/>
    <w:pPr>
      <w:numPr>
        <w:numId w:val="0"/>
      </w:numPr>
      <w:ind w:left="1134"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7327">
      <w:bodyDiv w:val="1"/>
      <w:marLeft w:val="0"/>
      <w:marRight w:val="0"/>
      <w:marTop w:val="0"/>
      <w:marBottom w:val="0"/>
      <w:divBdr>
        <w:top w:val="none" w:sz="0" w:space="0" w:color="auto"/>
        <w:left w:val="none" w:sz="0" w:space="0" w:color="auto"/>
        <w:bottom w:val="none" w:sz="0" w:space="0" w:color="auto"/>
        <w:right w:val="none" w:sz="0" w:space="0" w:color="auto"/>
      </w:divBdr>
    </w:div>
    <w:div w:id="24602424">
      <w:bodyDiv w:val="1"/>
      <w:marLeft w:val="0"/>
      <w:marRight w:val="0"/>
      <w:marTop w:val="0"/>
      <w:marBottom w:val="0"/>
      <w:divBdr>
        <w:top w:val="none" w:sz="0" w:space="0" w:color="auto"/>
        <w:left w:val="none" w:sz="0" w:space="0" w:color="auto"/>
        <w:bottom w:val="none" w:sz="0" w:space="0" w:color="auto"/>
        <w:right w:val="none" w:sz="0" w:space="0" w:color="auto"/>
      </w:divBdr>
    </w:div>
    <w:div w:id="30233006">
      <w:bodyDiv w:val="1"/>
      <w:marLeft w:val="0"/>
      <w:marRight w:val="0"/>
      <w:marTop w:val="0"/>
      <w:marBottom w:val="0"/>
      <w:divBdr>
        <w:top w:val="none" w:sz="0" w:space="0" w:color="auto"/>
        <w:left w:val="none" w:sz="0" w:space="0" w:color="auto"/>
        <w:bottom w:val="none" w:sz="0" w:space="0" w:color="auto"/>
        <w:right w:val="none" w:sz="0" w:space="0" w:color="auto"/>
      </w:divBdr>
    </w:div>
    <w:div w:id="37821086">
      <w:bodyDiv w:val="1"/>
      <w:marLeft w:val="0"/>
      <w:marRight w:val="0"/>
      <w:marTop w:val="0"/>
      <w:marBottom w:val="0"/>
      <w:divBdr>
        <w:top w:val="none" w:sz="0" w:space="0" w:color="auto"/>
        <w:left w:val="none" w:sz="0" w:space="0" w:color="auto"/>
        <w:bottom w:val="none" w:sz="0" w:space="0" w:color="auto"/>
        <w:right w:val="none" w:sz="0" w:space="0" w:color="auto"/>
      </w:divBdr>
    </w:div>
    <w:div w:id="62681711">
      <w:bodyDiv w:val="1"/>
      <w:marLeft w:val="0"/>
      <w:marRight w:val="0"/>
      <w:marTop w:val="0"/>
      <w:marBottom w:val="0"/>
      <w:divBdr>
        <w:top w:val="none" w:sz="0" w:space="0" w:color="auto"/>
        <w:left w:val="none" w:sz="0" w:space="0" w:color="auto"/>
        <w:bottom w:val="none" w:sz="0" w:space="0" w:color="auto"/>
        <w:right w:val="none" w:sz="0" w:space="0" w:color="auto"/>
      </w:divBdr>
    </w:div>
    <w:div w:id="82651841">
      <w:bodyDiv w:val="1"/>
      <w:marLeft w:val="0"/>
      <w:marRight w:val="0"/>
      <w:marTop w:val="0"/>
      <w:marBottom w:val="0"/>
      <w:divBdr>
        <w:top w:val="none" w:sz="0" w:space="0" w:color="auto"/>
        <w:left w:val="none" w:sz="0" w:space="0" w:color="auto"/>
        <w:bottom w:val="none" w:sz="0" w:space="0" w:color="auto"/>
        <w:right w:val="none" w:sz="0" w:space="0" w:color="auto"/>
      </w:divBdr>
    </w:div>
    <w:div w:id="88433767">
      <w:bodyDiv w:val="1"/>
      <w:marLeft w:val="0"/>
      <w:marRight w:val="0"/>
      <w:marTop w:val="0"/>
      <w:marBottom w:val="0"/>
      <w:divBdr>
        <w:top w:val="none" w:sz="0" w:space="0" w:color="auto"/>
        <w:left w:val="none" w:sz="0" w:space="0" w:color="auto"/>
        <w:bottom w:val="none" w:sz="0" w:space="0" w:color="auto"/>
        <w:right w:val="none" w:sz="0" w:space="0" w:color="auto"/>
      </w:divBdr>
    </w:div>
    <w:div w:id="91174414">
      <w:bodyDiv w:val="1"/>
      <w:marLeft w:val="0"/>
      <w:marRight w:val="0"/>
      <w:marTop w:val="0"/>
      <w:marBottom w:val="0"/>
      <w:divBdr>
        <w:top w:val="none" w:sz="0" w:space="0" w:color="auto"/>
        <w:left w:val="none" w:sz="0" w:space="0" w:color="auto"/>
        <w:bottom w:val="none" w:sz="0" w:space="0" w:color="auto"/>
        <w:right w:val="none" w:sz="0" w:space="0" w:color="auto"/>
      </w:divBdr>
    </w:div>
    <w:div w:id="94982937">
      <w:bodyDiv w:val="1"/>
      <w:marLeft w:val="0"/>
      <w:marRight w:val="0"/>
      <w:marTop w:val="0"/>
      <w:marBottom w:val="0"/>
      <w:divBdr>
        <w:top w:val="none" w:sz="0" w:space="0" w:color="auto"/>
        <w:left w:val="none" w:sz="0" w:space="0" w:color="auto"/>
        <w:bottom w:val="none" w:sz="0" w:space="0" w:color="auto"/>
        <w:right w:val="none" w:sz="0" w:space="0" w:color="auto"/>
      </w:divBdr>
    </w:div>
    <w:div w:id="96142774">
      <w:bodyDiv w:val="1"/>
      <w:marLeft w:val="0"/>
      <w:marRight w:val="0"/>
      <w:marTop w:val="0"/>
      <w:marBottom w:val="0"/>
      <w:divBdr>
        <w:top w:val="none" w:sz="0" w:space="0" w:color="auto"/>
        <w:left w:val="none" w:sz="0" w:space="0" w:color="auto"/>
        <w:bottom w:val="none" w:sz="0" w:space="0" w:color="auto"/>
        <w:right w:val="none" w:sz="0" w:space="0" w:color="auto"/>
      </w:divBdr>
    </w:div>
    <w:div w:id="105933893">
      <w:bodyDiv w:val="1"/>
      <w:marLeft w:val="0"/>
      <w:marRight w:val="0"/>
      <w:marTop w:val="0"/>
      <w:marBottom w:val="0"/>
      <w:divBdr>
        <w:top w:val="none" w:sz="0" w:space="0" w:color="auto"/>
        <w:left w:val="none" w:sz="0" w:space="0" w:color="auto"/>
        <w:bottom w:val="none" w:sz="0" w:space="0" w:color="auto"/>
        <w:right w:val="none" w:sz="0" w:space="0" w:color="auto"/>
      </w:divBdr>
    </w:div>
    <w:div w:id="110824851">
      <w:bodyDiv w:val="1"/>
      <w:marLeft w:val="0"/>
      <w:marRight w:val="0"/>
      <w:marTop w:val="0"/>
      <w:marBottom w:val="0"/>
      <w:divBdr>
        <w:top w:val="none" w:sz="0" w:space="0" w:color="auto"/>
        <w:left w:val="none" w:sz="0" w:space="0" w:color="auto"/>
        <w:bottom w:val="none" w:sz="0" w:space="0" w:color="auto"/>
        <w:right w:val="none" w:sz="0" w:space="0" w:color="auto"/>
      </w:divBdr>
    </w:div>
    <w:div w:id="154610969">
      <w:bodyDiv w:val="1"/>
      <w:marLeft w:val="0"/>
      <w:marRight w:val="0"/>
      <w:marTop w:val="0"/>
      <w:marBottom w:val="0"/>
      <w:divBdr>
        <w:top w:val="none" w:sz="0" w:space="0" w:color="auto"/>
        <w:left w:val="none" w:sz="0" w:space="0" w:color="auto"/>
        <w:bottom w:val="none" w:sz="0" w:space="0" w:color="auto"/>
        <w:right w:val="none" w:sz="0" w:space="0" w:color="auto"/>
      </w:divBdr>
    </w:div>
    <w:div w:id="185019873">
      <w:bodyDiv w:val="1"/>
      <w:marLeft w:val="0"/>
      <w:marRight w:val="0"/>
      <w:marTop w:val="0"/>
      <w:marBottom w:val="0"/>
      <w:divBdr>
        <w:top w:val="none" w:sz="0" w:space="0" w:color="auto"/>
        <w:left w:val="none" w:sz="0" w:space="0" w:color="auto"/>
        <w:bottom w:val="none" w:sz="0" w:space="0" w:color="auto"/>
        <w:right w:val="none" w:sz="0" w:space="0" w:color="auto"/>
      </w:divBdr>
    </w:div>
    <w:div w:id="202376253">
      <w:bodyDiv w:val="1"/>
      <w:marLeft w:val="0"/>
      <w:marRight w:val="0"/>
      <w:marTop w:val="0"/>
      <w:marBottom w:val="0"/>
      <w:divBdr>
        <w:top w:val="none" w:sz="0" w:space="0" w:color="auto"/>
        <w:left w:val="none" w:sz="0" w:space="0" w:color="auto"/>
        <w:bottom w:val="none" w:sz="0" w:space="0" w:color="auto"/>
        <w:right w:val="none" w:sz="0" w:space="0" w:color="auto"/>
      </w:divBdr>
    </w:div>
    <w:div w:id="209194492">
      <w:bodyDiv w:val="1"/>
      <w:marLeft w:val="0"/>
      <w:marRight w:val="0"/>
      <w:marTop w:val="0"/>
      <w:marBottom w:val="0"/>
      <w:divBdr>
        <w:top w:val="none" w:sz="0" w:space="0" w:color="auto"/>
        <w:left w:val="none" w:sz="0" w:space="0" w:color="auto"/>
        <w:bottom w:val="none" w:sz="0" w:space="0" w:color="auto"/>
        <w:right w:val="none" w:sz="0" w:space="0" w:color="auto"/>
      </w:divBdr>
    </w:div>
    <w:div w:id="213658246">
      <w:bodyDiv w:val="1"/>
      <w:marLeft w:val="0"/>
      <w:marRight w:val="0"/>
      <w:marTop w:val="0"/>
      <w:marBottom w:val="0"/>
      <w:divBdr>
        <w:top w:val="none" w:sz="0" w:space="0" w:color="auto"/>
        <w:left w:val="none" w:sz="0" w:space="0" w:color="auto"/>
        <w:bottom w:val="none" w:sz="0" w:space="0" w:color="auto"/>
        <w:right w:val="none" w:sz="0" w:space="0" w:color="auto"/>
      </w:divBdr>
    </w:div>
    <w:div w:id="237713323">
      <w:bodyDiv w:val="1"/>
      <w:marLeft w:val="0"/>
      <w:marRight w:val="0"/>
      <w:marTop w:val="0"/>
      <w:marBottom w:val="0"/>
      <w:divBdr>
        <w:top w:val="none" w:sz="0" w:space="0" w:color="auto"/>
        <w:left w:val="none" w:sz="0" w:space="0" w:color="auto"/>
        <w:bottom w:val="none" w:sz="0" w:space="0" w:color="auto"/>
        <w:right w:val="none" w:sz="0" w:space="0" w:color="auto"/>
      </w:divBdr>
    </w:div>
    <w:div w:id="250431114">
      <w:bodyDiv w:val="1"/>
      <w:marLeft w:val="0"/>
      <w:marRight w:val="0"/>
      <w:marTop w:val="0"/>
      <w:marBottom w:val="0"/>
      <w:divBdr>
        <w:top w:val="none" w:sz="0" w:space="0" w:color="auto"/>
        <w:left w:val="none" w:sz="0" w:space="0" w:color="auto"/>
        <w:bottom w:val="none" w:sz="0" w:space="0" w:color="auto"/>
        <w:right w:val="none" w:sz="0" w:space="0" w:color="auto"/>
      </w:divBdr>
    </w:div>
    <w:div w:id="265307284">
      <w:bodyDiv w:val="1"/>
      <w:marLeft w:val="0"/>
      <w:marRight w:val="0"/>
      <w:marTop w:val="0"/>
      <w:marBottom w:val="0"/>
      <w:divBdr>
        <w:top w:val="none" w:sz="0" w:space="0" w:color="auto"/>
        <w:left w:val="none" w:sz="0" w:space="0" w:color="auto"/>
        <w:bottom w:val="none" w:sz="0" w:space="0" w:color="auto"/>
        <w:right w:val="none" w:sz="0" w:space="0" w:color="auto"/>
      </w:divBdr>
    </w:div>
    <w:div w:id="267785233">
      <w:bodyDiv w:val="1"/>
      <w:marLeft w:val="0"/>
      <w:marRight w:val="0"/>
      <w:marTop w:val="0"/>
      <w:marBottom w:val="0"/>
      <w:divBdr>
        <w:top w:val="none" w:sz="0" w:space="0" w:color="auto"/>
        <w:left w:val="none" w:sz="0" w:space="0" w:color="auto"/>
        <w:bottom w:val="none" w:sz="0" w:space="0" w:color="auto"/>
        <w:right w:val="none" w:sz="0" w:space="0" w:color="auto"/>
      </w:divBdr>
    </w:div>
    <w:div w:id="276564186">
      <w:bodyDiv w:val="1"/>
      <w:marLeft w:val="0"/>
      <w:marRight w:val="0"/>
      <w:marTop w:val="0"/>
      <w:marBottom w:val="0"/>
      <w:divBdr>
        <w:top w:val="none" w:sz="0" w:space="0" w:color="auto"/>
        <w:left w:val="none" w:sz="0" w:space="0" w:color="auto"/>
        <w:bottom w:val="none" w:sz="0" w:space="0" w:color="auto"/>
        <w:right w:val="none" w:sz="0" w:space="0" w:color="auto"/>
      </w:divBdr>
    </w:div>
    <w:div w:id="328560845">
      <w:bodyDiv w:val="1"/>
      <w:marLeft w:val="0"/>
      <w:marRight w:val="0"/>
      <w:marTop w:val="0"/>
      <w:marBottom w:val="0"/>
      <w:divBdr>
        <w:top w:val="none" w:sz="0" w:space="0" w:color="auto"/>
        <w:left w:val="none" w:sz="0" w:space="0" w:color="auto"/>
        <w:bottom w:val="none" w:sz="0" w:space="0" w:color="auto"/>
        <w:right w:val="none" w:sz="0" w:space="0" w:color="auto"/>
      </w:divBdr>
    </w:div>
    <w:div w:id="330109161">
      <w:bodyDiv w:val="1"/>
      <w:marLeft w:val="0"/>
      <w:marRight w:val="0"/>
      <w:marTop w:val="0"/>
      <w:marBottom w:val="0"/>
      <w:divBdr>
        <w:top w:val="none" w:sz="0" w:space="0" w:color="auto"/>
        <w:left w:val="none" w:sz="0" w:space="0" w:color="auto"/>
        <w:bottom w:val="none" w:sz="0" w:space="0" w:color="auto"/>
        <w:right w:val="none" w:sz="0" w:space="0" w:color="auto"/>
      </w:divBdr>
    </w:div>
    <w:div w:id="339477247">
      <w:bodyDiv w:val="1"/>
      <w:marLeft w:val="0"/>
      <w:marRight w:val="0"/>
      <w:marTop w:val="0"/>
      <w:marBottom w:val="0"/>
      <w:divBdr>
        <w:top w:val="none" w:sz="0" w:space="0" w:color="auto"/>
        <w:left w:val="none" w:sz="0" w:space="0" w:color="auto"/>
        <w:bottom w:val="none" w:sz="0" w:space="0" w:color="auto"/>
        <w:right w:val="none" w:sz="0" w:space="0" w:color="auto"/>
      </w:divBdr>
    </w:div>
    <w:div w:id="374040585">
      <w:bodyDiv w:val="1"/>
      <w:marLeft w:val="0"/>
      <w:marRight w:val="0"/>
      <w:marTop w:val="0"/>
      <w:marBottom w:val="0"/>
      <w:divBdr>
        <w:top w:val="none" w:sz="0" w:space="0" w:color="auto"/>
        <w:left w:val="none" w:sz="0" w:space="0" w:color="auto"/>
        <w:bottom w:val="none" w:sz="0" w:space="0" w:color="auto"/>
        <w:right w:val="none" w:sz="0" w:space="0" w:color="auto"/>
      </w:divBdr>
    </w:div>
    <w:div w:id="375157011">
      <w:bodyDiv w:val="1"/>
      <w:marLeft w:val="0"/>
      <w:marRight w:val="0"/>
      <w:marTop w:val="0"/>
      <w:marBottom w:val="0"/>
      <w:divBdr>
        <w:top w:val="none" w:sz="0" w:space="0" w:color="auto"/>
        <w:left w:val="none" w:sz="0" w:space="0" w:color="auto"/>
        <w:bottom w:val="none" w:sz="0" w:space="0" w:color="auto"/>
        <w:right w:val="none" w:sz="0" w:space="0" w:color="auto"/>
      </w:divBdr>
    </w:div>
    <w:div w:id="382141448">
      <w:bodyDiv w:val="1"/>
      <w:marLeft w:val="0"/>
      <w:marRight w:val="0"/>
      <w:marTop w:val="0"/>
      <w:marBottom w:val="0"/>
      <w:divBdr>
        <w:top w:val="none" w:sz="0" w:space="0" w:color="auto"/>
        <w:left w:val="none" w:sz="0" w:space="0" w:color="auto"/>
        <w:bottom w:val="none" w:sz="0" w:space="0" w:color="auto"/>
        <w:right w:val="none" w:sz="0" w:space="0" w:color="auto"/>
      </w:divBdr>
    </w:div>
    <w:div w:id="391125181">
      <w:bodyDiv w:val="1"/>
      <w:marLeft w:val="0"/>
      <w:marRight w:val="0"/>
      <w:marTop w:val="0"/>
      <w:marBottom w:val="0"/>
      <w:divBdr>
        <w:top w:val="none" w:sz="0" w:space="0" w:color="auto"/>
        <w:left w:val="none" w:sz="0" w:space="0" w:color="auto"/>
        <w:bottom w:val="none" w:sz="0" w:space="0" w:color="auto"/>
        <w:right w:val="none" w:sz="0" w:space="0" w:color="auto"/>
      </w:divBdr>
    </w:div>
    <w:div w:id="402290788">
      <w:bodyDiv w:val="1"/>
      <w:marLeft w:val="0"/>
      <w:marRight w:val="0"/>
      <w:marTop w:val="0"/>
      <w:marBottom w:val="0"/>
      <w:divBdr>
        <w:top w:val="none" w:sz="0" w:space="0" w:color="auto"/>
        <w:left w:val="none" w:sz="0" w:space="0" w:color="auto"/>
        <w:bottom w:val="none" w:sz="0" w:space="0" w:color="auto"/>
        <w:right w:val="none" w:sz="0" w:space="0" w:color="auto"/>
      </w:divBdr>
    </w:div>
    <w:div w:id="406222546">
      <w:marLeft w:val="0"/>
      <w:marRight w:val="0"/>
      <w:marTop w:val="0"/>
      <w:marBottom w:val="0"/>
      <w:divBdr>
        <w:top w:val="none" w:sz="0" w:space="0" w:color="auto"/>
        <w:left w:val="none" w:sz="0" w:space="0" w:color="auto"/>
        <w:bottom w:val="none" w:sz="0" w:space="0" w:color="auto"/>
        <w:right w:val="none" w:sz="0" w:space="0" w:color="auto"/>
      </w:divBdr>
    </w:div>
    <w:div w:id="406222547">
      <w:marLeft w:val="0"/>
      <w:marRight w:val="0"/>
      <w:marTop w:val="0"/>
      <w:marBottom w:val="0"/>
      <w:divBdr>
        <w:top w:val="none" w:sz="0" w:space="0" w:color="auto"/>
        <w:left w:val="none" w:sz="0" w:space="0" w:color="auto"/>
        <w:bottom w:val="none" w:sz="0" w:space="0" w:color="auto"/>
        <w:right w:val="none" w:sz="0" w:space="0" w:color="auto"/>
      </w:divBdr>
    </w:div>
    <w:div w:id="406222549">
      <w:marLeft w:val="0"/>
      <w:marRight w:val="0"/>
      <w:marTop w:val="0"/>
      <w:marBottom w:val="0"/>
      <w:divBdr>
        <w:top w:val="none" w:sz="0" w:space="0" w:color="auto"/>
        <w:left w:val="none" w:sz="0" w:space="0" w:color="auto"/>
        <w:bottom w:val="none" w:sz="0" w:space="0" w:color="auto"/>
        <w:right w:val="none" w:sz="0" w:space="0" w:color="auto"/>
      </w:divBdr>
      <w:divsChild>
        <w:div w:id="406222548">
          <w:marLeft w:val="0"/>
          <w:marRight w:val="0"/>
          <w:marTop w:val="0"/>
          <w:marBottom w:val="0"/>
          <w:divBdr>
            <w:top w:val="none" w:sz="0" w:space="0" w:color="auto"/>
            <w:left w:val="none" w:sz="0" w:space="0" w:color="auto"/>
            <w:bottom w:val="none" w:sz="0" w:space="0" w:color="auto"/>
            <w:right w:val="none" w:sz="0" w:space="0" w:color="auto"/>
          </w:divBdr>
        </w:div>
      </w:divsChild>
    </w:div>
    <w:div w:id="456459977">
      <w:bodyDiv w:val="1"/>
      <w:marLeft w:val="0"/>
      <w:marRight w:val="0"/>
      <w:marTop w:val="0"/>
      <w:marBottom w:val="0"/>
      <w:divBdr>
        <w:top w:val="none" w:sz="0" w:space="0" w:color="auto"/>
        <w:left w:val="none" w:sz="0" w:space="0" w:color="auto"/>
        <w:bottom w:val="none" w:sz="0" w:space="0" w:color="auto"/>
        <w:right w:val="none" w:sz="0" w:space="0" w:color="auto"/>
      </w:divBdr>
    </w:div>
    <w:div w:id="478302141">
      <w:bodyDiv w:val="1"/>
      <w:marLeft w:val="0"/>
      <w:marRight w:val="0"/>
      <w:marTop w:val="0"/>
      <w:marBottom w:val="0"/>
      <w:divBdr>
        <w:top w:val="none" w:sz="0" w:space="0" w:color="auto"/>
        <w:left w:val="none" w:sz="0" w:space="0" w:color="auto"/>
        <w:bottom w:val="none" w:sz="0" w:space="0" w:color="auto"/>
        <w:right w:val="none" w:sz="0" w:space="0" w:color="auto"/>
      </w:divBdr>
    </w:div>
    <w:div w:id="480973471">
      <w:bodyDiv w:val="1"/>
      <w:marLeft w:val="0"/>
      <w:marRight w:val="0"/>
      <w:marTop w:val="0"/>
      <w:marBottom w:val="0"/>
      <w:divBdr>
        <w:top w:val="none" w:sz="0" w:space="0" w:color="auto"/>
        <w:left w:val="none" w:sz="0" w:space="0" w:color="auto"/>
        <w:bottom w:val="none" w:sz="0" w:space="0" w:color="auto"/>
        <w:right w:val="none" w:sz="0" w:space="0" w:color="auto"/>
      </w:divBdr>
    </w:div>
    <w:div w:id="515264879">
      <w:bodyDiv w:val="1"/>
      <w:marLeft w:val="0"/>
      <w:marRight w:val="0"/>
      <w:marTop w:val="0"/>
      <w:marBottom w:val="0"/>
      <w:divBdr>
        <w:top w:val="none" w:sz="0" w:space="0" w:color="auto"/>
        <w:left w:val="none" w:sz="0" w:space="0" w:color="auto"/>
        <w:bottom w:val="none" w:sz="0" w:space="0" w:color="auto"/>
        <w:right w:val="none" w:sz="0" w:space="0" w:color="auto"/>
      </w:divBdr>
    </w:div>
    <w:div w:id="516969295">
      <w:bodyDiv w:val="1"/>
      <w:marLeft w:val="0"/>
      <w:marRight w:val="0"/>
      <w:marTop w:val="0"/>
      <w:marBottom w:val="0"/>
      <w:divBdr>
        <w:top w:val="none" w:sz="0" w:space="0" w:color="auto"/>
        <w:left w:val="none" w:sz="0" w:space="0" w:color="auto"/>
        <w:bottom w:val="none" w:sz="0" w:space="0" w:color="auto"/>
        <w:right w:val="none" w:sz="0" w:space="0" w:color="auto"/>
      </w:divBdr>
    </w:div>
    <w:div w:id="543716966">
      <w:bodyDiv w:val="1"/>
      <w:marLeft w:val="0"/>
      <w:marRight w:val="0"/>
      <w:marTop w:val="0"/>
      <w:marBottom w:val="0"/>
      <w:divBdr>
        <w:top w:val="none" w:sz="0" w:space="0" w:color="auto"/>
        <w:left w:val="none" w:sz="0" w:space="0" w:color="auto"/>
        <w:bottom w:val="none" w:sz="0" w:space="0" w:color="auto"/>
        <w:right w:val="none" w:sz="0" w:space="0" w:color="auto"/>
      </w:divBdr>
    </w:div>
    <w:div w:id="551579603">
      <w:bodyDiv w:val="1"/>
      <w:marLeft w:val="0"/>
      <w:marRight w:val="0"/>
      <w:marTop w:val="0"/>
      <w:marBottom w:val="0"/>
      <w:divBdr>
        <w:top w:val="none" w:sz="0" w:space="0" w:color="auto"/>
        <w:left w:val="none" w:sz="0" w:space="0" w:color="auto"/>
        <w:bottom w:val="none" w:sz="0" w:space="0" w:color="auto"/>
        <w:right w:val="none" w:sz="0" w:space="0" w:color="auto"/>
      </w:divBdr>
    </w:div>
    <w:div w:id="555630097">
      <w:bodyDiv w:val="1"/>
      <w:marLeft w:val="0"/>
      <w:marRight w:val="0"/>
      <w:marTop w:val="0"/>
      <w:marBottom w:val="0"/>
      <w:divBdr>
        <w:top w:val="none" w:sz="0" w:space="0" w:color="auto"/>
        <w:left w:val="none" w:sz="0" w:space="0" w:color="auto"/>
        <w:bottom w:val="none" w:sz="0" w:space="0" w:color="auto"/>
        <w:right w:val="none" w:sz="0" w:space="0" w:color="auto"/>
      </w:divBdr>
    </w:div>
    <w:div w:id="585965054">
      <w:bodyDiv w:val="1"/>
      <w:marLeft w:val="0"/>
      <w:marRight w:val="0"/>
      <w:marTop w:val="0"/>
      <w:marBottom w:val="0"/>
      <w:divBdr>
        <w:top w:val="none" w:sz="0" w:space="0" w:color="auto"/>
        <w:left w:val="none" w:sz="0" w:space="0" w:color="auto"/>
        <w:bottom w:val="none" w:sz="0" w:space="0" w:color="auto"/>
        <w:right w:val="none" w:sz="0" w:space="0" w:color="auto"/>
      </w:divBdr>
    </w:div>
    <w:div w:id="644091303">
      <w:bodyDiv w:val="1"/>
      <w:marLeft w:val="0"/>
      <w:marRight w:val="0"/>
      <w:marTop w:val="0"/>
      <w:marBottom w:val="0"/>
      <w:divBdr>
        <w:top w:val="none" w:sz="0" w:space="0" w:color="auto"/>
        <w:left w:val="none" w:sz="0" w:space="0" w:color="auto"/>
        <w:bottom w:val="none" w:sz="0" w:space="0" w:color="auto"/>
        <w:right w:val="none" w:sz="0" w:space="0" w:color="auto"/>
      </w:divBdr>
    </w:div>
    <w:div w:id="656760672">
      <w:bodyDiv w:val="1"/>
      <w:marLeft w:val="0"/>
      <w:marRight w:val="0"/>
      <w:marTop w:val="0"/>
      <w:marBottom w:val="0"/>
      <w:divBdr>
        <w:top w:val="none" w:sz="0" w:space="0" w:color="auto"/>
        <w:left w:val="none" w:sz="0" w:space="0" w:color="auto"/>
        <w:bottom w:val="none" w:sz="0" w:space="0" w:color="auto"/>
        <w:right w:val="none" w:sz="0" w:space="0" w:color="auto"/>
      </w:divBdr>
    </w:div>
    <w:div w:id="701594699">
      <w:bodyDiv w:val="1"/>
      <w:marLeft w:val="0"/>
      <w:marRight w:val="0"/>
      <w:marTop w:val="0"/>
      <w:marBottom w:val="0"/>
      <w:divBdr>
        <w:top w:val="none" w:sz="0" w:space="0" w:color="auto"/>
        <w:left w:val="none" w:sz="0" w:space="0" w:color="auto"/>
        <w:bottom w:val="none" w:sz="0" w:space="0" w:color="auto"/>
        <w:right w:val="none" w:sz="0" w:space="0" w:color="auto"/>
      </w:divBdr>
    </w:div>
    <w:div w:id="740174890">
      <w:bodyDiv w:val="1"/>
      <w:marLeft w:val="0"/>
      <w:marRight w:val="0"/>
      <w:marTop w:val="0"/>
      <w:marBottom w:val="0"/>
      <w:divBdr>
        <w:top w:val="none" w:sz="0" w:space="0" w:color="auto"/>
        <w:left w:val="none" w:sz="0" w:space="0" w:color="auto"/>
        <w:bottom w:val="none" w:sz="0" w:space="0" w:color="auto"/>
        <w:right w:val="none" w:sz="0" w:space="0" w:color="auto"/>
      </w:divBdr>
    </w:div>
    <w:div w:id="748771688">
      <w:bodyDiv w:val="1"/>
      <w:marLeft w:val="0"/>
      <w:marRight w:val="0"/>
      <w:marTop w:val="0"/>
      <w:marBottom w:val="0"/>
      <w:divBdr>
        <w:top w:val="none" w:sz="0" w:space="0" w:color="auto"/>
        <w:left w:val="none" w:sz="0" w:space="0" w:color="auto"/>
        <w:bottom w:val="none" w:sz="0" w:space="0" w:color="auto"/>
        <w:right w:val="none" w:sz="0" w:space="0" w:color="auto"/>
      </w:divBdr>
    </w:div>
    <w:div w:id="793406257">
      <w:bodyDiv w:val="1"/>
      <w:marLeft w:val="0"/>
      <w:marRight w:val="0"/>
      <w:marTop w:val="0"/>
      <w:marBottom w:val="0"/>
      <w:divBdr>
        <w:top w:val="none" w:sz="0" w:space="0" w:color="auto"/>
        <w:left w:val="none" w:sz="0" w:space="0" w:color="auto"/>
        <w:bottom w:val="none" w:sz="0" w:space="0" w:color="auto"/>
        <w:right w:val="none" w:sz="0" w:space="0" w:color="auto"/>
      </w:divBdr>
    </w:div>
    <w:div w:id="801583269">
      <w:bodyDiv w:val="1"/>
      <w:marLeft w:val="0"/>
      <w:marRight w:val="0"/>
      <w:marTop w:val="0"/>
      <w:marBottom w:val="0"/>
      <w:divBdr>
        <w:top w:val="none" w:sz="0" w:space="0" w:color="auto"/>
        <w:left w:val="none" w:sz="0" w:space="0" w:color="auto"/>
        <w:bottom w:val="none" w:sz="0" w:space="0" w:color="auto"/>
        <w:right w:val="none" w:sz="0" w:space="0" w:color="auto"/>
      </w:divBdr>
    </w:div>
    <w:div w:id="849874349">
      <w:bodyDiv w:val="1"/>
      <w:marLeft w:val="0"/>
      <w:marRight w:val="0"/>
      <w:marTop w:val="0"/>
      <w:marBottom w:val="0"/>
      <w:divBdr>
        <w:top w:val="none" w:sz="0" w:space="0" w:color="auto"/>
        <w:left w:val="none" w:sz="0" w:space="0" w:color="auto"/>
        <w:bottom w:val="none" w:sz="0" w:space="0" w:color="auto"/>
        <w:right w:val="none" w:sz="0" w:space="0" w:color="auto"/>
      </w:divBdr>
    </w:div>
    <w:div w:id="876508509">
      <w:bodyDiv w:val="1"/>
      <w:marLeft w:val="0"/>
      <w:marRight w:val="0"/>
      <w:marTop w:val="0"/>
      <w:marBottom w:val="0"/>
      <w:divBdr>
        <w:top w:val="none" w:sz="0" w:space="0" w:color="auto"/>
        <w:left w:val="none" w:sz="0" w:space="0" w:color="auto"/>
        <w:bottom w:val="none" w:sz="0" w:space="0" w:color="auto"/>
        <w:right w:val="none" w:sz="0" w:space="0" w:color="auto"/>
      </w:divBdr>
    </w:div>
    <w:div w:id="878401470">
      <w:bodyDiv w:val="1"/>
      <w:marLeft w:val="0"/>
      <w:marRight w:val="0"/>
      <w:marTop w:val="0"/>
      <w:marBottom w:val="0"/>
      <w:divBdr>
        <w:top w:val="none" w:sz="0" w:space="0" w:color="auto"/>
        <w:left w:val="none" w:sz="0" w:space="0" w:color="auto"/>
        <w:bottom w:val="none" w:sz="0" w:space="0" w:color="auto"/>
        <w:right w:val="none" w:sz="0" w:space="0" w:color="auto"/>
      </w:divBdr>
    </w:div>
    <w:div w:id="923106852">
      <w:bodyDiv w:val="1"/>
      <w:marLeft w:val="0"/>
      <w:marRight w:val="0"/>
      <w:marTop w:val="0"/>
      <w:marBottom w:val="0"/>
      <w:divBdr>
        <w:top w:val="none" w:sz="0" w:space="0" w:color="auto"/>
        <w:left w:val="none" w:sz="0" w:space="0" w:color="auto"/>
        <w:bottom w:val="none" w:sz="0" w:space="0" w:color="auto"/>
        <w:right w:val="none" w:sz="0" w:space="0" w:color="auto"/>
      </w:divBdr>
    </w:div>
    <w:div w:id="981084011">
      <w:bodyDiv w:val="1"/>
      <w:marLeft w:val="0"/>
      <w:marRight w:val="0"/>
      <w:marTop w:val="0"/>
      <w:marBottom w:val="0"/>
      <w:divBdr>
        <w:top w:val="none" w:sz="0" w:space="0" w:color="auto"/>
        <w:left w:val="none" w:sz="0" w:space="0" w:color="auto"/>
        <w:bottom w:val="none" w:sz="0" w:space="0" w:color="auto"/>
        <w:right w:val="none" w:sz="0" w:space="0" w:color="auto"/>
      </w:divBdr>
    </w:div>
    <w:div w:id="994332232">
      <w:bodyDiv w:val="1"/>
      <w:marLeft w:val="0"/>
      <w:marRight w:val="0"/>
      <w:marTop w:val="0"/>
      <w:marBottom w:val="0"/>
      <w:divBdr>
        <w:top w:val="none" w:sz="0" w:space="0" w:color="auto"/>
        <w:left w:val="none" w:sz="0" w:space="0" w:color="auto"/>
        <w:bottom w:val="none" w:sz="0" w:space="0" w:color="auto"/>
        <w:right w:val="none" w:sz="0" w:space="0" w:color="auto"/>
      </w:divBdr>
    </w:div>
    <w:div w:id="1057319249">
      <w:bodyDiv w:val="1"/>
      <w:marLeft w:val="0"/>
      <w:marRight w:val="0"/>
      <w:marTop w:val="0"/>
      <w:marBottom w:val="0"/>
      <w:divBdr>
        <w:top w:val="none" w:sz="0" w:space="0" w:color="auto"/>
        <w:left w:val="none" w:sz="0" w:space="0" w:color="auto"/>
        <w:bottom w:val="none" w:sz="0" w:space="0" w:color="auto"/>
        <w:right w:val="none" w:sz="0" w:space="0" w:color="auto"/>
      </w:divBdr>
    </w:div>
    <w:div w:id="1059478166">
      <w:bodyDiv w:val="1"/>
      <w:marLeft w:val="0"/>
      <w:marRight w:val="0"/>
      <w:marTop w:val="0"/>
      <w:marBottom w:val="0"/>
      <w:divBdr>
        <w:top w:val="none" w:sz="0" w:space="0" w:color="auto"/>
        <w:left w:val="none" w:sz="0" w:space="0" w:color="auto"/>
        <w:bottom w:val="none" w:sz="0" w:space="0" w:color="auto"/>
        <w:right w:val="none" w:sz="0" w:space="0" w:color="auto"/>
      </w:divBdr>
    </w:div>
    <w:div w:id="1066612931">
      <w:bodyDiv w:val="1"/>
      <w:marLeft w:val="0"/>
      <w:marRight w:val="0"/>
      <w:marTop w:val="0"/>
      <w:marBottom w:val="0"/>
      <w:divBdr>
        <w:top w:val="none" w:sz="0" w:space="0" w:color="auto"/>
        <w:left w:val="none" w:sz="0" w:space="0" w:color="auto"/>
        <w:bottom w:val="none" w:sz="0" w:space="0" w:color="auto"/>
        <w:right w:val="none" w:sz="0" w:space="0" w:color="auto"/>
      </w:divBdr>
    </w:div>
    <w:div w:id="1069963515">
      <w:bodyDiv w:val="1"/>
      <w:marLeft w:val="0"/>
      <w:marRight w:val="0"/>
      <w:marTop w:val="0"/>
      <w:marBottom w:val="0"/>
      <w:divBdr>
        <w:top w:val="none" w:sz="0" w:space="0" w:color="auto"/>
        <w:left w:val="none" w:sz="0" w:space="0" w:color="auto"/>
        <w:bottom w:val="none" w:sz="0" w:space="0" w:color="auto"/>
        <w:right w:val="none" w:sz="0" w:space="0" w:color="auto"/>
      </w:divBdr>
    </w:div>
    <w:div w:id="1106533622">
      <w:bodyDiv w:val="1"/>
      <w:marLeft w:val="0"/>
      <w:marRight w:val="0"/>
      <w:marTop w:val="0"/>
      <w:marBottom w:val="0"/>
      <w:divBdr>
        <w:top w:val="none" w:sz="0" w:space="0" w:color="auto"/>
        <w:left w:val="none" w:sz="0" w:space="0" w:color="auto"/>
        <w:bottom w:val="none" w:sz="0" w:space="0" w:color="auto"/>
        <w:right w:val="none" w:sz="0" w:space="0" w:color="auto"/>
      </w:divBdr>
    </w:div>
    <w:div w:id="1164126555">
      <w:bodyDiv w:val="1"/>
      <w:marLeft w:val="0"/>
      <w:marRight w:val="0"/>
      <w:marTop w:val="0"/>
      <w:marBottom w:val="0"/>
      <w:divBdr>
        <w:top w:val="none" w:sz="0" w:space="0" w:color="auto"/>
        <w:left w:val="none" w:sz="0" w:space="0" w:color="auto"/>
        <w:bottom w:val="none" w:sz="0" w:space="0" w:color="auto"/>
        <w:right w:val="none" w:sz="0" w:space="0" w:color="auto"/>
      </w:divBdr>
    </w:div>
    <w:div w:id="1205872412">
      <w:bodyDiv w:val="1"/>
      <w:marLeft w:val="0"/>
      <w:marRight w:val="0"/>
      <w:marTop w:val="0"/>
      <w:marBottom w:val="0"/>
      <w:divBdr>
        <w:top w:val="none" w:sz="0" w:space="0" w:color="auto"/>
        <w:left w:val="none" w:sz="0" w:space="0" w:color="auto"/>
        <w:bottom w:val="none" w:sz="0" w:space="0" w:color="auto"/>
        <w:right w:val="none" w:sz="0" w:space="0" w:color="auto"/>
      </w:divBdr>
    </w:div>
    <w:div w:id="1212351138">
      <w:bodyDiv w:val="1"/>
      <w:marLeft w:val="0"/>
      <w:marRight w:val="0"/>
      <w:marTop w:val="0"/>
      <w:marBottom w:val="0"/>
      <w:divBdr>
        <w:top w:val="none" w:sz="0" w:space="0" w:color="auto"/>
        <w:left w:val="none" w:sz="0" w:space="0" w:color="auto"/>
        <w:bottom w:val="none" w:sz="0" w:space="0" w:color="auto"/>
        <w:right w:val="none" w:sz="0" w:space="0" w:color="auto"/>
      </w:divBdr>
    </w:div>
    <w:div w:id="1215000469">
      <w:bodyDiv w:val="1"/>
      <w:marLeft w:val="0"/>
      <w:marRight w:val="0"/>
      <w:marTop w:val="0"/>
      <w:marBottom w:val="0"/>
      <w:divBdr>
        <w:top w:val="none" w:sz="0" w:space="0" w:color="auto"/>
        <w:left w:val="none" w:sz="0" w:space="0" w:color="auto"/>
        <w:bottom w:val="none" w:sz="0" w:space="0" w:color="auto"/>
        <w:right w:val="none" w:sz="0" w:space="0" w:color="auto"/>
      </w:divBdr>
    </w:div>
    <w:div w:id="1228767072">
      <w:bodyDiv w:val="1"/>
      <w:marLeft w:val="0"/>
      <w:marRight w:val="0"/>
      <w:marTop w:val="0"/>
      <w:marBottom w:val="0"/>
      <w:divBdr>
        <w:top w:val="none" w:sz="0" w:space="0" w:color="auto"/>
        <w:left w:val="none" w:sz="0" w:space="0" w:color="auto"/>
        <w:bottom w:val="none" w:sz="0" w:space="0" w:color="auto"/>
        <w:right w:val="none" w:sz="0" w:space="0" w:color="auto"/>
      </w:divBdr>
    </w:div>
    <w:div w:id="1243683817">
      <w:bodyDiv w:val="1"/>
      <w:marLeft w:val="0"/>
      <w:marRight w:val="0"/>
      <w:marTop w:val="0"/>
      <w:marBottom w:val="0"/>
      <w:divBdr>
        <w:top w:val="none" w:sz="0" w:space="0" w:color="auto"/>
        <w:left w:val="none" w:sz="0" w:space="0" w:color="auto"/>
        <w:bottom w:val="none" w:sz="0" w:space="0" w:color="auto"/>
        <w:right w:val="none" w:sz="0" w:space="0" w:color="auto"/>
      </w:divBdr>
    </w:div>
    <w:div w:id="1294363130">
      <w:bodyDiv w:val="1"/>
      <w:marLeft w:val="0"/>
      <w:marRight w:val="0"/>
      <w:marTop w:val="0"/>
      <w:marBottom w:val="0"/>
      <w:divBdr>
        <w:top w:val="none" w:sz="0" w:space="0" w:color="auto"/>
        <w:left w:val="none" w:sz="0" w:space="0" w:color="auto"/>
        <w:bottom w:val="none" w:sz="0" w:space="0" w:color="auto"/>
        <w:right w:val="none" w:sz="0" w:space="0" w:color="auto"/>
      </w:divBdr>
    </w:div>
    <w:div w:id="1304041036">
      <w:bodyDiv w:val="1"/>
      <w:marLeft w:val="0"/>
      <w:marRight w:val="0"/>
      <w:marTop w:val="0"/>
      <w:marBottom w:val="0"/>
      <w:divBdr>
        <w:top w:val="none" w:sz="0" w:space="0" w:color="auto"/>
        <w:left w:val="none" w:sz="0" w:space="0" w:color="auto"/>
        <w:bottom w:val="none" w:sz="0" w:space="0" w:color="auto"/>
        <w:right w:val="none" w:sz="0" w:space="0" w:color="auto"/>
      </w:divBdr>
    </w:div>
    <w:div w:id="1314142659">
      <w:bodyDiv w:val="1"/>
      <w:marLeft w:val="0"/>
      <w:marRight w:val="0"/>
      <w:marTop w:val="0"/>
      <w:marBottom w:val="0"/>
      <w:divBdr>
        <w:top w:val="none" w:sz="0" w:space="0" w:color="auto"/>
        <w:left w:val="none" w:sz="0" w:space="0" w:color="auto"/>
        <w:bottom w:val="none" w:sz="0" w:space="0" w:color="auto"/>
        <w:right w:val="none" w:sz="0" w:space="0" w:color="auto"/>
      </w:divBdr>
    </w:div>
    <w:div w:id="1332374942">
      <w:bodyDiv w:val="1"/>
      <w:marLeft w:val="0"/>
      <w:marRight w:val="0"/>
      <w:marTop w:val="0"/>
      <w:marBottom w:val="0"/>
      <w:divBdr>
        <w:top w:val="none" w:sz="0" w:space="0" w:color="auto"/>
        <w:left w:val="none" w:sz="0" w:space="0" w:color="auto"/>
        <w:bottom w:val="none" w:sz="0" w:space="0" w:color="auto"/>
        <w:right w:val="none" w:sz="0" w:space="0" w:color="auto"/>
      </w:divBdr>
    </w:div>
    <w:div w:id="1378120466">
      <w:bodyDiv w:val="1"/>
      <w:marLeft w:val="0"/>
      <w:marRight w:val="0"/>
      <w:marTop w:val="0"/>
      <w:marBottom w:val="0"/>
      <w:divBdr>
        <w:top w:val="none" w:sz="0" w:space="0" w:color="auto"/>
        <w:left w:val="none" w:sz="0" w:space="0" w:color="auto"/>
        <w:bottom w:val="none" w:sz="0" w:space="0" w:color="auto"/>
        <w:right w:val="none" w:sz="0" w:space="0" w:color="auto"/>
      </w:divBdr>
    </w:div>
    <w:div w:id="1414201979">
      <w:bodyDiv w:val="1"/>
      <w:marLeft w:val="0"/>
      <w:marRight w:val="0"/>
      <w:marTop w:val="0"/>
      <w:marBottom w:val="0"/>
      <w:divBdr>
        <w:top w:val="none" w:sz="0" w:space="0" w:color="auto"/>
        <w:left w:val="none" w:sz="0" w:space="0" w:color="auto"/>
        <w:bottom w:val="none" w:sz="0" w:space="0" w:color="auto"/>
        <w:right w:val="none" w:sz="0" w:space="0" w:color="auto"/>
      </w:divBdr>
    </w:div>
    <w:div w:id="1441103837">
      <w:bodyDiv w:val="1"/>
      <w:marLeft w:val="0"/>
      <w:marRight w:val="0"/>
      <w:marTop w:val="0"/>
      <w:marBottom w:val="0"/>
      <w:divBdr>
        <w:top w:val="none" w:sz="0" w:space="0" w:color="auto"/>
        <w:left w:val="none" w:sz="0" w:space="0" w:color="auto"/>
        <w:bottom w:val="none" w:sz="0" w:space="0" w:color="auto"/>
        <w:right w:val="none" w:sz="0" w:space="0" w:color="auto"/>
      </w:divBdr>
    </w:div>
    <w:div w:id="1444838323">
      <w:bodyDiv w:val="1"/>
      <w:marLeft w:val="0"/>
      <w:marRight w:val="0"/>
      <w:marTop w:val="0"/>
      <w:marBottom w:val="0"/>
      <w:divBdr>
        <w:top w:val="none" w:sz="0" w:space="0" w:color="auto"/>
        <w:left w:val="none" w:sz="0" w:space="0" w:color="auto"/>
        <w:bottom w:val="none" w:sz="0" w:space="0" w:color="auto"/>
        <w:right w:val="none" w:sz="0" w:space="0" w:color="auto"/>
      </w:divBdr>
    </w:div>
    <w:div w:id="1453593131">
      <w:bodyDiv w:val="1"/>
      <w:marLeft w:val="0"/>
      <w:marRight w:val="0"/>
      <w:marTop w:val="0"/>
      <w:marBottom w:val="0"/>
      <w:divBdr>
        <w:top w:val="none" w:sz="0" w:space="0" w:color="auto"/>
        <w:left w:val="none" w:sz="0" w:space="0" w:color="auto"/>
        <w:bottom w:val="none" w:sz="0" w:space="0" w:color="auto"/>
        <w:right w:val="none" w:sz="0" w:space="0" w:color="auto"/>
      </w:divBdr>
    </w:div>
    <w:div w:id="1456097880">
      <w:bodyDiv w:val="1"/>
      <w:marLeft w:val="0"/>
      <w:marRight w:val="0"/>
      <w:marTop w:val="0"/>
      <w:marBottom w:val="0"/>
      <w:divBdr>
        <w:top w:val="none" w:sz="0" w:space="0" w:color="auto"/>
        <w:left w:val="none" w:sz="0" w:space="0" w:color="auto"/>
        <w:bottom w:val="none" w:sz="0" w:space="0" w:color="auto"/>
        <w:right w:val="none" w:sz="0" w:space="0" w:color="auto"/>
      </w:divBdr>
    </w:div>
    <w:div w:id="1459103590">
      <w:bodyDiv w:val="1"/>
      <w:marLeft w:val="0"/>
      <w:marRight w:val="0"/>
      <w:marTop w:val="0"/>
      <w:marBottom w:val="0"/>
      <w:divBdr>
        <w:top w:val="none" w:sz="0" w:space="0" w:color="auto"/>
        <w:left w:val="none" w:sz="0" w:space="0" w:color="auto"/>
        <w:bottom w:val="none" w:sz="0" w:space="0" w:color="auto"/>
        <w:right w:val="none" w:sz="0" w:space="0" w:color="auto"/>
      </w:divBdr>
    </w:div>
    <w:div w:id="1463965402">
      <w:bodyDiv w:val="1"/>
      <w:marLeft w:val="0"/>
      <w:marRight w:val="0"/>
      <w:marTop w:val="0"/>
      <w:marBottom w:val="0"/>
      <w:divBdr>
        <w:top w:val="none" w:sz="0" w:space="0" w:color="auto"/>
        <w:left w:val="none" w:sz="0" w:space="0" w:color="auto"/>
        <w:bottom w:val="none" w:sz="0" w:space="0" w:color="auto"/>
        <w:right w:val="none" w:sz="0" w:space="0" w:color="auto"/>
      </w:divBdr>
    </w:div>
    <w:div w:id="1467629159">
      <w:bodyDiv w:val="1"/>
      <w:marLeft w:val="0"/>
      <w:marRight w:val="0"/>
      <w:marTop w:val="0"/>
      <w:marBottom w:val="0"/>
      <w:divBdr>
        <w:top w:val="none" w:sz="0" w:space="0" w:color="auto"/>
        <w:left w:val="none" w:sz="0" w:space="0" w:color="auto"/>
        <w:bottom w:val="none" w:sz="0" w:space="0" w:color="auto"/>
        <w:right w:val="none" w:sz="0" w:space="0" w:color="auto"/>
      </w:divBdr>
    </w:div>
    <w:div w:id="1494686972">
      <w:bodyDiv w:val="1"/>
      <w:marLeft w:val="0"/>
      <w:marRight w:val="0"/>
      <w:marTop w:val="0"/>
      <w:marBottom w:val="0"/>
      <w:divBdr>
        <w:top w:val="none" w:sz="0" w:space="0" w:color="auto"/>
        <w:left w:val="none" w:sz="0" w:space="0" w:color="auto"/>
        <w:bottom w:val="none" w:sz="0" w:space="0" w:color="auto"/>
        <w:right w:val="none" w:sz="0" w:space="0" w:color="auto"/>
      </w:divBdr>
    </w:div>
    <w:div w:id="1533805461">
      <w:bodyDiv w:val="1"/>
      <w:marLeft w:val="0"/>
      <w:marRight w:val="0"/>
      <w:marTop w:val="0"/>
      <w:marBottom w:val="0"/>
      <w:divBdr>
        <w:top w:val="none" w:sz="0" w:space="0" w:color="auto"/>
        <w:left w:val="none" w:sz="0" w:space="0" w:color="auto"/>
        <w:bottom w:val="none" w:sz="0" w:space="0" w:color="auto"/>
        <w:right w:val="none" w:sz="0" w:space="0" w:color="auto"/>
      </w:divBdr>
    </w:div>
    <w:div w:id="1538589287">
      <w:bodyDiv w:val="1"/>
      <w:marLeft w:val="0"/>
      <w:marRight w:val="0"/>
      <w:marTop w:val="0"/>
      <w:marBottom w:val="0"/>
      <w:divBdr>
        <w:top w:val="none" w:sz="0" w:space="0" w:color="auto"/>
        <w:left w:val="none" w:sz="0" w:space="0" w:color="auto"/>
        <w:bottom w:val="none" w:sz="0" w:space="0" w:color="auto"/>
        <w:right w:val="none" w:sz="0" w:space="0" w:color="auto"/>
      </w:divBdr>
    </w:div>
    <w:div w:id="1544907320">
      <w:bodyDiv w:val="1"/>
      <w:marLeft w:val="0"/>
      <w:marRight w:val="0"/>
      <w:marTop w:val="0"/>
      <w:marBottom w:val="0"/>
      <w:divBdr>
        <w:top w:val="none" w:sz="0" w:space="0" w:color="auto"/>
        <w:left w:val="none" w:sz="0" w:space="0" w:color="auto"/>
        <w:bottom w:val="none" w:sz="0" w:space="0" w:color="auto"/>
        <w:right w:val="none" w:sz="0" w:space="0" w:color="auto"/>
      </w:divBdr>
    </w:div>
    <w:div w:id="1556426325">
      <w:bodyDiv w:val="1"/>
      <w:marLeft w:val="0"/>
      <w:marRight w:val="0"/>
      <w:marTop w:val="0"/>
      <w:marBottom w:val="0"/>
      <w:divBdr>
        <w:top w:val="none" w:sz="0" w:space="0" w:color="auto"/>
        <w:left w:val="none" w:sz="0" w:space="0" w:color="auto"/>
        <w:bottom w:val="none" w:sz="0" w:space="0" w:color="auto"/>
        <w:right w:val="none" w:sz="0" w:space="0" w:color="auto"/>
      </w:divBdr>
    </w:div>
    <w:div w:id="1558004893">
      <w:bodyDiv w:val="1"/>
      <w:marLeft w:val="0"/>
      <w:marRight w:val="0"/>
      <w:marTop w:val="0"/>
      <w:marBottom w:val="0"/>
      <w:divBdr>
        <w:top w:val="none" w:sz="0" w:space="0" w:color="auto"/>
        <w:left w:val="none" w:sz="0" w:space="0" w:color="auto"/>
        <w:bottom w:val="none" w:sz="0" w:space="0" w:color="auto"/>
        <w:right w:val="none" w:sz="0" w:space="0" w:color="auto"/>
      </w:divBdr>
    </w:div>
    <w:div w:id="1670474723">
      <w:bodyDiv w:val="1"/>
      <w:marLeft w:val="0"/>
      <w:marRight w:val="0"/>
      <w:marTop w:val="0"/>
      <w:marBottom w:val="0"/>
      <w:divBdr>
        <w:top w:val="none" w:sz="0" w:space="0" w:color="auto"/>
        <w:left w:val="none" w:sz="0" w:space="0" w:color="auto"/>
        <w:bottom w:val="none" w:sz="0" w:space="0" w:color="auto"/>
        <w:right w:val="none" w:sz="0" w:space="0" w:color="auto"/>
      </w:divBdr>
    </w:div>
    <w:div w:id="1674605377">
      <w:bodyDiv w:val="1"/>
      <w:marLeft w:val="0"/>
      <w:marRight w:val="0"/>
      <w:marTop w:val="0"/>
      <w:marBottom w:val="0"/>
      <w:divBdr>
        <w:top w:val="none" w:sz="0" w:space="0" w:color="auto"/>
        <w:left w:val="none" w:sz="0" w:space="0" w:color="auto"/>
        <w:bottom w:val="none" w:sz="0" w:space="0" w:color="auto"/>
        <w:right w:val="none" w:sz="0" w:space="0" w:color="auto"/>
      </w:divBdr>
    </w:div>
    <w:div w:id="1705909252">
      <w:bodyDiv w:val="1"/>
      <w:marLeft w:val="0"/>
      <w:marRight w:val="0"/>
      <w:marTop w:val="0"/>
      <w:marBottom w:val="0"/>
      <w:divBdr>
        <w:top w:val="none" w:sz="0" w:space="0" w:color="auto"/>
        <w:left w:val="none" w:sz="0" w:space="0" w:color="auto"/>
        <w:bottom w:val="none" w:sz="0" w:space="0" w:color="auto"/>
        <w:right w:val="none" w:sz="0" w:space="0" w:color="auto"/>
      </w:divBdr>
    </w:div>
    <w:div w:id="1732997618">
      <w:bodyDiv w:val="1"/>
      <w:marLeft w:val="0"/>
      <w:marRight w:val="0"/>
      <w:marTop w:val="0"/>
      <w:marBottom w:val="0"/>
      <w:divBdr>
        <w:top w:val="none" w:sz="0" w:space="0" w:color="auto"/>
        <w:left w:val="none" w:sz="0" w:space="0" w:color="auto"/>
        <w:bottom w:val="none" w:sz="0" w:space="0" w:color="auto"/>
        <w:right w:val="none" w:sz="0" w:space="0" w:color="auto"/>
      </w:divBdr>
    </w:div>
    <w:div w:id="1747922578">
      <w:bodyDiv w:val="1"/>
      <w:marLeft w:val="0"/>
      <w:marRight w:val="0"/>
      <w:marTop w:val="0"/>
      <w:marBottom w:val="0"/>
      <w:divBdr>
        <w:top w:val="none" w:sz="0" w:space="0" w:color="auto"/>
        <w:left w:val="none" w:sz="0" w:space="0" w:color="auto"/>
        <w:bottom w:val="none" w:sz="0" w:space="0" w:color="auto"/>
        <w:right w:val="none" w:sz="0" w:space="0" w:color="auto"/>
      </w:divBdr>
    </w:div>
    <w:div w:id="1767652474">
      <w:bodyDiv w:val="1"/>
      <w:marLeft w:val="0"/>
      <w:marRight w:val="0"/>
      <w:marTop w:val="0"/>
      <w:marBottom w:val="0"/>
      <w:divBdr>
        <w:top w:val="none" w:sz="0" w:space="0" w:color="auto"/>
        <w:left w:val="none" w:sz="0" w:space="0" w:color="auto"/>
        <w:bottom w:val="none" w:sz="0" w:space="0" w:color="auto"/>
        <w:right w:val="none" w:sz="0" w:space="0" w:color="auto"/>
      </w:divBdr>
    </w:div>
    <w:div w:id="1803571551">
      <w:bodyDiv w:val="1"/>
      <w:marLeft w:val="0"/>
      <w:marRight w:val="0"/>
      <w:marTop w:val="0"/>
      <w:marBottom w:val="0"/>
      <w:divBdr>
        <w:top w:val="none" w:sz="0" w:space="0" w:color="auto"/>
        <w:left w:val="none" w:sz="0" w:space="0" w:color="auto"/>
        <w:bottom w:val="none" w:sz="0" w:space="0" w:color="auto"/>
        <w:right w:val="none" w:sz="0" w:space="0" w:color="auto"/>
      </w:divBdr>
    </w:div>
    <w:div w:id="1816952477">
      <w:bodyDiv w:val="1"/>
      <w:marLeft w:val="0"/>
      <w:marRight w:val="0"/>
      <w:marTop w:val="0"/>
      <w:marBottom w:val="0"/>
      <w:divBdr>
        <w:top w:val="none" w:sz="0" w:space="0" w:color="auto"/>
        <w:left w:val="none" w:sz="0" w:space="0" w:color="auto"/>
        <w:bottom w:val="none" w:sz="0" w:space="0" w:color="auto"/>
        <w:right w:val="none" w:sz="0" w:space="0" w:color="auto"/>
      </w:divBdr>
    </w:div>
    <w:div w:id="1878657344">
      <w:bodyDiv w:val="1"/>
      <w:marLeft w:val="0"/>
      <w:marRight w:val="0"/>
      <w:marTop w:val="0"/>
      <w:marBottom w:val="0"/>
      <w:divBdr>
        <w:top w:val="none" w:sz="0" w:space="0" w:color="auto"/>
        <w:left w:val="none" w:sz="0" w:space="0" w:color="auto"/>
        <w:bottom w:val="none" w:sz="0" w:space="0" w:color="auto"/>
        <w:right w:val="none" w:sz="0" w:space="0" w:color="auto"/>
      </w:divBdr>
    </w:div>
    <w:div w:id="1888251328">
      <w:bodyDiv w:val="1"/>
      <w:marLeft w:val="0"/>
      <w:marRight w:val="0"/>
      <w:marTop w:val="0"/>
      <w:marBottom w:val="0"/>
      <w:divBdr>
        <w:top w:val="none" w:sz="0" w:space="0" w:color="auto"/>
        <w:left w:val="none" w:sz="0" w:space="0" w:color="auto"/>
        <w:bottom w:val="none" w:sz="0" w:space="0" w:color="auto"/>
        <w:right w:val="none" w:sz="0" w:space="0" w:color="auto"/>
      </w:divBdr>
    </w:div>
    <w:div w:id="1898514003">
      <w:bodyDiv w:val="1"/>
      <w:marLeft w:val="0"/>
      <w:marRight w:val="0"/>
      <w:marTop w:val="0"/>
      <w:marBottom w:val="0"/>
      <w:divBdr>
        <w:top w:val="none" w:sz="0" w:space="0" w:color="auto"/>
        <w:left w:val="none" w:sz="0" w:space="0" w:color="auto"/>
        <w:bottom w:val="none" w:sz="0" w:space="0" w:color="auto"/>
        <w:right w:val="none" w:sz="0" w:space="0" w:color="auto"/>
      </w:divBdr>
    </w:div>
    <w:div w:id="1900431792">
      <w:bodyDiv w:val="1"/>
      <w:marLeft w:val="0"/>
      <w:marRight w:val="0"/>
      <w:marTop w:val="0"/>
      <w:marBottom w:val="0"/>
      <w:divBdr>
        <w:top w:val="none" w:sz="0" w:space="0" w:color="auto"/>
        <w:left w:val="none" w:sz="0" w:space="0" w:color="auto"/>
        <w:bottom w:val="none" w:sz="0" w:space="0" w:color="auto"/>
        <w:right w:val="none" w:sz="0" w:space="0" w:color="auto"/>
      </w:divBdr>
    </w:div>
    <w:div w:id="1903297563">
      <w:bodyDiv w:val="1"/>
      <w:marLeft w:val="0"/>
      <w:marRight w:val="0"/>
      <w:marTop w:val="0"/>
      <w:marBottom w:val="0"/>
      <w:divBdr>
        <w:top w:val="none" w:sz="0" w:space="0" w:color="auto"/>
        <w:left w:val="none" w:sz="0" w:space="0" w:color="auto"/>
        <w:bottom w:val="none" w:sz="0" w:space="0" w:color="auto"/>
        <w:right w:val="none" w:sz="0" w:space="0" w:color="auto"/>
      </w:divBdr>
    </w:div>
    <w:div w:id="1912693683">
      <w:bodyDiv w:val="1"/>
      <w:marLeft w:val="0"/>
      <w:marRight w:val="0"/>
      <w:marTop w:val="0"/>
      <w:marBottom w:val="0"/>
      <w:divBdr>
        <w:top w:val="none" w:sz="0" w:space="0" w:color="auto"/>
        <w:left w:val="none" w:sz="0" w:space="0" w:color="auto"/>
        <w:bottom w:val="none" w:sz="0" w:space="0" w:color="auto"/>
        <w:right w:val="none" w:sz="0" w:space="0" w:color="auto"/>
      </w:divBdr>
    </w:div>
    <w:div w:id="1923372052">
      <w:bodyDiv w:val="1"/>
      <w:marLeft w:val="0"/>
      <w:marRight w:val="0"/>
      <w:marTop w:val="0"/>
      <w:marBottom w:val="0"/>
      <w:divBdr>
        <w:top w:val="none" w:sz="0" w:space="0" w:color="auto"/>
        <w:left w:val="none" w:sz="0" w:space="0" w:color="auto"/>
        <w:bottom w:val="none" w:sz="0" w:space="0" w:color="auto"/>
        <w:right w:val="none" w:sz="0" w:space="0" w:color="auto"/>
      </w:divBdr>
    </w:div>
    <w:div w:id="1964379383">
      <w:bodyDiv w:val="1"/>
      <w:marLeft w:val="0"/>
      <w:marRight w:val="0"/>
      <w:marTop w:val="0"/>
      <w:marBottom w:val="0"/>
      <w:divBdr>
        <w:top w:val="none" w:sz="0" w:space="0" w:color="auto"/>
        <w:left w:val="none" w:sz="0" w:space="0" w:color="auto"/>
        <w:bottom w:val="none" w:sz="0" w:space="0" w:color="auto"/>
        <w:right w:val="none" w:sz="0" w:space="0" w:color="auto"/>
      </w:divBdr>
    </w:div>
    <w:div w:id="1967152575">
      <w:bodyDiv w:val="1"/>
      <w:marLeft w:val="0"/>
      <w:marRight w:val="0"/>
      <w:marTop w:val="0"/>
      <w:marBottom w:val="0"/>
      <w:divBdr>
        <w:top w:val="none" w:sz="0" w:space="0" w:color="auto"/>
        <w:left w:val="none" w:sz="0" w:space="0" w:color="auto"/>
        <w:bottom w:val="none" w:sz="0" w:space="0" w:color="auto"/>
        <w:right w:val="none" w:sz="0" w:space="0" w:color="auto"/>
      </w:divBdr>
    </w:div>
    <w:div w:id="1969892554">
      <w:bodyDiv w:val="1"/>
      <w:marLeft w:val="0"/>
      <w:marRight w:val="0"/>
      <w:marTop w:val="0"/>
      <w:marBottom w:val="0"/>
      <w:divBdr>
        <w:top w:val="none" w:sz="0" w:space="0" w:color="auto"/>
        <w:left w:val="none" w:sz="0" w:space="0" w:color="auto"/>
        <w:bottom w:val="none" w:sz="0" w:space="0" w:color="auto"/>
        <w:right w:val="none" w:sz="0" w:space="0" w:color="auto"/>
      </w:divBdr>
    </w:div>
    <w:div w:id="2004505434">
      <w:bodyDiv w:val="1"/>
      <w:marLeft w:val="0"/>
      <w:marRight w:val="0"/>
      <w:marTop w:val="0"/>
      <w:marBottom w:val="0"/>
      <w:divBdr>
        <w:top w:val="none" w:sz="0" w:space="0" w:color="auto"/>
        <w:left w:val="none" w:sz="0" w:space="0" w:color="auto"/>
        <w:bottom w:val="none" w:sz="0" w:space="0" w:color="auto"/>
        <w:right w:val="none" w:sz="0" w:space="0" w:color="auto"/>
      </w:divBdr>
    </w:div>
    <w:div w:id="2013877144">
      <w:bodyDiv w:val="1"/>
      <w:marLeft w:val="0"/>
      <w:marRight w:val="0"/>
      <w:marTop w:val="0"/>
      <w:marBottom w:val="0"/>
      <w:divBdr>
        <w:top w:val="none" w:sz="0" w:space="0" w:color="auto"/>
        <w:left w:val="none" w:sz="0" w:space="0" w:color="auto"/>
        <w:bottom w:val="none" w:sz="0" w:space="0" w:color="auto"/>
        <w:right w:val="none" w:sz="0" w:space="0" w:color="auto"/>
      </w:divBdr>
    </w:div>
    <w:div w:id="2014451514">
      <w:bodyDiv w:val="1"/>
      <w:marLeft w:val="0"/>
      <w:marRight w:val="0"/>
      <w:marTop w:val="0"/>
      <w:marBottom w:val="0"/>
      <w:divBdr>
        <w:top w:val="none" w:sz="0" w:space="0" w:color="auto"/>
        <w:left w:val="none" w:sz="0" w:space="0" w:color="auto"/>
        <w:bottom w:val="none" w:sz="0" w:space="0" w:color="auto"/>
        <w:right w:val="none" w:sz="0" w:space="0" w:color="auto"/>
      </w:divBdr>
    </w:div>
    <w:div w:id="2037391733">
      <w:bodyDiv w:val="1"/>
      <w:marLeft w:val="0"/>
      <w:marRight w:val="0"/>
      <w:marTop w:val="0"/>
      <w:marBottom w:val="0"/>
      <w:divBdr>
        <w:top w:val="none" w:sz="0" w:space="0" w:color="auto"/>
        <w:left w:val="none" w:sz="0" w:space="0" w:color="auto"/>
        <w:bottom w:val="none" w:sz="0" w:space="0" w:color="auto"/>
        <w:right w:val="none" w:sz="0" w:space="0" w:color="auto"/>
      </w:divBdr>
    </w:div>
    <w:div w:id="2040813394">
      <w:bodyDiv w:val="1"/>
      <w:marLeft w:val="0"/>
      <w:marRight w:val="0"/>
      <w:marTop w:val="0"/>
      <w:marBottom w:val="0"/>
      <w:divBdr>
        <w:top w:val="none" w:sz="0" w:space="0" w:color="auto"/>
        <w:left w:val="none" w:sz="0" w:space="0" w:color="auto"/>
        <w:bottom w:val="none" w:sz="0" w:space="0" w:color="auto"/>
        <w:right w:val="none" w:sz="0" w:space="0" w:color="auto"/>
      </w:divBdr>
    </w:div>
    <w:div w:id="2088766336">
      <w:bodyDiv w:val="1"/>
      <w:marLeft w:val="0"/>
      <w:marRight w:val="0"/>
      <w:marTop w:val="0"/>
      <w:marBottom w:val="0"/>
      <w:divBdr>
        <w:top w:val="none" w:sz="0" w:space="0" w:color="auto"/>
        <w:left w:val="none" w:sz="0" w:space="0" w:color="auto"/>
        <w:bottom w:val="none" w:sz="0" w:space="0" w:color="auto"/>
        <w:right w:val="none" w:sz="0" w:space="0" w:color="auto"/>
      </w:divBdr>
    </w:div>
    <w:div w:id="2103526597">
      <w:bodyDiv w:val="1"/>
      <w:marLeft w:val="0"/>
      <w:marRight w:val="0"/>
      <w:marTop w:val="0"/>
      <w:marBottom w:val="0"/>
      <w:divBdr>
        <w:top w:val="none" w:sz="0" w:space="0" w:color="auto"/>
        <w:left w:val="none" w:sz="0" w:space="0" w:color="auto"/>
        <w:bottom w:val="none" w:sz="0" w:space="0" w:color="auto"/>
        <w:right w:val="none" w:sz="0" w:space="0" w:color="auto"/>
      </w:divBdr>
    </w:div>
    <w:div w:id="2119985828">
      <w:bodyDiv w:val="1"/>
      <w:marLeft w:val="0"/>
      <w:marRight w:val="0"/>
      <w:marTop w:val="0"/>
      <w:marBottom w:val="0"/>
      <w:divBdr>
        <w:top w:val="none" w:sz="0" w:space="0" w:color="auto"/>
        <w:left w:val="none" w:sz="0" w:space="0" w:color="auto"/>
        <w:bottom w:val="none" w:sz="0" w:space="0" w:color="auto"/>
        <w:right w:val="none" w:sz="0" w:space="0" w:color="auto"/>
      </w:divBdr>
    </w:div>
    <w:div w:id="2138185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footer" Target="footer1.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header" Target="header4.xml"/><Relationship Id="rId27" Type="http://schemas.openxmlformats.org/officeDocument/2006/relationships/footer" Target="footer6.xml"/></Relationships>
</file>

<file path=word/charts/_rels/chart1.xml.rels><?xml version="1.0" encoding="UTF-8" standalone="yes"?>
<Relationships xmlns="http://schemas.openxmlformats.org/package/2006/relationships"><Relationship Id="rId3" Type="http://schemas.openxmlformats.org/officeDocument/2006/relationships/oleObject" Target="file:///\\npa.priv\pcc\PCC\Finance\Police%20and%20Crime%20Panel\23.24\February%202024\Population%20growth%20for%20Budget%20report%202024%20v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a:solidFill>
                  <a:schemeClr val="tx1"/>
                </a:solidFill>
              </a:rPr>
              <a:t>Number of </a:t>
            </a:r>
            <a:r>
              <a:rPr lang="en-GB" baseline="0">
                <a:solidFill>
                  <a:schemeClr val="tx1"/>
                </a:solidFill>
              </a:rPr>
              <a:t>Officers per 1,000 population</a:t>
            </a:r>
          </a:p>
          <a:p>
            <a:pPr>
              <a:defRPr>
                <a:solidFill>
                  <a:schemeClr val="tx1"/>
                </a:solidFill>
              </a:defRPr>
            </a:pPr>
            <a:r>
              <a:rPr lang="en-GB">
                <a:solidFill>
                  <a:schemeClr val="tx1"/>
                </a:solidFill>
              </a:rPr>
              <a:t>Northamptonshire</a:t>
            </a:r>
            <a:r>
              <a:rPr lang="en-GB" baseline="0">
                <a:solidFill>
                  <a:schemeClr val="tx1"/>
                </a:solidFill>
              </a:rPr>
              <a:t> since 2007</a:t>
            </a:r>
            <a:endParaRPr lang="en-GB">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6.7939682816487879E-2"/>
          <c:y val="0.20348152408721998"/>
          <c:w val="0.9077954623853064"/>
          <c:h val="0.68685978237886891"/>
        </c:manualLayout>
      </c:layout>
      <c:lineChart>
        <c:grouping val="standard"/>
        <c:varyColors val="0"/>
        <c:ser>
          <c:idx val="0"/>
          <c:order val="0"/>
          <c:tx>
            <c:strRef>
              <c:f>Sheet1!$H$62</c:f>
              <c:strCache>
                <c:ptCount val="1"/>
                <c:pt idx="0">
                  <c:v>Northants</c:v>
                </c:pt>
              </c:strCache>
            </c:strRef>
          </c:tx>
          <c:spPr>
            <a:ln w="28575" cap="rnd">
              <a:solidFill>
                <a:srgbClr val="002060"/>
              </a:solidFill>
              <a:round/>
            </a:ln>
            <a:effectLst/>
          </c:spPr>
          <c:marker>
            <c:symbol val="none"/>
          </c:marker>
          <c:dLbls>
            <c:dLbl>
              <c:idx val="3"/>
              <c:layout>
                <c:manualLayout>
                  <c:x val="-0.10588300275580666"/>
                  <c:y val="7.886880778574420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05-4FD5-806A-23773CEF2A8A}"/>
                </c:ext>
              </c:extLst>
            </c:dLbl>
            <c:dLbl>
              <c:idx val="12"/>
              <c:layout>
                <c:manualLayout>
                  <c:x val="0"/>
                  <c:y val="6.76018352449235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05-4FD5-806A-23773CEF2A8A}"/>
                </c:ext>
              </c:extLst>
            </c:dLbl>
            <c:dLbl>
              <c:idx val="16"/>
              <c:layout>
                <c:manualLayout>
                  <c:x val="-6.3970980831633176E-2"/>
                  <c:y val="-4.882354767688924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05-4FD5-806A-23773CEF2A8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Sheet1!$I$54:$Y$54</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Sheet1!$I$62:$Y$62</c:f>
              <c:numCache>
                <c:formatCode>0.00</c:formatCode>
                <c:ptCount val="17"/>
                <c:pt idx="0">
                  <c:v>1.9358481806738068</c:v>
                </c:pt>
                <c:pt idx="1">
                  <c:v>1.9298261134973258</c:v>
                </c:pt>
                <c:pt idx="2">
                  <c:v>1.9405557571430241</c:v>
                </c:pt>
                <c:pt idx="3">
                  <c:v>1.9514222883064369</c:v>
                </c:pt>
                <c:pt idx="4">
                  <c:v>1.8825246733634309</c:v>
                </c:pt>
                <c:pt idx="5">
                  <c:v>1.7553043975407563</c:v>
                </c:pt>
                <c:pt idx="6">
                  <c:v>1.7817612971143533</c:v>
                </c:pt>
                <c:pt idx="7">
                  <c:v>1.7168163420274833</c:v>
                </c:pt>
                <c:pt idx="8">
                  <c:v>1.6767572890482536</c:v>
                </c:pt>
                <c:pt idx="9">
                  <c:v>1.6262827020381267</c:v>
                </c:pt>
                <c:pt idx="10">
                  <c:v>1.5639895922763734</c:v>
                </c:pt>
                <c:pt idx="11">
                  <c:v>1.579325048099423</c:v>
                </c:pt>
                <c:pt idx="12">
                  <c:v>1.5279865536874402</c:v>
                </c:pt>
                <c:pt idx="13">
                  <c:v>1.6330507473722589</c:v>
                </c:pt>
                <c:pt idx="14">
                  <c:v>1.7120787676671432</c:v>
                </c:pt>
                <c:pt idx="15">
                  <c:v>1.8016120849901753</c:v>
                </c:pt>
                <c:pt idx="16">
                  <c:v>1.8928384475409425</c:v>
                </c:pt>
              </c:numCache>
            </c:numRef>
          </c:val>
          <c:smooth val="0"/>
          <c:extLst>
            <c:ext xmlns:c16="http://schemas.microsoft.com/office/drawing/2014/chart" uri="{C3380CC4-5D6E-409C-BE32-E72D297353CC}">
              <c16:uniqueId val="{00000003-8D05-4FD5-806A-23773CEF2A8A}"/>
            </c:ext>
          </c:extLst>
        </c:ser>
        <c:dLbls>
          <c:showLegendKey val="0"/>
          <c:showVal val="0"/>
          <c:showCatName val="0"/>
          <c:showSerName val="0"/>
          <c:showPercent val="0"/>
          <c:showBubbleSize val="0"/>
        </c:dLbls>
        <c:smooth val="0"/>
        <c:axId val="1026154208"/>
        <c:axId val="688181360"/>
      </c:lineChart>
      <c:catAx>
        <c:axId val="102615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181360"/>
        <c:crosses val="autoZero"/>
        <c:auto val="1"/>
        <c:lblAlgn val="ctr"/>
        <c:lblOffset val="100"/>
        <c:noMultiLvlLbl val="0"/>
      </c:catAx>
      <c:valAx>
        <c:axId val="688181360"/>
        <c:scaling>
          <c:orientation val="minMax"/>
          <c:min val="1.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6154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3F396D-FAD9-434C-B431-993BEA1F1B60}" type="doc">
      <dgm:prSet loTypeId="urn:microsoft.com/office/officeart/2005/8/layout/chevron2" loCatId="list" qsTypeId="urn:microsoft.com/office/officeart/2005/8/quickstyle/simple4" qsCatId="simple" csTypeId="urn:microsoft.com/office/officeart/2005/8/colors/accent1_2" csCatId="accent1" phldr="1"/>
      <dgm:spPr/>
      <dgm:t>
        <a:bodyPr/>
        <a:lstStyle/>
        <a:p>
          <a:endParaRPr lang="en-GB"/>
        </a:p>
      </dgm:t>
    </dgm:pt>
    <dgm:pt modelId="{58D56BA6-200A-400B-BFC7-EBF76D8C8B08}">
      <dgm:prSet phldrT="[Text]"/>
      <dgm:spPr/>
      <dgm:t>
        <a:bodyPr/>
        <a:lstStyle/>
        <a:p>
          <a:r>
            <a:rPr lang="en-GB" dirty="0"/>
            <a:t>September/ October</a:t>
          </a:r>
        </a:p>
      </dgm:t>
    </dgm:pt>
    <dgm:pt modelId="{62E5B131-F2A4-46D7-A531-F8377ACC2443}" type="parTrans" cxnId="{A814B54D-1702-434E-8A55-9EA985368E61}">
      <dgm:prSet/>
      <dgm:spPr/>
      <dgm:t>
        <a:bodyPr/>
        <a:lstStyle/>
        <a:p>
          <a:endParaRPr lang="en-GB"/>
        </a:p>
      </dgm:t>
    </dgm:pt>
    <dgm:pt modelId="{8BF36C57-A1E2-4000-A74C-EEB26BEAB328}" type="sibTrans" cxnId="{A814B54D-1702-434E-8A55-9EA985368E61}">
      <dgm:prSet/>
      <dgm:spPr/>
      <dgm:t>
        <a:bodyPr/>
        <a:lstStyle/>
        <a:p>
          <a:endParaRPr lang="en-GB"/>
        </a:p>
      </dgm:t>
    </dgm:pt>
    <dgm:pt modelId="{FBF3BEDF-45C4-46F7-BAC0-00D15BB0AE3C}">
      <dgm:prSet phldrT="[Text]"/>
      <dgm:spPr/>
      <dgm:t>
        <a:bodyPr/>
        <a:lstStyle/>
        <a:p>
          <a:pPr>
            <a:buNone/>
          </a:pPr>
          <a:r>
            <a:rPr lang="en-GB" dirty="0">
              <a:latin typeface="Calibri" panose="020F0502020204030204" pitchFamily="34" charset="0"/>
              <a:cs typeface="Calibri" panose="020F0502020204030204" pitchFamily="34" charset="0"/>
            </a:rPr>
            <a:t>Finance personnel calculate the budget requirements in conjunction with budget holders</a:t>
          </a:r>
          <a:endParaRPr lang="en-GB" dirty="0"/>
        </a:p>
      </dgm:t>
    </dgm:pt>
    <dgm:pt modelId="{EA11BC2E-2E92-4675-A3EE-4DCB06D409AC}" type="parTrans" cxnId="{5DFAEC87-1AB7-4820-939D-A16151E1E602}">
      <dgm:prSet/>
      <dgm:spPr/>
      <dgm:t>
        <a:bodyPr/>
        <a:lstStyle/>
        <a:p>
          <a:endParaRPr lang="en-GB"/>
        </a:p>
      </dgm:t>
    </dgm:pt>
    <dgm:pt modelId="{EF61D74B-2A49-4411-BD2A-07FF49CFB1B9}" type="sibTrans" cxnId="{5DFAEC87-1AB7-4820-939D-A16151E1E602}">
      <dgm:prSet/>
      <dgm:spPr/>
      <dgm:t>
        <a:bodyPr/>
        <a:lstStyle/>
        <a:p>
          <a:endParaRPr lang="en-GB"/>
        </a:p>
      </dgm:t>
    </dgm:pt>
    <dgm:pt modelId="{8CFA7F46-3F36-44EF-97ED-3294C53D6A91}">
      <dgm:prSet phldrT="[Text]"/>
      <dgm:spPr/>
      <dgm:t>
        <a:bodyPr/>
        <a:lstStyle/>
        <a:p>
          <a:pPr>
            <a:buNone/>
          </a:pPr>
          <a:r>
            <a:rPr lang="en-GB" dirty="0">
              <a:latin typeface="Calibri" panose="020F0502020204030204" pitchFamily="34" charset="0"/>
              <a:cs typeface="Calibri" panose="020F0502020204030204" pitchFamily="34" charset="0"/>
            </a:rPr>
            <a:t>Review and challenge by Finance Leads and CC CFO</a:t>
          </a:r>
          <a:endParaRPr lang="en-GB" dirty="0"/>
        </a:p>
      </dgm:t>
    </dgm:pt>
    <dgm:pt modelId="{44375A24-BBC7-4947-AF37-0EE2EEC88B20}" type="parTrans" cxnId="{4CB026C6-0939-4312-B8ED-8FB31B339EA4}">
      <dgm:prSet/>
      <dgm:spPr/>
      <dgm:t>
        <a:bodyPr/>
        <a:lstStyle/>
        <a:p>
          <a:endParaRPr lang="en-GB"/>
        </a:p>
      </dgm:t>
    </dgm:pt>
    <dgm:pt modelId="{209495F1-F492-4763-ABD5-1FE9B304899A}" type="sibTrans" cxnId="{4CB026C6-0939-4312-B8ED-8FB31B339EA4}">
      <dgm:prSet/>
      <dgm:spPr/>
      <dgm:t>
        <a:bodyPr/>
        <a:lstStyle/>
        <a:p>
          <a:endParaRPr lang="en-GB"/>
        </a:p>
      </dgm:t>
    </dgm:pt>
    <dgm:pt modelId="{9F0ED3C2-CDE0-4FCB-A7F9-1792C9708150}">
      <dgm:prSet phldrT="[Text]"/>
      <dgm:spPr/>
      <dgm:t>
        <a:bodyPr/>
        <a:lstStyle/>
        <a:p>
          <a:r>
            <a:rPr lang="en-GB" dirty="0"/>
            <a:t>October/ November</a:t>
          </a:r>
        </a:p>
      </dgm:t>
    </dgm:pt>
    <dgm:pt modelId="{CB75B86D-59B8-4896-9EC7-A56190B92500}" type="parTrans" cxnId="{D3D3D273-AB98-448C-80F3-D2389E7CE731}">
      <dgm:prSet/>
      <dgm:spPr/>
      <dgm:t>
        <a:bodyPr/>
        <a:lstStyle/>
        <a:p>
          <a:endParaRPr lang="en-GB"/>
        </a:p>
      </dgm:t>
    </dgm:pt>
    <dgm:pt modelId="{ED769993-7F3A-4372-8DEB-5CE741AD1616}" type="sibTrans" cxnId="{D3D3D273-AB98-448C-80F3-D2389E7CE731}">
      <dgm:prSet/>
      <dgm:spPr/>
      <dgm:t>
        <a:bodyPr/>
        <a:lstStyle/>
        <a:p>
          <a:endParaRPr lang="en-GB"/>
        </a:p>
      </dgm:t>
    </dgm:pt>
    <dgm:pt modelId="{3B1CEB3D-4914-43F5-8318-B58F40D70609}">
      <dgm:prSet phldrT="[Text]"/>
      <dgm:spPr/>
      <dgm:t>
        <a:bodyPr/>
        <a:lstStyle/>
        <a:p>
          <a:pPr>
            <a:buNone/>
          </a:pPr>
          <a:r>
            <a:rPr lang="en-GB" dirty="0">
              <a:latin typeface="Calibri" panose="020F0502020204030204" pitchFamily="34" charset="0"/>
              <a:cs typeface="Calibri" panose="020F0502020204030204" pitchFamily="34" charset="0"/>
            </a:rPr>
            <a:t>Review and further challenge by PFCC CFO</a:t>
          </a:r>
          <a:endParaRPr lang="en-GB" dirty="0"/>
        </a:p>
      </dgm:t>
    </dgm:pt>
    <dgm:pt modelId="{5016D617-AD71-4802-A53E-4FEFEAE2C9D0}" type="parTrans" cxnId="{70ECDBB9-25D9-48EC-B523-FC02C876BF3A}">
      <dgm:prSet/>
      <dgm:spPr/>
      <dgm:t>
        <a:bodyPr/>
        <a:lstStyle/>
        <a:p>
          <a:endParaRPr lang="en-GB"/>
        </a:p>
      </dgm:t>
    </dgm:pt>
    <dgm:pt modelId="{82BF9941-2772-4B57-97A8-5FB170C955FB}" type="sibTrans" cxnId="{70ECDBB9-25D9-48EC-B523-FC02C876BF3A}">
      <dgm:prSet/>
      <dgm:spPr/>
      <dgm:t>
        <a:bodyPr/>
        <a:lstStyle/>
        <a:p>
          <a:endParaRPr lang="en-GB"/>
        </a:p>
      </dgm:t>
    </dgm:pt>
    <dgm:pt modelId="{82FF0DAF-BB70-4602-BB3D-FECD5A68A2EC}">
      <dgm:prSet phldrT="[Text]"/>
      <dgm:spPr/>
      <dgm:t>
        <a:bodyPr/>
        <a:lstStyle/>
        <a:p>
          <a:r>
            <a:rPr lang="en-GB" dirty="0"/>
            <a:t>October</a:t>
          </a:r>
        </a:p>
      </dgm:t>
    </dgm:pt>
    <dgm:pt modelId="{C1A173C6-A5E2-4507-9B67-57E30BA5C608}" type="parTrans" cxnId="{8E14D47C-545F-423D-B994-633EDFFEFB3A}">
      <dgm:prSet/>
      <dgm:spPr/>
      <dgm:t>
        <a:bodyPr/>
        <a:lstStyle/>
        <a:p>
          <a:endParaRPr lang="en-GB"/>
        </a:p>
      </dgm:t>
    </dgm:pt>
    <dgm:pt modelId="{5A7A3C5A-725B-4724-A154-67BD86E1BB12}" type="sibTrans" cxnId="{8E14D47C-545F-423D-B994-633EDFFEFB3A}">
      <dgm:prSet/>
      <dgm:spPr/>
      <dgm:t>
        <a:bodyPr/>
        <a:lstStyle/>
        <a:p>
          <a:endParaRPr lang="en-GB"/>
        </a:p>
      </dgm:t>
    </dgm:pt>
    <dgm:pt modelId="{2C2503A6-1FF0-47AC-A13D-0A0BE77A6AFE}">
      <dgm:prSet phldrT="[Text]"/>
      <dgm:spPr/>
      <dgm:t>
        <a:bodyPr/>
        <a:lstStyle/>
        <a:p>
          <a:pPr>
            <a:buNone/>
          </a:pPr>
          <a:r>
            <a:rPr lang="en-GB" dirty="0">
              <a:latin typeface="Calibri" panose="020F0502020204030204" pitchFamily="34" charset="0"/>
              <a:cs typeface="Calibri" panose="020F0502020204030204" pitchFamily="34" charset="0"/>
            </a:rPr>
            <a:t>First level of reconciliation and scrutiny by team leader </a:t>
          </a:r>
          <a:endParaRPr lang="en-GB" dirty="0"/>
        </a:p>
      </dgm:t>
    </dgm:pt>
    <dgm:pt modelId="{E4A59C71-0E3D-44E9-967B-F1E10ADC78B3}" type="parTrans" cxnId="{97C5AB28-A21A-4DCC-AFC2-5E0B70B01B80}">
      <dgm:prSet/>
      <dgm:spPr/>
      <dgm:t>
        <a:bodyPr/>
        <a:lstStyle/>
        <a:p>
          <a:endParaRPr lang="en-GB"/>
        </a:p>
      </dgm:t>
    </dgm:pt>
    <dgm:pt modelId="{07ADC382-0698-4A50-8940-D39CE8D1E31C}" type="sibTrans" cxnId="{97C5AB28-A21A-4DCC-AFC2-5E0B70B01B80}">
      <dgm:prSet/>
      <dgm:spPr/>
      <dgm:t>
        <a:bodyPr/>
        <a:lstStyle/>
        <a:p>
          <a:endParaRPr lang="en-GB"/>
        </a:p>
      </dgm:t>
    </dgm:pt>
    <dgm:pt modelId="{B7DFAB61-C46A-4EA2-8493-72B794392D41}">
      <dgm:prSet phldrT="[Text]"/>
      <dgm:spPr/>
      <dgm:t>
        <a:bodyPr/>
        <a:lstStyle/>
        <a:p>
          <a:r>
            <a:rPr lang="en-GB" dirty="0"/>
            <a:t>October</a:t>
          </a:r>
        </a:p>
      </dgm:t>
    </dgm:pt>
    <dgm:pt modelId="{9654F6BC-CB5F-4F46-97A9-EA108E2946E8}" type="parTrans" cxnId="{E8153720-C513-4146-9012-810E72BDBE0D}">
      <dgm:prSet/>
      <dgm:spPr/>
      <dgm:t>
        <a:bodyPr/>
        <a:lstStyle/>
        <a:p>
          <a:endParaRPr lang="en-GB"/>
        </a:p>
      </dgm:t>
    </dgm:pt>
    <dgm:pt modelId="{6E04C1E2-5D86-40B4-8508-10E45451F34D}" type="sibTrans" cxnId="{E8153720-C513-4146-9012-810E72BDBE0D}">
      <dgm:prSet/>
      <dgm:spPr/>
      <dgm:t>
        <a:bodyPr/>
        <a:lstStyle/>
        <a:p>
          <a:endParaRPr lang="en-GB"/>
        </a:p>
      </dgm:t>
    </dgm:pt>
    <dgm:pt modelId="{719001B5-FABC-4998-840E-3709978992B1}">
      <dgm:prSet phldrT="[Text]"/>
      <dgm:spPr/>
      <dgm:t>
        <a:bodyPr/>
        <a:lstStyle/>
        <a:p>
          <a:pPr>
            <a:buNone/>
          </a:pPr>
          <a:r>
            <a:rPr lang="en-GB" dirty="0">
              <a:latin typeface="Calibri" panose="020F0502020204030204" pitchFamily="34" charset="0"/>
              <a:cs typeface="Calibri" panose="020F0502020204030204" pitchFamily="34" charset="0"/>
            </a:rPr>
            <a:t>Report and discussions with Chief Constable/Chief Fire Officer </a:t>
          </a:r>
          <a:endParaRPr lang="en-GB" dirty="0"/>
        </a:p>
      </dgm:t>
    </dgm:pt>
    <dgm:pt modelId="{7353D9FE-9E7B-4F6D-A2F7-E8196F1D2B10}" type="parTrans" cxnId="{E4314648-7C03-4BF3-BD65-3C30D25CF7C9}">
      <dgm:prSet/>
      <dgm:spPr/>
      <dgm:t>
        <a:bodyPr/>
        <a:lstStyle/>
        <a:p>
          <a:endParaRPr lang="en-GB"/>
        </a:p>
      </dgm:t>
    </dgm:pt>
    <dgm:pt modelId="{DEC51A6B-446B-4409-9C0C-E68A76DDC776}" type="sibTrans" cxnId="{E4314648-7C03-4BF3-BD65-3C30D25CF7C9}">
      <dgm:prSet/>
      <dgm:spPr/>
      <dgm:t>
        <a:bodyPr/>
        <a:lstStyle/>
        <a:p>
          <a:endParaRPr lang="en-GB"/>
        </a:p>
      </dgm:t>
    </dgm:pt>
    <dgm:pt modelId="{3087A382-C96F-4546-B4D1-B582819098FD}">
      <dgm:prSet phldrT="[Text]"/>
      <dgm:spPr/>
      <dgm:t>
        <a:bodyPr/>
        <a:lstStyle/>
        <a:p>
          <a:r>
            <a:rPr lang="en-GB" dirty="0"/>
            <a:t>December</a:t>
          </a:r>
        </a:p>
      </dgm:t>
    </dgm:pt>
    <dgm:pt modelId="{B6F70E16-8553-40EB-A1BE-F8959CC5EEDF}" type="parTrans" cxnId="{E4FFD3B3-D366-4070-8B70-69A0E23B181F}">
      <dgm:prSet/>
      <dgm:spPr/>
      <dgm:t>
        <a:bodyPr/>
        <a:lstStyle/>
        <a:p>
          <a:endParaRPr lang="en-GB"/>
        </a:p>
      </dgm:t>
    </dgm:pt>
    <dgm:pt modelId="{532B05A4-5ACB-43B0-B8C8-B480D0D66803}" type="sibTrans" cxnId="{E4FFD3B3-D366-4070-8B70-69A0E23B181F}">
      <dgm:prSet/>
      <dgm:spPr/>
      <dgm:t>
        <a:bodyPr/>
        <a:lstStyle/>
        <a:p>
          <a:endParaRPr lang="en-GB"/>
        </a:p>
      </dgm:t>
    </dgm:pt>
    <dgm:pt modelId="{E72B679F-D95A-4BBB-A3CD-F7DBADD30467}">
      <dgm:prSet phldrT="[Text]"/>
      <dgm:spPr/>
      <dgm:t>
        <a:bodyPr/>
        <a:lstStyle/>
        <a:p>
          <a:pPr>
            <a:buNone/>
          </a:pPr>
          <a:r>
            <a:rPr lang="en-GB" dirty="0">
              <a:latin typeface="Calibri" panose="020F0502020204030204" pitchFamily="34" charset="0"/>
              <a:cs typeface="Calibri" panose="020F0502020204030204" pitchFamily="34" charset="0"/>
            </a:rPr>
            <a:t>PFCC challenge at December Accountability Board – DRAFT budget proposals</a:t>
          </a:r>
          <a:endParaRPr lang="en-GB" dirty="0"/>
        </a:p>
      </dgm:t>
    </dgm:pt>
    <dgm:pt modelId="{AAB31C4F-A753-47E6-A990-E74E7A42EF3A}" type="parTrans" cxnId="{644A1839-C838-4DC3-B8C9-3EC6BD9FC2F5}">
      <dgm:prSet/>
      <dgm:spPr/>
      <dgm:t>
        <a:bodyPr/>
        <a:lstStyle/>
        <a:p>
          <a:endParaRPr lang="en-GB"/>
        </a:p>
      </dgm:t>
    </dgm:pt>
    <dgm:pt modelId="{913711B8-684C-4BF9-BFEB-B786210380A3}" type="sibTrans" cxnId="{644A1839-C838-4DC3-B8C9-3EC6BD9FC2F5}">
      <dgm:prSet/>
      <dgm:spPr/>
      <dgm:t>
        <a:bodyPr/>
        <a:lstStyle/>
        <a:p>
          <a:endParaRPr lang="en-GB"/>
        </a:p>
      </dgm:t>
    </dgm:pt>
    <dgm:pt modelId="{EB083492-A14F-45B0-85BC-C2150C530255}">
      <dgm:prSet phldrT="[Text]"/>
      <dgm:spPr/>
      <dgm:t>
        <a:bodyPr/>
        <a:lstStyle/>
        <a:p>
          <a:r>
            <a:rPr lang="en-GB" dirty="0"/>
            <a:t>January</a:t>
          </a:r>
        </a:p>
      </dgm:t>
    </dgm:pt>
    <dgm:pt modelId="{66420801-F069-47AE-B08B-041CA8FFB77E}" type="parTrans" cxnId="{6BDEE3C1-3EC0-4FAC-B6DD-49B37D4D93FF}">
      <dgm:prSet/>
      <dgm:spPr/>
      <dgm:t>
        <a:bodyPr/>
        <a:lstStyle/>
        <a:p>
          <a:endParaRPr lang="en-GB"/>
        </a:p>
      </dgm:t>
    </dgm:pt>
    <dgm:pt modelId="{88E32DC5-D602-478E-8E3D-4AA138EC2AB3}" type="sibTrans" cxnId="{6BDEE3C1-3EC0-4FAC-B6DD-49B37D4D93FF}">
      <dgm:prSet/>
      <dgm:spPr/>
      <dgm:t>
        <a:bodyPr/>
        <a:lstStyle/>
        <a:p>
          <a:endParaRPr lang="en-GB"/>
        </a:p>
      </dgm:t>
    </dgm:pt>
    <dgm:pt modelId="{3A403949-B436-4552-A1AB-8EECC0ACF743}">
      <dgm:prSet phldrT="[Text]"/>
      <dgm:spPr/>
      <dgm:t>
        <a:bodyPr/>
        <a:lstStyle/>
        <a:p>
          <a:pPr>
            <a:buNone/>
          </a:pPr>
          <a:r>
            <a:rPr lang="en-GB" dirty="0">
              <a:latin typeface="Calibri" panose="020F0502020204030204" pitchFamily="34" charset="0"/>
              <a:cs typeface="Calibri" panose="020F0502020204030204" pitchFamily="34" charset="0"/>
            </a:rPr>
            <a:t>PFCC final approval at January Accountability Board – FINAL budget proposals</a:t>
          </a:r>
          <a:endParaRPr lang="en-GB" dirty="0"/>
        </a:p>
      </dgm:t>
    </dgm:pt>
    <dgm:pt modelId="{BA2D68C5-5DCE-4C2C-B665-BBF9A18BFF90}" type="parTrans" cxnId="{F4EE6D1D-2329-4B6D-A7EB-793DD9D45A1B}">
      <dgm:prSet/>
      <dgm:spPr/>
      <dgm:t>
        <a:bodyPr/>
        <a:lstStyle/>
        <a:p>
          <a:endParaRPr lang="en-GB"/>
        </a:p>
      </dgm:t>
    </dgm:pt>
    <dgm:pt modelId="{DEBAF137-0642-4181-9F53-5C16819F2660}" type="sibTrans" cxnId="{F4EE6D1D-2329-4B6D-A7EB-793DD9D45A1B}">
      <dgm:prSet/>
      <dgm:spPr/>
      <dgm:t>
        <a:bodyPr/>
        <a:lstStyle/>
        <a:p>
          <a:endParaRPr lang="en-GB"/>
        </a:p>
      </dgm:t>
    </dgm:pt>
    <dgm:pt modelId="{9F8AE336-FD06-429A-81B2-1596B4741605}">
      <dgm:prSet phldrT="[Text]"/>
      <dgm:spPr/>
      <dgm:t>
        <a:bodyPr/>
        <a:lstStyle/>
        <a:p>
          <a:r>
            <a:rPr lang="en-GB" dirty="0"/>
            <a:t>February</a:t>
          </a:r>
        </a:p>
      </dgm:t>
    </dgm:pt>
    <dgm:pt modelId="{46104067-ACFD-4C91-A4AE-27807F0F8448}" type="parTrans" cxnId="{77BF0075-629A-42CA-9343-A4995805A1BD}">
      <dgm:prSet/>
      <dgm:spPr/>
      <dgm:t>
        <a:bodyPr/>
        <a:lstStyle/>
        <a:p>
          <a:endParaRPr lang="en-GB"/>
        </a:p>
      </dgm:t>
    </dgm:pt>
    <dgm:pt modelId="{FD0D9C9A-36E1-4BA7-856F-6D27803EEDFB}" type="sibTrans" cxnId="{77BF0075-629A-42CA-9343-A4995805A1BD}">
      <dgm:prSet/>
      <dgm:spPr/>
      <dgm:t>
        <a:bodyPr/>
        <a:lstStyle/>
        <a:p>
          <a:endParaRPr lang="en-GB"/>
        </a:p>
      </dgm:t>
    </dgm:pt>
    <dgm:pt modelId="{B0914334-38E6-47EB-8E5E-EE054F75E4F7}">
      <dgm:prSet phldrT="[Text]"/>
      <dgm:spPr/>
      <dgm:t>
        <a:bodyPr/>
        <a:lstStyle/>
        <a:p>
          <a:pPr>
            <a:buNone/>
          </a:pPr>
          <a:r>
            <a:rPr lang="en-GB" dirty="0"/>
            <a:t>Budget Papers and Precept Proposal considered by the Panel</a:t>
          </a:r>
        </a:p>
      </dgm:t>
    </dgm:pt>
    <dgm:pt modelId="{A7FC66FA-E2ED-48AA-80F1-0792BDCC6DAB}" type="parTrans" cxnId="{2D4E5E8F-442A-4886-B406-A5F9E264F256}">
      <dgm:prSet/>
      <dgm:spPr/>
      <dgm:t>
        <a:bodyPr/>
        <a:lstStyle/>
        <a:p>
          <a:endParaRPr lang="en-GB"/>
        </a:p>
      </dgm:t>
    </dgm:pt>
    <dgm:pt modelId="{11278B4B-58B8-45D3-9E76-9F69EA9D7012}" type="sibTrans" cxnId="{2D4E5E8F-442A-4886-B406-A5F9E264F256}">
      <dgm:prSet/>
      <dgm:spPr/>
      <dgm:t>
        <a:bodyPr/>
        <a:lstStyle/>
        <a:p>
          <a:endParaRPr lang="en-GB"/>
        </a:p>
      </dgm:t>
    </dgm:pt>
    <dgm:pt modelId="{B1CFEE0E-0710-4A52-B485-C83971F2F6E4}">
      <dgm:prSet phldrT="[Text]"/>
      <dgm:spPr/>
      <dgm:t>
        <a:bodyPr/>
        <a:lstStyle/>
        <a:p>
          <a:r>
            <a:rPr lang="en-GB" dirty="0"/>
            <a:t>November</a:t>
          </a:r>
        </a:p>
      </dgm:t>
    </dgm:pt>
    <dgm:pt modelId="{7AE011EE-2FCC-4871-9247-5818F3C21393}" type="parTrans" cxnId="{71D775D5-B96B-4BFA-AC86-3DC73C23D9D9}">
      <dgm:prSet/>
      <dgm:spPr/>
      <dgm:t>
        <a:bodyPr/>
        <a:lstStyle/>
        <a:p>
          <a:endParaRPr lang="en-GB"/>
        </a:p>
      </dgm:t>
    </dgm:pt>
    <dgm:pt modelId="{7D1AD7D9-9DFB-409A-9E82-06F32D72861F}" type="sibTrans" cxnId="{71D775D5-B96B-4BFA-AC86-3DC73C23D9D9}">
      <dgm:prSet/>
      <dgm:spPr/>
      <dgm:t>
        <a:bodyPr/>
        <a:lstStyle/>
        <a:p>
          <a:endParaRPr lang="en-GB"/>
        </a:p>
      </dgm:t>
    </dgm:pt>
    <dgm:pt modelId="{A471EF92-0089-4C2C-A961-3BFC038565B9}" type="pres">
      <dgm:prSet presAssocID="{4C3F396D-FAD9-434C-B431-993BEA1F1B60}" presName="linearFlow" presStyleCnt="0">
        <dgm:presLayoutVars>
          <dgm:dir/>
          <dgm:animLvl val="lvl"/>
          <dgm:resizeHandles val="exact"/>
        </dgm:presLayoutVars>
      </dgm:prSet>
      <dgm:spPr/>
    </dgm:pt>
    <dgm:pt modelId="{4D9EE095-1D58-49F8-860D-8535E41C0379}" type="pres">
      <dgm:prSet presAssocID="{58D56BA6-200A-400B-BFC7-EBF76D8C8B08}" presName="composite" presStyleCnt="0"/>
      <dgm:spPr/>
    </dgm:pt>
    <dgm:pt modelId="{93C5A65B-FEDE-4A95-8750-B64043D7CF19}" type="pres">
      <dgm:prSet presAssocID="{58D56BA6-200A-400B-BFC7-EBF76D8C8B08}" presName="parentText" presStyleLbl="alignNode1" presStyleIdx="0" presStyleCnt="8">
        <dgm:presLayoutVars>
          <dgm:chMax val="1"/>
          <dgm:bulletEnabled val="1"/>
        </dgm:presLayoutVars>
      </dgm:prSet>
      <dgm:spPr/>
    </dgm:pt>
    <dgm:pt modelId="{B6214A9C-FC0A-40EB-9481-C1A415E38D89}" type="pres">
      <dgm:prSet presAssocID="{58D56BA6-200A-400B-BFC7-EBF76D8C8B08}" presName="descendantText" presStyleLbl="alignAcc1" presStyleIdx="0" presStyleCnt="8">
        <dgm:presLayoutVars>
          <dgm:bulletEnabled val="1"/>
        </dgm:presLayoutVars>
      </dgm:prSet>
      <dgm:spPr/>
    </dgm:pt>
    <dgm:pt modelId="{31964F2F-3420-4ECD-B608-777773ACFACB}" type="pres">
      <dgm:prSet presAssocID="{8BF36C57-A1E2-4000-A74C-EEB26BEAB328}" presName="sp" presStyleCnt="0"/>
      <dgm:spPr/>
    </dgm:pt>
    <dgm:pt modelId="{B2F36A81-CEBE-46E0-A2A0-76693F3014C6}" type="pres">
      <dgm:prSet presAssocID="{B7DFAB61-C46A-4EA2-8493-72B794392D41}" presName="composite" presStyleCnt="0"/>
      <dgm:spPr/>
    </dgm:pt>
    <dgm:pt modelId="{FF032F62-3E43-4B40-AC74-44D91BDC6B5E}" type="pres">
      <dgm:prSet presAssocID="{B7DFAB61-C46A-4EA2-8493-72B794392D41}" presName="parentText" presStyleLbl="alignNode1" presStyleIdx="1" presStyleCnt="8">
        <dgm:presLayoutVars>
          <dgm:chMax val="1"/>
          <dgm:bulletEnabled val="1"/>
        </dgm:presLayoutVars>
      </dgm:prSet>
      <dgm:spPr/>
    </dgm:pt>
    <dgm:pt modelId="{600CA261-7C2F-4088-8E48-39DE8129A95D}" type="pres">
      <dgm:prSet presAssocID="{B7DFAB61-C46A-4EA2-8493-72B794392D41}" presName="descendantText" presStyleLbl="alignAcc1" presStyleIdx="1" presStyleCnt="8">
        <dgm:presLayoutVars>
          <dgm:bulletEnabled val="1"/>
        </dgm:presLayoutVars>
      </dgm:prSet>
      <dgm:spPr/>
    </dgm:pt>
    <dgm:pt modelId="{9F35907E-84AD-4675-B07D-D90C04911EEC}" type="pres">
      <dgm:prSet presAssocID="{6E04C1E2-5D86-40B4-8508-10E45451F34D}" presName="sp" presStyleCnt="0"/>
      <dgm:spPr/>
    </dgm:pt>
    <dgm:pt modelId="{E9B8D935-58F5-4430-B896-532A26B84FEB}" type="pres">
      <dgm:prSet presAssocID="{82FF0DAF-BB70-4602-BB3D-FECD5A68A2EC}" presName="composite" presStyleCnt="0"/>
      <dgm:spPr/>
    </dgm:pt>
    <dgm:pt modelId="{7E8E2E81-B372-487E-AE3D-B9A41FC03C2D}" type="pres">
      <dgm:prSet presAssocID="{82FF0DAF-BB70-4602-BB3D-FECD5A68A2EC}" presName="parentText" presStyleLbl="alignNode1" presStyleIdx="2" presStyleCnt="8">
        <dgm:presLayoutVars>
          <dgm:chMax val="1"/>
          <dgm:bulletEnabled val="1"/>
        </dgm:presLayoutVars>
      </dgm:prSet>
      <dgm:spPr/>
    </dgm:pt>
    <dgm:pt modelId="{BD94E167-1A74-4C28-8F1D-CF50A6F7B8CC}" type="pres">
      <dgm:prSet presAssocID="{82FF0DAF-BB70-4602-BB3D-FECD5A68A2EC}" presName="descendantText" presStyleLbl="alignAcc1" presStyleIdx="2" presStyleCnt="8">
        <dgm:presLayoutVars>
          <dgm:bulletEnabled val="1"/>
        </dgm:presLayoutVars>
      </dgm:prSet>
      <dgm:spPr/>
    </dgm:pt>
    <dgm:pt modelId="{7987A30F-3AC0-44FA-9DD6-38700242E29D}" type="pres">
      <dgm:prSet presAssocID="{5A7A3C5A-725B-4724-A154-67BD86E1BB12}" presName="sp" presStyleCnt="0"/>
      <dgm:spPr/>
    </dgm:pt>
    <dgm:pt modelId="{28A5F93C-6BC4-45A5-9915-8E342462B46C}" type="pres">
      <dgm:prSet presAssocID="{9F0ED3C2-CDE0-4FCB-A7F9-1792C9708150}" presName="composite" presStyleCnt="0"/>
      <dgm:spPr/>
    </dgm:pt>
    <dgm:pt modelId="{C334268B-13CF-4AF6-BE4D-36C6A337FAD0}" type="pres">
      <dgm:prSet presAssocID="{9F0ED3C2-CDE0-4FCB-A7F9-1792C9708150}" presName="parentText" presStyleLbl="alignNode1" presStyleIdx="3" presStyleCnt="8">
        <dgm:presLayoutVars>
          <dgm:chMax val="1"/>
          <dgm:bulletEnabled val="1"/>
        </dgm:presLayoutVars>
      </dgm:prSet>
      <dgm:spPr/>
    </dgm:pt>
    <dgm:pt modelId="{81C86889-B220-496F-9C29-F27E623DA04C}" type="pres">
      <dgm:prSet presAssocID="{9F0ED3C2-CDE0-4FCB-A7F9-1792C9708150}" presName="descendantText" presStyleLbl="alignAcc1" presStyleIdx="3" presStyleCnt="8">
        <dgm:presLayoutVars>
          <dgm:bulletEnabled val="1"/>
        </dgm:presLayoutVars>
      </dgm:prSet>
      <dgm:spPr/>
    </dgm:pt>
    <dgm:pt modelId="{096CFC96-437A-4183-A324-39516DECCE96}" type="pres">
      <dgm:prSet presAssocID="{ED769993-7F3A-4372-8DEB-5CE741AD1616}" presName="sp" presStyleCnt="0"/>
      <dgm:spPr/>
    </dgm:pt>
    <dgm:pt modelId="{AFB49B4D-ACC3-49F3-93CD-B242B56674B6}" type="pres">
      <dgm:prSet presAssocID="{B1CFEE0E-0710-4A52-B485-C83971F2F6E4}" presName="composite" presStyleCnt="0"/>
      <dgm:spPr/>
    </dgm:pt>
    <dgm:pt modelId="{520729A9-1C47-4970-B485-ED179A6D328E}" type="pres">
      <dgm:prSet presAssocID="{B1CFEE0E-0710-4A52-B485-C83971F2F6E4}" presName="parentText" presStyleLbl="alignNode1" presStyleIdx="4" presStyleCnt="8">
        <dgm:presLayoutVars>
          <dgm:chMax val="1"/>
          <dgm:bulletEnabled val="1"/>
        </dgm:presLayoutVars>
      </dgm:prSet>
      <dgm:spPr/>
    </dgm:pt>
    <dgm:pt modelId="{3EF0D81E-94B7-4263-8532-C417CD9E99FF}" type="pres">
      <dgm:prSet presAssocID="{B1CFEE0E-0710-4A52-B485-C83971F2F6E4}" presName="descendantText" presStyleLbl="alignAcc1" presStyleIdx="4" presStyleCnt="8">
        <dgm:presLayoutVars>
          <dgm:bulletEnabled val="1"/>
        </dgm:presLayoutVars>
      </dgm:prSet>
      <dgm:spPr/>
    </dgm:pt>
    <dgm:pt modelId="{ED1B3E09-B44F-49C9-83F8-87267AFA0C68}" type="pres">
      <dgm:prSet presAssocID="{7D1AD7D9-9DFB-409A-9E82-06F32D72861F}" presName="sp" presStyleCnt="0"/>
      <dgm:spPr/>
    </dgm:pt>
    <dgm:pt modelId="{352C8771-18CD-4218-9C25-6B2459A01062}" type="pres">
      <dgm:prSet presAssocID="{3087A382-C96F-4546-B4D1-B582819098FD}" presName="composite" presStyleCnt="0"/>
      <dgm:spPr/>
    </dgm:pt>
    <dgm:pt modelId="{AE9748B8-2736-47E3-A005-4C8ED8F65A2B}" type="pres">
      <dgm:prSet presAssocID="{3087A382-C96F-4546-B4D1-B582819098FD}" presName="parentText" presStyleLbl="alignNode1" presStyleIdx="5" presStyleCnt="8">
        <dgm:presLayoutVars>
          <dgm:chMax val="1"/>
          <dgm:bulletEnabled val="1"/>
        </dgm:presLayoutVars>
      </dgm:prSet>
      <dgm:spPr/>
    </dgm:pt>
    <dgm:pt modelId="{93E4C178-4971-488E-90F9-E065A2540AA3}" type="pres">
      <dgm:prSet presAssocID="{3087A382-C96F-4546-B4D1-B582819098FD}" presName="descendantText" presStyleLbl="alignAcc1" presStyleIdx="5" presStyleCnt="8">
        <dgm:presLayoutVars>
          <dgm:bulletEnabled val="1"/>
        </dgm:presLayoutVars>
      </dgm:prSet>
      <dgm:spPr/>
    </dgm:pt>
    <dgm:pt modelId="{AC326FD5-A49E-456F-9D15-54C39CAE70B4}" type="pres">
      <dgm:prSet presAssocID="{532B05A4-5ACB-43B0-B8C8-B480D0D66803}" presName="sp" presStyleCnt="0"/>
      <dgm:spPr/>
    </dgm:pt>
    <dgm:pt modelId="{C52F9743-A8B6-4F68-80F2-620FF555276F}" type="pres">
      <dgm:prSet presAssocID="{EB083492-A14F-45B0-85BC-C2150C530255}" presName="composite" presStyleCnt="0"/>
      <dgm:spPr/>
    </dgm:pt>
    <dgm:pt modelId="{D98FF503-CA8D-442A-ABF9-A8B228430D4D}" type="pres">
      <dgm:prSet presAssocID="{EB083492-A14F-45B0-85BC-C2150C530255}" presName="parentText" presStyleLbl="alignNode1" presStyleIdx="6" presStyleCnt="8">
        <dgm:presLayoutVars>
          <dgm:chMax val="1"/>
          <dgm:bulletEnabled val="1"/>
        </dgm:presLayoutVars>
      </dgm:prSet>
      <dgm:spPr/>
    </dgm:pt>
    <dgm:pt modelId="{596651A8-09C5-4682-812F-7891D37AF21D}" type="pres">
      <dgm:prSet presAssocID="{EB083492-A14F-45B0-85BC-C2150C530255}" presName="descendantText" presStyleLbl="alignAcc1" presStyleIdx="6" presStyleCnt="8">
        <dgm:presLayoutVars>
          <dgm:bulletEnabled val="1"/>
        </dgm:presLayoutVars>
      </dgm:prSet>
      <dgm:spPr/>
    </dgm:pt>
    <dgm:pt modelId="{8A0C94ED-86A5-425A-87EF-BF2783B2393E}" type="pres">
      <dgm:prSet presAssocID="{88E32DC5-D602-478E-8E3D-4AA138EC2AB3}" presName="sp" presStyleCnt="0"/>
      <dgm:spPr/>
    </dgm:pt>
    <dgm:pt modelId="{08CC169C-AC72-4DAE-82FF-D1F99EADA293}" type="pres">
      <dgm:prSet presAssocID="{9F8AE336-FD06-429A-81B2-1596B4741605}" presName="composite" presStyleCnt="0"/>
      <dgm:spPr/>
    </dgm:pt>
    <dgm:pt modelId="{51C8A537-7C5A-4262-89F6-338B290EC87F}" type="pres">
      <dgm:prSet presAssocID="{9F8AE336-FD06-429A-81B2-1596B4741605}" presName="parentText" presStyleLbl="alignNode1" presStyleIdx="7" presStyleCnt="8">
        <dgm:presLayoutVars>
          <dgm:chMax val="1"/>
          <dgm:bulletEnabled val="1"/>
        </dgm:presLayoutVars>
      </dgm:prSet>
      <dgm:spPr/>
    </dgm:pt>
    <dgm:pt modelId="{A79DC3F1-CBC2-43C8-9800-3925CAE939F5}" type="pres">
      <dgm:prSet presAssocID="{9F8AE336-FD06-429A-81B2-1596B4741605}" presName="descendantText" presStyleLbl="alignAcc1" presStyleIdx="7" presStyleCnt="8">
        <dgm:presLayoutVars>
          <dgm:bulletEnabled val="1"/>
        </dgm:presLayoutVars>
      </dgm:prSet>
      <dgm:spPr/>
    </dgm:pt>
  </dgm:ptLst>
  <dgm:cxnLst>
    <dgm:cxn modelId="{FF45EA0B-051C-4763-A551-266B826EF3F4}" type="presOf" srcId="{2C2503A6-1FF0-47AC-A13D-0A0BE77A6AFE}" destId="{600CA261-7C2F-4088-8E48-39DE8129A95D}" srcOrd="0" destOrd="0" presId="urn:microsoft.com/office/officeart/2005/8/layout/chevron2"/>
    <dgm:cxn modelId="{E6DA5E10-53DA-4711-B633-FAFD14C73212}" type="presOf" srcId="{9F0ED3C2-CDE0-4FCB-A7F9-1792C9708150}" destId="{C334268B-13CF-4AF6-BE4D-36C6A337FAD0}" srcOrd="0" destOrd="0" presId="urn:microsoft.com/office/officeart/2005/8/layout/chevron2"/>
    <dgm:cxn modelId="{577D6610-7FCC-45E0-9A0A-2D78F7A7005A}" type="presOf" srcId="{3A403949-B436-4552-A1AB-8EECC0ACF743}" destId="{596651A8-09C5-4682-812F-7891D37AF21D}" srcOrd="0" destOrd="0" presId="urn:microsoft.com/office/officeart/2005/8/layout/chevron2"/>
    <dgm:cxn modelId="{AA10D319-32E9-4513-824D-41238A66B415}" type="presOf" srcId="{B0914334-38E6-47EB-8E5E-EE054F75E4F7}" destId="{A79DC3F1-CBC2-43C8-9800-3925CAE939F5}" srcOrd="0" destOrd="0" presId="urn:microsoft.com/office/officeart/2005/8/layout/chevron2"/>
    <dgm:cxn modelId="{F4EE6D1D-2329-4B6D-A7EB-793DD9D45A1B}" srcId="{EB083492-A14F-45B0-85BC-C2150C530255}" destId="{3A403949-B436-4552-A1AB-8EECC0ACF743}" srcOrd="0" destOrd="0" parTransId="{BA2D68C5-5DCE-4C2C-B665-BBF9A18BFF90}" sibTransId="{DEBAF137-0642-4181-9F53-5C16819F2660}"/>
    <dgm:cxn modelId="{DB9E491F-2956-46D8-A90D-B9CFB6573132}" type="presOf" srcId="{B7DFAB61-C46A-4EA2-8493-72B794392D41}" destId="{FF032F62-3E43-4B40-AC74-44D91BDC6B5E}" srcOrd="0" destOrd="0" presId="urn:microsoft.com/office/officeart/2005/8/layout/chevron2"/>
    <dgm:cxn modelId="{E8153720-C513-4146-9012-810E72BDBE0D}" srcId="{4C3F396D-FAD9-434C-B431-993BEA1F1B60}" destId="{B7DFAB61-C46A-4EA2-8493-72B794392D41}" srcOrd="1" destOrd="0" parTransId="{9654F6BC-CB5F-4F46-97A9-EA108E2946E8}" sibTransId="{6E04C1E2-5D86-40B4-8508-10E45451F34D}"/>
    <dgm:cxn modelId="{97C5AB28-A21A-4DCC-AFC2-5E0B70B01B80}" srcId="{B7DFAB61-C46A-4EA2-8493-72B794392D41}" destId="{2C2503A6-1FF0-47AC-A13D-0A0BE77A6AFE}" srcOrd="0" destOrd="0" parTransId="{E4A59C71-0E3D-44E9-967B-F1E10ADC78B3}" sibTransId="{07ADC382-0698-4A50-8940-D39CE8D1E31C}"/>
    <dgm:cxn modelId="{384ECF2A-E6ED-420A-8738-0162A8E8C3BB}" type="presOf" srcId="{FBF3BEDF-45C4-46F7-BAC0-00D15BB0AE3C}" destId="{B6214A9C-FC0A-40EB-9481-C1A415E38D89}" srcOrd="0" destOrd="0" presId="urn:microsoft.com/office/officeart/2005/8/layout/chevron2"/>
    <dgm:cxn modelId="{72376C38-B937-4F35-89A8-8601B25512BC}" type="presOf" srcId="{4C3F396D-FAD9-434C-B431-993BEA1F1B60}" destId="{A471EF92-0089-4C2C-A961-3BFC038565B9}" srcOrd="0" destOrd="0" presId="urn:microsoft.com/office/officeart/2005/8/layout/chevron2"/>
    <dgm:cxn modelId="{644A1839-C838-4DC3-B8C9-3EC6BD9FC2F5}" srcId="{3087A382-C96F-4546-B4D1-B582819098FD}" destId="{E72B679F-D95A-4BBB-A3CD-F7DBADD30467}" srcOrd="0" destOrd="0" parTransId="{AAB31C4F-A753-47E6-A990-E74E7A42EF3A}" sibTransId="{913711B8-684C-4BF9-BFEB-B786210380A3}"/>
    <dgm:cxn modelId="{6333913A-BEDF-40AA-8949-B045862817EA}" type="presOf" srcId="{82FF0DAF-BB70-4602-BB3D-FECD5A68A2EC}" destId="{7E8E2E81-B372-487E-AE3D-B9A41FC03C2D}" srcOrd="0" destOrd="0" presId="urn:microsoft.com/office/officeart/2005/8/layout/chevron2"/>
    <dgm:cxn modelId="{E4314648-7C03-4BF3-BD65-3C30D25CF7C9}" srcId="{B1CFEE0E-0710-4A52-B485-C83971F2F6E4}" destId="{719001B5-FABC-4998-840E-3709978992B1}" srcOrd="0" destOrd="0" parTransId="{7353D9FE-9E7B-4F6D-A2F7-E8196F1D2B10}" sibTransId="{DEC51A6B-446B-4409-9C0C-E68A76DDC776}"/>
    <dgm:cxn modelId="{A814B54D-1702-434E-8A55-9EA985368E61}" srcId="{4C3F396D-FAD9-434C-B431-993BEA1F1B60}" destId="{58D56BA6-200A-400B-BFC7-EBF76D8C8B08}" srcOrd="0" destOrd="0" parTransId="{62E5B131-F2A4-46D7-A531-F8377ACC2443}" sibTransId="{8BF36C57-A1E2-4000-A74C-EEB26BEAB328}"/>
    <dgm:cxn modelId="{775B6B4E-691E-4175-8ED1-4A9276DB281B}" type="presOf" srcId="{719001B5-FABC-4998-840E-3709978992B1}" destId="{3EF0D81E-94B7-4263-8532-C417CD9E99FF}" srcOrd="0" destOrd="0" presId="urn:microsoft.com/office/officeart/2005/8/layout/chevron2"/>
    <dgm:cxn modelId="{D3D3D273-AB98-448C-80F3-D2389E7CE731}" srcId="{4C3F396D-FAD9-434C-B431-993BEA1F1B60}" destId="{9F0ED3C2-CDE0-4FCB-A7F9-1792C9708150}" srcOrd="3" destOrd="0" parTransId="{CB75B86D-59B8-4896-9EC7-A56190B92500}" sibTransId="{ED769993-7F3A-4372-8DEB-5CE741AD1616}"/>
    <dgm:cxn modelId="{77BF0075-629A-42CA-9343-A4995805A1BD}" srcId="{4C3F396D-FAD9-434C-B431-993BEA1F1B60}" destId="{9F8AE336-FD06-429A-81B2-1596B4741605}" srcOrd="7" destOrd="0" parTransId="{46104067-ACFD-4C91-A4AE-27807F0F8448}" sibTransId="{FD0D9C9A-36E1-4BA7-856F-6D27803EEDFB}"/>
    <dgm:cxn modelId="{8E14D47C-545F-423D-B994-633EDFFEFB3A}" srcId="{4C3F396D-FAD9-434C-B431-993BEA1F1B60}" destId="{82FF0DAF-BB70-4602-BB3D-FECD5A68A2EC}" srcOrd="2" destOrd="0" parTransId="{C1A173C6-A5E2-4507-9B67-57E30BA5C608}" sibTransId="{5A7A3C5A-725B-4724-A154-67BD86E1BB12}"/>
    <dgm:cxn modelId="{8CC8487E-B797-4D30-BF67-9FD582B608DD}" type="presOf" srcId="{58D56BA6-200A-400B-BFC7-EBF76D8C8B08}" destId="{93C5A65B-FEDE-4A95-8750-B64043D7CF19}" srcOrd="0" destOrd="0" presId="urn:microsoft.com/office/officeart/2005/8/layout/chevron2"/>
    <dgm:cxn modelId="{4C154F7F-028A-4EDE-BB54-9FF11805DDE0}" type="presOf" srcId="{9F8AE336-FD06-429A-81B2-1596B4741605}" destId="{51C8A537-7C5A-4262-89F6-338B290EC87F}" srcOrd="0" destOrd="0" presId="urn:microsoft.com/office/officeart/2005/8/layout/chevron2"/>
    <dgm:cxn modelId="{5DFAEC87-1AB7-4820-939D-A16151E1E602}" srcId="{58D56BA6-200A-400B-BFC7-EBF76D8C8B08}" destId="{FBF3BEDF-45C4-46F7-BAC0-00D15BB0AE3C}" srcOrd="0" destOrd="0" parTransId="{EA11BC2E-2E92-4675-A3EE-4DCB06D409AC}" sibTransId="{EF61D74B-2A49-4411-BD2A-07FF49CFB1B9}"/>
    <dgm:cxn modelId="{2D4E5E8F-442A-4886-B406-A5F9E264F256}" srcId="{9F8AE336-FD06-429A-81B2-1596B4741605}" destId="{B0914334-38E6-47EB-8E5E-EE054F75E4F7}" srcOrd="0" destOrd="0" parTransId="{A7FC66FA-E2ED-48AA-80F1-0792BDCC6DAB}" sibTransId="{11278B4B-58B8-45D3-9E76-9F69EA9D7012}"/>
    <dgm:cxn modelId="{6E687290-C9E4-4980-9980-B5F50C946C11}" type="presOf" srcId="{3087A382-C96F-4546-B4D1-B582819098FD}" destId="{AE9748B8-2736-47E3-A005-4C8ED8F65A2B}" srcOrd="0" destOrd="0" presId="urn:microsoft.com/office/officeart/2005/8/layout/chevron2"/>
    <dgm:cxn modelId="{BE3BD59C-F17B-414E-9AC5-6B39850744A4}" type="presOf" srcId="{EB083492-A14F-45B0-85BC-C2150C530255}" destId="{D98FF503-CA8D-442A-ABF9-A8B228430D4D}" srcOrd="0" destOrd="0" presId="urn:microsoft.com/office/officeart/2005/8/layout/chevron2"/>
    <dgm:cxn modelId="{B6BE1AB0-15DF-4493-945A-187F4CA85C63}" type="presOf" srcId="{E72B679F-D95A-4BBB-A3CD-F7DBADD30467}" destId="{93E4C178-4971-488E-90F9-E065A2540AA3}" srcOrd="0" destOrd="0" presId="urn:microsoft.com/office/officeart/2005/8/layout/chevron2"/>
    <dgm:cxn modelId="{E4FFD3B3-D366-4070-8B70-69A0E23B181F}" srcId="{4C3F396D-FAD9-434C-B431-993BEA1F1B60}" destId="{3087A382-C96F-4546-B4D1-B582819098FD}" srcOrd="5" destOrd="0" parTransId="{B6F70E16-8553-40EB-A1BE-F8959CC5EEDF}" sibTransId="{532B05A4-5ACB-43B0-B8C8-B480D0D66803}"/>
    <dgm:cxn modelId="{22258AB4-7278-4475-BED3-428363418DF3}" type="presOf" srcId="{8CFA7F46-3F36-44EF-97ED-3294C53D6A91}" destId="{BD94E167-1A74-4C28-8F1D-CF50A6F7B8CC}" srcOrd="0" destOrd="0" presId="urn:microsoft.com/office/officeart/2005/8/layout/chevron2"/>
    <dgm:cxn modelId="{70ECDBB9-25D9-48EC-B523-FC02C876BF3A}" srcId="{9F0ED3C2-CDE0-4FCB-A7F9-1792C9708150}" destId="{3B1CEB3D-4914-43F5-8318-B58F40D70609}" srcOrd="0" destOrd="0" parTransId="{5016D617-AD71-4802-A53E-4FEFEAE2C9D0}" sibTransId="{82BF9941-2772-4B57-97A8-5FB170C955FB}"/>
    <dgm:cxn modelId="{6BDEE3C1-3EC0-4FAC-B6DD-49B37D4D93FF}" srcId="{4C3F396D-FAD9-434C-B431-993BEA1F1B60}" destId="{EB083492-A14F-45B0-85BC-C2150C530255}" srcOrd="6" destOrd="0" parTransId="{66420801-F069-47AE-B08B-041CA8FFB77E}" sibTransId="{88E32DC5-D602-478E-8E3D-4AA138EC2AB3}"/>
    <dgm:cxn modelId="{4CB026C6-0939-4312-B8ED-8FB31B339EA4}" srcId="{82FF0DAF-BB70-4602-BB3D-FECD5A68A2EC}" destId="{8CFA7F46-3F36-44EF-97ED-3294C53D6A91}" srcOrd="0" destOrd="0" parTransId="{44375A24-BBC7-4947-AF37-0EE2EEC88B20}" sibTransId="{209495F1-F492-4763-ABD5-1FE9B304899A}"/>
    <dgm:cxn modelId="{71D775D5-B96B-4BFA-AC86-3DC73C23D9D9}" srcId="{4C3F396D-FAD9-434C-B431-993BEA1F1B60}" destId="{B1CFEE0E-0710-4A52-B485-C83971F2F6E4}" srcOrd="4" destOrd="0" parTransId="{7AE011EE-2FCC-4871-9247-5818F3C21393}" sibTransId="{7D1AD7D9-9DFB-409A-9E82-06F32D72861F}"/>
    <dgm:cxn modelId="{107141F3-4139-4CE3-87A9-58FAF527BF58}" type="presOf" srcId="{3B1CEB3D-4914-43F5-8318-B58F40D70609}" destId="{81C86889-B220-496F-9C29-F27E623DA04C}" srcOrd="0" destOrd="0" presId="urn:microsoft.com/office/officeart/2005/8/layout/chevron2"/>
    <dgm:cxn modelId="{494967F3-C9C0-43AD-95E1-7F25790D96A6}" type="presOf" srcId="{B1CFEE0E-0710-4A52-B485-C83971F2F6E4}" destId="{520729A9-1C47-4970-B485-ED179A6D328E}" srcOrd="0" destOrd="0" presId="urn:microsoft.com/office/officeart/2005/8/layout/chevron2"/>
    <dgm:cxn modelId="{DA4C6C7B-4F3E-4908-B5C4-579EA9F11104}" type="presParOf" srcId="{A471EF92-0089-4C2C-A961-3BFC038565B9}" destId="{4D9EE095-1D58-49F8-860D-8535E41C0379}" srcOrd="0" destOrd="0" presId="urn:microsoft.com/office/officeart/2005/8/layout/chevron2"/>
    <dgm:cxn modelId="{DDE87B35-1DC7-46AE-8369-C82041EA27DF}" type="presParOf" srcId="{4D9EE095-1D58-49F8-860D-8535E41C0379}" destId="{93C5A65B-FEDE-4A95-8750-B64043D7CF19}" srcOrd="0" destOrd="0" presId="urn:microsoft.com/office/officeart/2005/8/layout/chevron2"/>
    <dgm:cxn modelId="{10051C0E-1F13-4F19-824A-EB3611772A98}" type="presParOf" srcId="{4D9EE095-1D58-49F8-860D-8535E41C0379}" destId="{B6214A9C-FC0A-40EB-9481-C1A415E38D89}" srcOrd="1" destOrd="0" presId="urn:microsoft.com/office/officeart/2005/8/layout/chevron2"/>
    <dgm:cxn modelId="{C22E9DD1-9B7E-459D-B14F-DC6FED4F273A}" type="presParOf" srcId="{A471EF92-0089-4C2C-A961-3BFC038565B9}" destId="{31964F2F-3420-4ECD-B608-777773ACFACB}" srcOrd="1" destOrd="0" presId="urn:microsoft.com/office/officeart/2005/8/layout/chevron2"/>
    <dgm:cxn modelId="{2AE3545C-F37F-4F58-B5D1-26762651B8D4}" type="presParOf" srcId="{A471EF92-0089-4C2C-A961-3BFC038565B9}" destId="{B2F36A81-CEBE-46E0-A2A0-76693F3014C6}" srcOrd="2" destOrd="0" presId="urn:microsoft.com/office/officeart/2005/8/layout/chevron2"/>
    <dgm:cxn modelId="{B9CD9834-DEBD-4220-A733-6F2ABA2734CB}" type="presParOf" srcId="{B2F36A81-CEBE-46E0-A2A0-76693F3014C6}" destId="{FF032F62-3E43-4B40-AC74-44D91BDC6B5E}" srcOrd="0" destOrd="0" presId="urn:microsoft.com/office/officeart/2005/8/layout/chevron2"/>
    <dgm:cxn modelId="{3F7A605F-F16D-4397-9F90-FBB496BBEA9A}" type="presParOf" srcId="{B2F36A81-CEBE-46E0-A2A0-76693F3014C6}" destId="{600CA261-7C2F-4088-8E48-39DE8129A95D}" srcOrd="1" destOrd="0" presId="urn:microsoft.com/office/officeart/2005/8/layout/chevron2"/>
    <dgm:cxn modelId="{81A972A2-3FDB-4E00-8085-30E8C4C8B793}" type="presParOf" srcId="{A471EF92-0089-4C2C-A961-3BFC038565B9}" destId="{9F35907E-84AD-4675-B07D-D90C04911EEC}" srcOrd="3" destOrd="0" presId="urn:microsoft.com/office/officeart/2005/8/layout/chevron2"/>
    <dgm:cxn modelId="{A03D5ED5-9F16-4042-B7A3-E20B8527738F}" type="presParOf" srcId="{A471EF92-0089-4C2C-A961-3BFC038565B9}" destId="{E9B8D935-58F5-4430-B896-532A26B84FEB}" srcOrd="4" destOrd="0" presId="urn:microsoft.com/office/officeart/2005/8/layout/chevron2"/>
    <dgm:cxn modelId="{23F6EC58-93DD-46B4-BCEF-EE1830F6D9C1}" type="presParOf" srcId="{E9B8D935-58F5-4430-B896-532A26B84FEB}" destId="{7E8E2E81-B372-487E-AE3D-B9A41FC03C2D}" srcOrd="0" destOrd="0" presId="urn:microsoft.com/office/officeart/2005/8/layout/chevron2"/>
    <dgm:cxn modelId="{2CA08D9C-7481-4C2C-814D-3B446F8B463A}" type="presParOf" srcId="{E9B8D935-58F5-4430-B896-532A26B84FEB}" destId="{BD94E167-1A74-4C28-8F1D-CF50A6F7B8CC}" srcOrd="1" destOrd="0" presId="urn:microsoft.com/office/officeart/2005/8/layout/chevron2"/>
    <dgm:cxn modelId="{411345B5-EA30-47CE-8430-7E3EA24A5E79}" type="presParOf" srcId="{A471EF92-0089-4C2C-A961-3BFC038565B9}" destId="{7987A30F-3AC0-44FA-9DD6-38700242E29D}" srcOrd="5" destOrd="0" presId="urn:microsoft.com/office/officeart/2005/8/layout/chevron2"/>
    <dgm:cxn modelId="{3FD34F6D-10FA-4D3D-8262-B34CDEF04529}" type="presParOf" srcId="{A471EF92-0089-4C2C-A961-3BFC038565B9}" destId="{28A5F93C-6BC4-45A5-9915-8E342462B46C}" srcOrd="6" destOrd="0" presId="urn:microsoft.com/office/officeart/2005/8/layout/chevron2"/>
    <dgm:cxn modelId="{CA05A474-1FE9-44EB-B07F-4B3B673B88E6}" type="presParOf" srcId="{28A5F93C-6BC4-45A5-9915-8E342462B46C}" destId="{C334268B-13CF-4AF6-BE4D-36C6A337FAD0}" srcOrd="0" destOrd="0" presId="urn:microsoft.com/office/officeart/2005/8/layout/chevron2"/>
    <dgm:cxn modelId="{13E0D251-95AF-4D03-91AB-C0B026C5646C}" type="presParOf" srcId="{28A5F93C-6BC4-45A5-9915-8E342462B46C}" destId="{81C86889-B220-496F-9C29-F27E623DA04C}" srcOrd="1" destOrd="0" presId="urn:microsoft.com/office/officeart/2005/8/layout/chevron2"/>
    <dgm:cxn modelId="{97776EA4-6442-47F3-9519-20FE8E83A21C}" type="presParOf" srcId="{A471EF92-0089-4C2C-A961-3BFC038565B9}" destId="{096CFC96-437A-4183-A324-39516DECCE96}" srcOrd="7" destOrd="0" presId="urn:microsoft.com/office/officeart/2005/8/layout/chevron2"/>
    <dgm:cxn modelId="{9C42B850-70E6-48B1-AA91-0BC084A2290A}" type="presParOf" srcId="{A471EF92-0089-4C2C-A961-3BFC038565B9}" destId="{AFB49B4D-ACC3-49F3-93CD-B242B56674B6}" srcOrd="8" destOrd="0" presId="urn:microsoft.com/office/officeart/2005/8/layout/chevron2"/>
    <dgm:cxn modelId="{1EBAA83C-B93A-4FFD-B373-D47DC209E580}" type="presParOf" srcId="{AFB49B4D-ACC3-49F3-93CD-B242B56674B6}" destId="{520729A9-1C47-4970-B485-ED179A6D328E}" srcOrd="0" destOrd="0" presId="urn:microsoft.com/office/officeart/2005/8/layout/chevron2"/>
    <dgm:cxn modelId="{AA8FFE61-2412-4333-8A2E-50C93AD5A849}" type="presParOf" srcId="{AFB49B4D-ACC3-49F3-93CD-B242B56674B6}" destId="{3EF0D81E-94B7-4263-8532-C417CD9E99FF}" srcOrd="1" destOrd="0" presId="urn:microsoft.com/office/officeart/2005/8/layout/chevron2"/>
    <dgm:cxn modelId="{0D3396DD-F31F-4E08-8050-69A3116FF6D0}" type="presParOf" srcId="{A471EF92-0089-4C2C-A961-3BFC038565B9}" destId="{ED1B3E09-B44F-49C9-83F8-87267AFA0C68}" srcOrd="9" destOrd="0" presId="urn:microsoft.com/office/officeart/2005/8/layout/chevron2"/>
    <dgm:cxn modelId="{28C22355-191D-4C4F-8327-B5E444783D61}" type="presParOf" srcId="{A471EF92-0089-4C2C-A961-3BFC038565B9}" destId="{352C8771-18CD-4218-9C25-6B2459A01062}" srcOrd="10" destOrd="0" presId="urn:microsoft.com/office/officeart/2005/8/layout/chevron2"/>
    <dgm:cxn modelId="{AE1015F0-1E88-455F-8438-BD2C024107C6}" type="presParOf" srcId="{352C8771-18CD-4218-9C25-6B2459A01062}" destId="{AE9748B8-2736-47E3-A005-4C8ED8F65A2B}" srcOrd="0" destOrd="0" presId="urn:microsoft.com/office/officeart/2005/8/layout/chevron2"/>
    <dgm:cxn modelId="{259600DE-5764-4FDD-8790-B4D7BDDA0BE7}" type="presParOf" srcId="{352C8771-18CD-4218-9C25-6B2459A01062}" destId="{93E4C178-4971-488E-90F9-E065A2540AA3}" srcOrd="1" destOrd="0" presId="urn:microsoft.com/office/officeart/2005/8/layout/chevron2"/>
    <dgm:cxn modelId="{A6B63EF4-2DE6-4ACA-9450-FEAA7A20BD0C}" type="presParOf" srcId="{A471EF92-0089-4C2C-A961-3BFC038565B9}" destId="{AC326FD5-A49E-456F-9D15-54C39CAE70B4}" srcOrd="11" destOrd="0" presId="urn:microsoft.com/office/officeart/2005/8/layout/chevron2"/>
    <dgm:cxn modelId="{1AAF2CCD-5C48-4D02-B6C9-5020A3766EB7}" type="presParOf" srcId="{A471EF92-0089-4C2C-A961-3BFC038565B9}" destId="{C52F9743-A8B6-4F68-80F2-620FF555276F}" srcOrd="12" destOrd="0" presId="urn:microsoft.com/office/officeart/2005/8/layout/chevron2"/>
    <dgm:cxn modelId="{E6F37C00-CD15-4B4E-82EE-3228799E2232}" type="presParOf" srcId="{C52F9743-A8B6-4F68-80F2-620FF555276F}" destId="{D98FF503-CA8D-442A-ABF9-A8B228430D4D}" srcOrd="0" destOrd="0" presId="urn:microsoft.com/office/officeart/2005/8/layout/chevron2"/>
    <dgm:cxn modelId="{A835042A-65EC-4E0F-9E85-9C5524A6962C}" type="presParOf" srcId="{C52F9743-A8B6-4F68-80F2-620FF555276F}" destId="{596651A8-09C5-4682-812F-7891D37AF21D}" srcOrd="1" destOrd="0" presId="urn:microsoft.com/office/officeart/2005/8/layout/chevron2"/>
    <dgm:cxn modelId="{4650AEF2-9C79-48FF-838A-A16E65A63FAC}" type="presParOf" srcId="{A471EF92-0089-4C2C-A961-3BFC038565B9}" destId="{8A0C94ED-86A5-425A-87EF-BF2783B2393E}" srcOrd="13" destOrd="0" presId="urn:microsoft.com/office/officeart/2005/8/layout/chevron2"/>
    <dgm:cxn modelId="{B1DFEF4B-2329-40FE-BC7F-63530C73B757}" type="presParOf" srcId="{A471EF92-0089-4C2C-A961-3BFC038565B9}" destId="{08CC169C-AC72-4DAE-82FF-D1F99EADA293}" srcOrd="14" destOrd="0" presId="urn:microsoft.com/office/officeart/2005/8/layout/chevron2"/>
    <dgm:cxn modelId="{B03EAECE-1428-4B0E-94FA-C4D9FC696C56}" type="presParOf" srcId="{08CC169C-AC72-4DAE-82FF-D1F99EADA293}" destId="{51C8A537-7C5A-4262-89F6-338B290EC87F}" srcOrd="0" destOrd="0" presId="urn:microsoft.com/office/officeart/2005/8/layout/chevron2"/>
    <dgm:cxn modelId="{6F8BE368-3136-4C8A-BB02-D0147B775BE4}" type="presParOf" srcId="{08CC169C-AC72-4DAE-82FF-D1F99EADA293}" destId="{A79DC3F1-CBC2-43C8-9800-3925CAE939F5}"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C5A65B-FEDE-4A95-8750-B64043D7CF19}">
      <dsp:nvSpPr>
        <dsp:cNvPr id="0" name=""/>
        <dsp:cNvSpPr/>
      </dsp:nvSpPr>
      <dsp:spPr>
        <a:xfrm rot="5400000">
          <a:off x="-88845" y="89253"/>
          <a:ext cx="592306" cy="41461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September/ October</a:t>
          </a:r>
        </a:p>
      </dsp:txBody>
      <dsp:txXfrm rot="-5400000">
        <a:off x="1" y="207714"/>
        <a:ext cx="414614" cy="177692"/>
      </dsp:txXfrm>
    </dsp:sp>
    <dsp:sp modelId="{B6214A9C-FC0A-40EB-9481-C1A415E38D89}">
      <dsp:nvSpPr>
        <dsp:cNvPr id="0" name=""/>
        <dsp:cNvSpPr/>
      </dsp:nvSpPr>
      <dsp:spPr>
        <a:xfrm rot="5400000">
          <a:off x="3074872" y="-2659850"/>
          <a:ext cx="384999" cy="570551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Finance personnel calculate the budget requirements in conjunction with budget holders</a:t>
          </a:r>
          <a:endParaRPr lang="en-GB" sz="1200" kern="1200" dirty="0"/>
        </a:p>
      </dsp:txBody>
      <dsp:txXfrm rot="-5400000">
        <a:off x="414614" y="19202"/>
        <a:ext cx="5686721" cy="347411"/>
      </dsp:txXfrm>
    </dsp:sp>
    <dsp:sp modelId="{FF032F62-3E43-4B40-AC74-44D91BDC6B5E}">
      <dsp:nvSpPr>
        <dsp:cNvPr id="0" name=""/>
        <dsp:cNvSpPr/>
      </dsp:nvSpPr>
      <dsp:spPr>
        <a:xfrm rot="5400000">
          <a:off x="-88845" y="606229"/>
          <a:ext cx="592306" cy="41461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October</a:t>
          </a:r>
        </a:p>
      </dsp:txBody>
      <dsp:txXfrm rot="-5400000">
        <a:off x="1" y="724690"/>
        <a:ext cx="414614" cy="177692"/>
      </dsp:txXfrm>
    </dsp:sp>
    <dsp:sp modelId="{600CA261-7C2F-4088-8E48-39DE8129A95D}">
      <dsp:nvSpPr>
        <dsp:cNvPr id="0" name=""/>
        <dsp:cNvSpPr/>
      </dsp:nvSpPr>
      <dsp:spPr>
        <a:xfrm rot="5400000">
          <a:off x="3074872" y="-2142874"/>
          <a:ext cx="384999" cy="570551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First level of reconciliation and scrutiny by team leader </a:t>
          </a:r>
          <a:endParaRPr lang="en-GB" sz="1200" kern="1200" dirty="0"/>
        </a:p>
      </dsp:txBody>
      <dsp:txXfrm rot="-5400000">
        <a:off x="414614" y="536178"/>
        <a:ext cx="5686721" cy="347411"/>
      </dsp:txXfrm>
    </dsp:sp>
    <dsp:sp modelId="{7E8E2E81-B372-487E-AE3D-B9A41FC03C2D}">
      <dsp:nvSpPr>
        <dsp:cNvPr id="0" name=""/>
        <dsp:cNvSpPr/>
      </dsp:nvSpPr>
      <dsp:spPr>
        <a:xfrm rot="5400000">
          <a:off x="-88845" y="1123206"/>
          <a:ext cx="592306" cy="41461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October</a:t>
          </a:r>
        </a:p>
      </dsp:txBody>
      <dsp:txXfrm rot="-5400000">
        <a:off x="1" y="1241667"/>
        <a:ext cx="414614" cy="177692"/>
      </dsp:txXfrm>
    </dsp:sp>
    <dsp:sp modelId="{BD94E167-1A74-4C28-8F1D-CF50A6F7B8CC}">
      <dsp:nvSpPr>
        <dsp:cNvPr id="0" name=""/>
        <dsp:cNvSpPr/>
      </dsp:nvSpPr>
      <dsp:spPr>
        <a:xfrm rot="5400000">
          <a:off x="3074872" y="-1625898"/>
          <a:ext cx="384999" cy="570551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Review and challenge by Finance Leads and CC CFO</a:t>
          </a:r>
          <a:endParaRPr lang="en-GB" sz="1200" kern="1200" dirty="0"/>
        </a:p>
      </dsp:txBody>
      <dsp:txXfrm rot="-5400000">
        <a:off x="414614" y="1053154"/>
        <a:ext cx="5686721" cy="347411"/>
      </dsp:txXfrm>
    </dsp:sp>
    <dsp:sp modelId="{C334268B-13CF-4AF6-BE4D-36C6A337FAD0}">
      <dsp:nvSpPr>
        <dsp:cNvPr id="0" name=""/>
        <dsp:cNvSpPr/>
      </dsp:nvSpPr>
      <dsp:spPr>
        <a:xfrm rot="5400000">
          <a:off x="-88845" y="1640182"/>
          <a:ext cx="592306" cy="41461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October/ November</a:t>
          </a:r>
        </a:p>
      </dsp:txBody>
      <dsp:txXfrm rot="-5400000">
        <a:off x="1" y="1758643"/>
        <a:ext cx="414614" cy="177692"/>
      </dsp:txXfrm>
    </dsp:sp>
    <dsp:sp modelId="{81C86889-B220-496F-9C29-F27E623DA04C}">
      <dsp:nvSpPr>
        <dsp:cNvPr id="0" name=""/>
        <dsp:cNvSpPr/>
      </dsp:nvSpPr>
      <dsp:spPr>
        <a:xfrm rot="5400000">
          <a:off x="3074872" y="-1108922"/>
          <a:ext cx="384999" cy="570551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Review and further challenge by PFCC CFO</a:t>
          </a:r>
          <a:endParaRPr lang="en-GB" sz="1200" kern="1200" dirty="0"/>
        </a:p>
      </dsp:txBody>
      <dsp:txXfrm rot="-5400000">
        <a:off x="414614" y="1570130"/>
        <a:ext cx="5686721" cy="347411"/>
      </dsp:txXfrm>
    </dsp:sp>
    <dsp:sp modelId="{520729A9-1C47-4970-B485-ED179A6D328E}">
      <dsp:nvSpPr>
        <dsp:cNvPr id="0" name=""/>
        <dsp:cNvSpPr/>
      </dsp:nvSpPr>
      <dsp:spPr>
        <a:xfrm rot="5400000">
          <a:off x="-88845" y="2157158"/>
          <a:ext cx="592306" cy="41461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November</a:t>
          </a:r>
        </a:p>
      </dsp:txBody>
      <dsp:txXfrm rot="-5400000">
        <a:off x="1" y="2275619"/>
        <a:ext cx="414614" cy="177692"/>
      </dsp:txXfrm>
    </dsp:sp>
    <dsp:sp modelId="{3EF0D81E-94B7-4263-8532-C417CD9E99FF}">
      <dsp:nvSpPr>
        <dsp:cNvPr id="0" name=""/>
        <dsp:cNvSpPr/>
      </dsp:nvSpPr>
      <dsp:spPr>
        <a:xfrm rot="5400000">
          <a:off x="3074872" y="-591945"/>
          <a:ext cx="384999" cy="570551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Report and discussions with Chief Constable/Chief Fire Officer </a:t>
          </a:r>
          <a:endParaRPr lang="en-GB" sz="1200" kern="1200" dirty="0"/>
        </a:p>
      </dsp:txBody>
      <dsp:txXfrm rot="-5400000">
        <a:off x="414614" y="2087107"/>
        <a:ext cx="5686721" cy="347411"/>
      </dsp:txXfrm>
    </dsp:sp>
    <dsp:sp modelId="{AE9748B8-2736-47E3-A005-4C8ED8F65A2B}">
      <dsp:nvSpPr>
        <dsp:cNvPr id="0" name=""/>
        <dsp:cNvSpPr/>
      </dsp:nvSpPr>
      <dsp:spPr>
        <a:xfrm rot="5400000">
          <a:off x="-88845" y="2674134"/>
          <a:ext cx="592306" cy="41461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December</a:t>
          </a:r>
        </a:p>
      </dsp:txBody>
      <dsp:txXfrm rot="-5400000">
        <a:off x="1" y="2792595"/>
        <a:ext cx="414614" cy="177692"/>
      </dsp:txXfrm>
    </dsp:sp>
    <dsp:sp modelId="{93E4C178-4971-488E-90F9-E065A2540AA3}">
      <dsp:nvSpPr>
        <dsp:cNvPr id="0" name=""/>
        <dsp:cNvSpPr/>
      </dsp:nvSpPr>
      <dsp:spPr>
        <a:xfrm rot="5400000">
          <a:off x="3074872" y="-74969"/>
          <a:ext cx="384999" cy="570551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PFCC challenge at December Accountability Board – DRAFT budget proposals</a:t>
          </a:r>
          <a:endParaRPr lang="en-GB" sz="1200" kern="1200" dirty="0"/>
        </a:p>
      </dsp:txBody>
      <dsp:txXfrm rot="-5400000">
        <a:off x="414614" y="2604083"/>
        <a:ext cx="5686721" cy="347411"/>
      </dsp:txXfrm>
    </dsp:sp>
    <dsp:sp modelId="{D98FF503-CA8D-442A-ABF9-A8B228430D4D}">
      <dsp:nvSpPr>
        <dsp:cNvPr id="0" name=""/>
        <dsp:cNvSpPr/>
      </dsp:nvSpPr>
      <dsp:spPr>
        <a:xfrm rot="5400000">
          <a:off x="-88845" y="3191110"/>
          <a:ext cx="592306" cy="41461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January</a:t>
          </a:r>
        </a:p>
      </dsp:txBody>
      <dsp:txXfrm rot="-5400000">
        <a:off x="1" y="3309571"/>
        <a:ext cx="414614" cy="177692"/>
      </dsp:txXfrm>
    </dsp:sp>
    <dsp:sp modelId="{596651A8-09C5-4682-812F-7891D37AF21D}">
      <dsp:nvSpPr>
        <dsp:cNvPr id="0" name=""/>
        <dsp:cNvSpPr/>
      </dsp:nvSpPr>
      <dsp:spPr>
        <a:xfrm rot="5400000">
          <a:off x="3074872" y="442006"/>
          <a:ext cx="384999" cy="570551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PFCC final approval at January Accountability Board – FINAL budget proposals</a:t>
          </a:r>
          <a:endParaRPr lang="en-GB" sz="1200" kern="1200" dirty="0"/>
        </a:p>
      </dsp:txBody>
      <dsp:txXfrm rot="-5400000">
        <a:off x="414614" y="3121058"/>
        <a:ext cx="5686721" cy="347411"/>
      </dsp:txXfrm>
    </dsp:sp>
    <dsp:sp modelId="{51C8A537-7C5A-4262-89F6-338B290EC87F}">
      <dsp:nvSpPr>
        <dsp:cNvPr id="0" name=""/>
        <dsp:cNvSpPr/>
      </dsp:nvSpPr>
      <dsp:spPr>
        <a:xfrm rot="5400000">
          <a:off x="-88845" y="3708086"/>
          <a:ext cx="592306" cy="41461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February</a:t>
          </a:r>
        </a:p>
      </dsp:txBody>
      <dsp:txXfrm rot="-5400000">
        <a:off x="1" y="3826547"/>
        <a:ext cx="414614" cy="177692"/>
      </dsp:txXfrm>
    </dsp:sp>
    <dsp:sp modelId="{A79DC3F1-CBC2-43C8-9800-3925CAE939F5}">
      <dsp:nvSpPr>
        <dsp:cNvPr id="0" name=""/>
        <dsp:cNvSpPr/>
      </dsp:nvSpPr>
      <dsp:spPr>
        <a:xfrm rot="5400000">
          <a:off x="3074872" y="958982"/>
          <a:ext cx="384999" cy="570551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t>Budget Papers and Precept Proposal considered by the Panel</a:t>
          </a:r>
        </a:p>
      </dsp:txBody>
      <dsp:txXfrm rot="-5400000">
        <a:off x="414614" y="3638034"/>
        <a:ext cx="5686721" cy="34741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92732-23B1-4DF9-9549-07686B72D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14915</Words>
  <Characters>85020</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POLICE AND CRIME COMMISSIONER FOR LEICESTERSHIRE</vt:lpstr>
    </vt:vector>
  </TitlesOfParts>
  <Company>Leicestershire Police</Company>
  <LinksUpToDate>false</LinksUpToDate>
  <CharactersWithSpaces>99736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AND CRIME COMMISSIONER FOR LEICESTERSHIRE</dc:title>
  <dc:creator>Vickers Robert</dc:creator>
  <cp:lastModifiedBy>Osborne Kate</cp:lastModifiedBy>
  <cp:revision>2</cp:revision>
  <cp:lastPrinted>2025-01-20T15:24:00Z</cp:lastPrinted>
  <dcterms:created xsi:type="dcterms:W3CDTF">2025-02-28T09:36:00Z</dcterms:created>
  <dcterms:modified xsi:type="dcterms:W3CDTF">2025-02-28T09:36:00Z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iteId">
    <vt:lpwstr>bf91f36f-ab89-4503-8c3f-04a029f837d3</vt:lpwstr>
  </property>
  <property fmtid="{D5CDD505-2E9C-101B-9397-08002B2CF9AE}" pid="4" name="MSIP_Label_d9cd4a6a-7014-48d6-b119-9b8b87129a7e_Owner">
    <vt:lpwstr>Helen.King@northantspfcc.gov.uk</vt:lpwstr>
  </property>
  <property fmtid="{D5CDD505-2E9C-101B-9397-08002B2CF9AE}" pid="5" name="MSIP_Label_d9cd4a6a-7014-48d6-b119-9b8b87129a7e_SetDate">
    <vt:lpwstr>2021-01-21T15:10:24.3847426Z</vt:lpwstr>
  </property>
  <property fmtid="{D5CDD505-2E9C-101B-9397-08002B2CF9AE}" pid="6" name="MSIP_Label_d9cd4a6a-7014-48d6-b119-9b8b87129a7e_Name">
    <vt:lpwstr>OFFICIAL</vt:lpwstr>
  </property>
  <property fmtid="{D5CDD505-2E9C-101B-9397-08002B2CF9AE}" pid="7" name="MSIP_Label_d9cd4a6a-7014-48d6-b119-9b8b87129a7e_Application">
    <vt:lpwstr>Microsoft Azure Information Protection</vt:lpwstr>
  </property>
  <property fmtid="{D5CDD505-2E9C-101B-9397-08002B2CF9AE}" pid="8" name="MSIP_Label_d9cd4a6a-7014-48d6-b119-9b8b87129a7e_Extended_MSFT_Method">
    <vt:lpwstr>Automatic</vt:lpwstr>
  </property>
  <property fmtid="{D5CDD505-2E9C-101B-9397-08002B2CF9AE}" pid="9" name="Sensitivity">
    <vt:lpwstr>OFFICIAL</vt:lpwstr>
  </property>
</Properties>
</file>