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2434" w14:textId="6A477E91" w:rsidR="00D87668" w:rsidRPr="005B0195" w:rsidRDefault="00C753C2" w:rsidP="00027BEB">
      <w:pPr>
        <w:rPr>
          <w:rFonts w:cstheme="minorHAnsi"/>
          <w:noProof/>
        </w:rPr>
      </w:pPr>
      <w:r w:rsidRPr="00C753C2">
        <w:rPr>
          <w:rFonts w:cstheme="minorHAnsi"/>
          <w:noProof/>
        </w:rPr>
        <mc:AlternateContent>
          <mc:Choice Requires="wps">
            <w:drawing>
              <wp:anchor distT="45720" distB="45720" distL="114300" distR="114300" simplePos="0" relativeHeight="251662336" behindDoc="0" locked="0" layoutInCell="1" allowOverlap="1" wp14:anchorId="53CF75B6" wp14:editId="0CB0A8B7">
                <wp:simplePos x="0" y="0"/>
                <wp:positionH relativeFrom="column">
                  <wp:posOffset>4314825</wp:posOffset>
                </wp:positionH>
                <wp:positionV relativeFrom="paragraph">
                  <wp:posOffset>95250</wp:posOffset>
                </wp:positionV>
                <wp:extent cx="1247775" cy="1404620"/>
                <wp:effectExtent l="0" t="0" r="28575" b="18415"/>
                <wp:wrapSquare wrapText="bothSides"/>
                <wp:docPr id="1908755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solidFill>
                            <a:srgbClr val="000000"/>
                          </a:solidFill>
                          <a:miter lim="800000"/>
                          <a:headEnd/>
                          <a:tailEnd/>
                        </a:ln>
                      </wps:spPr>
                      <wps:txbx>
                        <w:txbxContent>
                          <w:p w14:paraId="7A63B4F7" w14:textId="1FD81F39" w:rsidR="00C753C2" w:rsidRDefault="00C753C2">
                            <w:r>
                              <w:t>Agenda item 8b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F75B6" id="_x0000_t202" coordsize="21600,21600" o:spt="202" path="m,l,21600r21600,l21600,xe">
                <v:stroke joinstyle="miter"/>
                <v:path gradientshapeok="t" o:connecttype="rect"/>
              </v:shapetype>
              <v:shape id="Text Box 2" o:spid="_x0000_s1026" type="#_x0000_t202" style="position:absolute;margin-left:339.75pt;margin-top:7.5pt;width:9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">
                <v:textbox style="mso-fit-shape-to-text:t">
                  <w:txbxContent>
                    <w:p w14:paraId="7A63B4F7" w14:textId="1FD81F39" w:rsidR="00C753C2" w:rsidRDefault="00C753C2">
                      <w:r>
                        <w:t>Agenda item 8b</w:t>
                      </w:r>
                    </w:p>
                  </w:txbxContent>
                </v:textbox>
                <w10:wrap type="square"/>
              </v:shape>
            </w:pict>
          </mc:Fallback>
        </mc:AlternateContent>
      </w:r>
      <w:r w:rsidR="00D87668" w:rsidRPr="005B0195">
        <w:rPr>
          <w:rFonts w:cstheme="minorHAnsi"/>
          <w:noProof/>
        </w:rPr>
        <mc:AlternateContent>
          <mc:Choice Requires="wps">
            <w:drawing>
              <wp:anchor distT="45720" distB="45720" distL="114300" distR="114300" simplePos="0" relativeHeight="251660288" behindDoc="0" locked="0" layoutInCell="1" allowOverlap="1" wp14:anchorId="05182D98" wp14:editId="0B99E2B9">
                <wp:simplePos x="0" y="0"/>
                <wp:positionH relativeFrom="column">
                  <wp:posOffset>252095</wp:posOffset>
                </wp:positionH>
                <wp:positionV relativeFrom="paragraph">
                  <wp:posOffset>2562547</wp:posOffset>
                </wp:positionV>
                <wp:extent cx="4776470" cy="38481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3848100"/>
                        </a:xfrm>
                        <a:prstGeom prst="rect">
                          <a:avLst/>
                        </a:prstGeom>
                        <a:solidFill>
                          <a:srgbClr val="FFFFFF"/>
                        </a:solidFill>
                        <a:ln w="9525">
                          <a:noFill/>
                          <a:miter lim="800000"/>
                          <a:headEnd/>
                          <a:tailEnd/>
                        </a:ln>
                      </wps:spPr>
                      <wps:txbx>
                        <w:txbxContent>
                          <w:p w14:paraId="32084DAF" w14:textId="6498B634" w:rsidR="0083443F" w:rsidRPr="005B0195" w:rsidRDefault="0083443F" w:rsidP="00D87668">
                            <w:pPr>
                              <w:rPr>
                                <w:rFonts w:cstheme="minorHAnsi"/>
                                <w:b/>
                                <w:sz w:val="56"/>
                                <w:szCs w:val="56"/>
                              </w:rPr>
                            </w:pPr>
                            <w:r w:rsidRPr="005B0195">
                              <w:rPr>
                                <w:rFonts w:cstheme="minorHAnsi"/>
                                <w:b/>
                                <w:sz w:val="56"/>
                                <w:szCs w:val="56"/>
                              </w:rPr>
                              <w:t>Treasury Management Strategy 202</w:t>
                            </w:r>
                            <w:r w:rsidR="004B55F6">
                              <w:rPr>
                                <w:rFonts w:cstheme="minorHAnsi"/>
                                <w:b/>
                                <w:sz w:val="56"/>
                                <w:szCs w:val="56"/>
                              </w:rPr>
                              <w:t>5</w:t>
                            </w:r>
                            <w:r w:rsidRPr="005B0195">
                              <w:rPr>
                                <w:rFonts w:cstheme="minorHAnsi"/>
                                <w:b/>
                                <w:sz w:val="56"/>
                                <w:szCs w:val="56"/>
                              </w:rPr>
                              <w:t>/2</w:t>
                            </w:r>
                            <w:r w:rsidR="004B55F6">
                              <w:rPr>
                                <w:rFonts w:cstheme="minorHAnsi"/>
                                <w:b/>
                                <w:sz w:val="56"/>
                                <w:szCs w:val="56"/>
                              </w:rPr>
                              <w:t>6</w:t>
                            </w:r>
                          </w:p>
                          <w:p w14:paraId="0399139C" w14:textId="77777777" w:rsidR="0083443F" w:rsidRPr="005B0195" w:rsidRDefault="0083443F" w:rsidP="00D87668">
                            <w:pPr>
                              <w:rPr>
                                <w:rFonts w:cstheme="minorHAnsi"/>
                                <w:b/>
                                <w:sz w:val="52"/>
                                <w:szCs w:val="52"/>
                              </w:rPr>
                            </w:pPr>
                          </w:p>
                          <w:p w14:paraId="69D95D22" w14:textId="190D2728" w:rsidR="0083443F" w:rsidRPr="005B0195" w:rsidRDefault="0083443F" w:rsidP="00D87668">
                            <w:pPr>
                              <w:rPr>
                                <w:rFonts w:cstheme="minorHAnsi"/>
                                <w:sz w:val="40"/>
                                <w:szCs w:val="40"/>
                              </w:rPr>
                            </w:pPr>
                            <w:r w:rsidRPr="005B0195">
                              <w:rPr>
                                <w:rFonts w:cstheme="minorHAnsi"/>
                                <w:sz w:val="40"/>
                                <w:szCs w:val="40"/>
                              </w:rPr>
                              <w:t>Northamptonshire Commissioner Fire &amp; Rescue Authority</w:t>
                            </w:r>
                            <w:r w:rsidR="005478B9" w:rsidRPr="005B0195">
                              <w:rPr>
                                <w:rFonts w:cstheme="minorHAnsi"/>
                                <w:sz w:val="40"/>
                                <w:szCs w:val="40"/>
                              </w:rPr>
                              <w:t xml:space="preserve"> (NCFRA)</w:t>
                            </w:r>
                          </w:p>
                          <w:p w14:paraId="052052E0" w14:textId="77777777" w:rsidR="0083443F" w:rsidRPr="005B0195" w:rsidRDefault="0083443F" w:rsidP="00D87668">
                            <w:pPr>
                              <w:rPr>
                                <w:rFonts w:cstheme="minorHAnsi"/>
                                <w:sz w:val="40"/>
                                <w:szCs w:val="40"/>
                              </w:rPr>
                            </w:pPr>
                          </w:p>
                          <w:p w14:paraId="52D6DAA9" w14:textId="3CF83F71" w:rsidR="0083443F" w:rsidRPr="005B0195" w:rsidRDefault="0083443F" w:rsidP="00D87668">
                            <w:pPr>
                              <w:rPr>
                                <w:rFonts w:cstheme="minorHAnsi"/>
                                <w:sz w:val="28"/>
                                <w:szCs w:val="28"/>
                              </w:rPr>
                            </w:pPr>
                            <w:r w:rsidRPr="005B0195">
                              <w:rPr>
                                <w:rFonts w:cstheme="minorHAnsi"/>
                                <w:sz w:val="28"/>
                                <w:szCs w:val="28"/>
                              </w:rPr>
                              <w:t>Author: Joint Finance Team</w:t>
                            </w:r>
                          </w:p>
                          <w:p w14:paraId="00895B22" w14:textId="77777777" w:rsidR="0083443F" w:rsidRPr="005B0195" w:rsidRDefault="0083443F" w:rsidP="00D87668">
                            <w:pPr>
                              <w:rPr>
                                <w:rFonts w:cstheme="minorHAnsi"/>
                                <w:sz w:val="28"/>
                                <w:szCs w:val="28"/>
                              </w:rPr>
                            </w:pPr>
                          </w:p>
                          <w:p w14:paraId="3079D954" w14:textId="4EF1CE6B" w:rsidR="0083443F" w:rsidRPr="005B0195" w:rsidRDefault="0083443F" w:rsidP="00D87668">
                            <w:pPr>
                              <w:rPr>
                                <w:rFonts w:cstheme="minorHAnsi"/>
                                <w:sz w:val="36"/>
                                <w:szCs w:val="36"/>
                              </w:rPr>
                            </w:pPr>
                            <w:r w:rsidRPr="005B0195">
                              <w:rPr>
                                <w:rFonts w:cstheme="minorHAnsi"/>
                                <w:sz w:val="28"/>
                                <w:szCs w:val="28"/>
                              </w:rPr>
                              <w:t>Version Control: 1</w:t>
                            </w:r>
                            <w:r w:rsidRPr="005B0195">
                              <w:rPr>
                                <w:rFonts w:cstheme="minorHAnsi"/>
                                <w:sz w:val="22"/>
                                <w:szCs w:val="22"/>
                              </w:rPr>
                              <w:br w:type="page"/>
                            </w:r>
                          </w:p>
                          <w:p w14:paraId="4D934B46" w14:textId="77777777" w:rsidR="0083443F" w:rsidRDefault="00834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82D98" id="_x0000_t202" coordsize="21600,21600" o:spt="202" path="m,l,21600r21600,l21600,xe">
                <v:stroke joinstyle="miter"/>
                <v:path gradientshapeok="t" o:connecttype="rect"/>
              </v:shapetype>
              <v:shape id="Text Box 2" o:spid="_x0000_s1026" type="#_x0000_t202" style="position:absolute;margin-left:19.85pt;margin-top:201.8pt;width:376.1pt;height:3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m+DgIAAPc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" stroked="f">
                <v:textbox>
                  <w:txbxContent>
                    <w:p w14:paraId="32084DAF" w14:textId="6498B634" w:rsidR="0083443F" w:rsidRPr="005B0195" w:rsidRDefault="0083443F" w:rsidP="00D87668">
                      <w:pPr>
                        <w:rPr>
                          <w:rFonts w:cstheme="minorHAnsi"/>
                          <w:b/>
                          <w:sz w:val="56"/>
                          <w:szCs w:val="56"/>
                        </w:rPr>
                      </w:pPr>
                      <w:r w:rsidRPr="005B0195">
                        <w:rPr>
                          <w:rFonts w:cstheme="minorHAnsi"/>
                          <w:b/>
                          <w:sz w:val="56"/>
                          <w:szCs w:val="56"/>
                        </w:rPr>
                        <w:t>Treasury Management Strategy 202</w:t>
                      </w:r>
                      <w:r w:rsidR="004B55F6">
                        <w:rPr>
                          <w:rFonts w:cstheme="minorHAnsi"/>
                          <w:b/>
                          <w:sz w:val="56"/>
                          <w:szCs w:val="56"/>
                        </w:rPr>
                        <w:t>5</w:t>
                      </w:r>
                      <w:r w:rsidRPr="005B0195">
                        <w:rPr>
                          <w:rFonts w:cstheme="minorHAnsi"/>
                          <w:b/>
                          <w:sz w:val="56"/>
                          <w:szCs w:val="56"/>
                        </w:rPr>
                        <w:t>/2</w:t>
                      </w:r>
                      <w:r w:rsidR="004B55F6">
                        <w:rPr>
                          <w:rFonts w:cstheme="minorHAnsi"/>
                          <w:b/>
                          <w:sz w:val="56"/>
                          <w:szCs w:val="56"/>
                        </w:rPr>
                        <w:t>6</w:t>
                      </w:r>
                    </w:p>
                    <w:p w14:paraId="0399139C" w14:textId="77777777" w:rsidR="0083443F" w:rsidRPr="005B0195" w:rsidRDefault="0083443F" w:rsidP="00D87668">
                      <w:pPr>
                        <w:rPr>
                          <w:rFonts w:cstheme="minorHAnsi"/>
                          <w:b/>
                          <w:sz w:val="52"/>
                          <w:szCs w:val="52"/>
                        </w:rPr>
                      </w:pPr>
                    </w:p>
                    <w:p w14:paraId="69D95D22" w14:textId="190D2728" w:rsidR="0083443F" w:rsidRPr="005B0195" w:rsidRDefault="0083443F" w:rsidP="00D87668">
                      <w:pPr>
                        <w:rPr>
                          <w:rFonts w:cstheme="minorHAnsi"/>
                          <w:sz w:val="40"/>
                          <w:szCs w:val="40"/>
                        </w:rPr>
                      </w:pPr>
                      <w:r w:rsidRPr="005B0195">
                        <w:rPr>
                          <w:rFonts w:cstheme="minorHAnsi"/>
                          <w:sz w:val="40"/>
                          <w:szCs w:val="40"/>
                        </w:rPr>
                        <w:t>Northamptonshire Commissioner Fire &amp; Rescue Authority</w:t>
                      </w:r>
                      <w:r w:rsidR="005478B9" w:rsidRPr="005B0195">
                        <w:rPr>
                          <w:rFonts w:cstheme="minorHAnsi"/>
                          <w:sz w:val="40"/>
                          <w:szCs w:val="40"/>
                        </w:rPr>
                        <w:t xml:space="preserve"> (NCFRA)</w:t>
                      </w:r>
                    </w:p>
                    <w:p w14:paraId="052052E0" w14:textId="77777777" w:rsidR="0083443F" w:rsidRPr="005B0195" w:rsidRDefault="0083443F" w:rsidP="00D87668">
                      <w:pPr>
                        <w:rPr>
                          <w:rFonts w:cstheme="minorHAnsi"/>
                          <w:sz w:val="40"/>
                          <w:szCs w:val="40"/>
                        </w:rPr>
                      </w:pPr>
                    </w:p>
                    <w:p w14:paraId="52D6DAA9" w14:textId="3CF83F71" w:rsidR="0083443F" w:rsidRPr="005B0195" w:rsidRDefault="0083443F" w:rsidP="00D87668">
                      <w:pPr>
                        <w:rPr>
                          <w:rFonts w:cstheme="minorHAnsi"/>
                          <w:sz w:val="28"/>
                          <w:szCs w:val="28"/>
                        </w:rPr>
                      </w:pPr>
                      <w:r w:rsidRPr="005B0195">
                        <w:rPr>
                          <w:rFonts w:cstheme="minorHAnsi"/>
                          <w:sz w:val="28"/>
                          <w:szCs w:val="28"/>
                        </w:rPr>
                        <w:t>Author: Joint Finance Team</w:t>
                      </w:r>
                    </w:p>
                    <w:p w14:paraId="00895B22" w14:textId="77777777" w:rsidR="0083443F" w:rsidRPr="005B0195" w:rsidRDefault="0083443F" w:rsidP="00D87668">
                      <w:pPr>
                        <w:rPr>
                          <w:rFonts w:cstheme="minorHAnsi"/>
                          <w:sz w:val="28"/>
                          <w:szCs w:val="28"/>
                        </w:rPr>
                      </w:pPr>
                    </w:p>
                    <w:p w14:paraId="3079D954" w14:textId="4EF1CE6B" w:rsidR="0083443F" w:rsidRPr="005B0195" w:rsidRDefault="0083443F" w:rsidP="00D87668">
                      <w:pPr>
                        <w:rPr>
                          <w:rFonts w:cstheme="minorHAnsi"/>
                          <w:sz w:val="36"/>
                          <w:szCs w:val="36"/>
                        </w:rPr>
                      </w:pPr>
                      <w:r w:rsidRPr="005B0195">
                        <w:rPr>
                          <w:rFonts w:cstheme="minorHAnsi"/>
                          <w:sz w:val="28"/>
                          <w:szCs w:val="28"/>
                        </w:rPr>
                        <w:t>Version Control: 1</w:t>
                      </w:r>
                      <w:r w:rsidRPr="005B0195">
                        <w:rPr>
                          <w:rFonts w:cstheme="minorHAnsi"/>
                          <w:sz w:val="22"/>
                          <w:szCs w:val="22"/>
                        </w:rPr>
                        <w:br w:type="page"/>
                      </w:r>
                    </w:p>
                    <w:p w14:paraId="4D934B46" w14:textId="77777777" w:rsidR="0083443F" w:rsidRDefault="0083443F"/>
                  </w:txbxContent>
                </v:textbox>
                <w10:wrap type="square"/>
              </v:shape>
            </w:pict>
          </mc:Fallback>
        </mc:AlternateContent>
      </w:r>
      <w:r w:rsidR="000D5ADB">
        <w:rPr>
          <w:noProof/>
        </w:rPr>
        <w:drawing>
          <wp:anchor distT="0" distB="0" distL="114300" distR="114300" simplePos="0" relativeHeight="251659263" behindDoc="0" locked="1" layoutInCell="1" allowOverlap="1" wp14:anchorId="5FB4A356" wp14:editId="2C15273F">
            <wp:simplePos x="0" y="0"/>
            <wp:positionH relativeFrom="page">
              <wp:align>right</wp:align>
            </wp:positionH>
            <wp:positionV relativeFrom="page">
              <wp:align>top</wp:align>
            </wp:positionV>
            <wp:extent cx="7634605" cy="10791190"/>
            <wp:effectExtent l="0" t="0" r="4445" b="0"/>
            <wp:wrapSquare wrapText="bothSides"/>
            <wp:docPr id="109273402" name="Picture 10927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34605" cy="1079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65830" w14:textId="77777777" w:rsidR="004D09CE" w:rsidRPr="005B0195" w:rsidRDefault="004D09CE" w:rsidP="00BA6C7C">
      <w:pPr>
        <w:pStyle w:val="TM1"/>
      </w:pPr>
      <w:r w:rsidRPr="005B0195">
        <w:lastRenderedPageBreak/>
        <w:t>Introduction</w:t>
      </w:r>
    </w:p>
    <w:p w14:paraId="54A1ED06"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CIPFA Treasury Management in the Public Services: Code of Practice and Cross Sectoral Guidance Notes</w:t>
      </w:r>
    </w:p>
    <w:p w14:paraId="630ED2DF" w14:textId="77777777" w:rsidR="004D09CE" w:rsidRPr="005B0195" w:rsidRDefault="004D09CE" w:rsidP="00D74683">
      <w:pPr>
        <w:pStyle w:val="TM2"/>
      </w:pPr>
      <w:r w:rsidRPr="005B0195">
        <w:t xml:space="preserve">The Chartered Institute of Public Finance and Accountancy (CIPFA) defines treasury management as “the management of the organisation’s investments and cash flows, its banking, money market and capital market transactions; the effective control of the risks associated with those activities; and the pursuit of optimum performance consistent with those risks.” </w:t>
      </w:r>
    </w:p>
    <w:p w14:paraId="4ABCB118"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CIPFA Prudential Code for Capital Finance in Local Authorities</w:t>
      </w:r>
    </w:p>
    <w:p w14:paraId="43E2B7C4" w14:textId="5BE2A8E6" w:rsidR="004D09CE" w:rsidRPr="005B0195" w:rsidRDefault="004D09CE" w:rsidP="00D74683">
      <w:pPr>
        <w:pStyle w:val="TM2"/>
      </w:pPr>
      <w:r w:rsidRPr="005B0195">
        <w:t xml:space="preserve">The CIPFA Prudential Code for Capital Finance in Local Authorities (the Prudential Code) is a professional code of practice.  Authorities have a statutory requirement to comply with the Prudential Code when making capital investment decisions and carrying out their duties under Part 1 of the Local Government Act 2003 (Capital Finance etc. and Accounts). </w:t>
      </w:r>
    </w:p>
    <w:p w14:paraId="6BB0B012" w14:textId="77777777" w:rsidR="004D09CE" w:rsidRPr="005B0195" w:rsidRDefault="004D09CE" w:rsidP="00D74683">
      <w:pPr>
        <w:pStyle w:val="TM2"/>
      </w:pPr>
      <w:r w:rsidRPr="005B0195">
        <w:t xml:space="preserve">The CIPFA Prudential Code sets out the manner in which capital spending plans should be considered and approved, and in conjunction with this, the requirement for an integrated treasury management strategy. </w:t>
      </w:r>
    </w:p>
    <w:p w14:paraId="745F8285" w14:textId="016E21DB" w:rsidR="004D09CE" w:rsidRPr="005B0195" w:rsidRDefault="005B0195" w:rsidP="00D74683">
      <w:pPr>
        <w:pStyle w:val="TM2"/>
      </w:pPr>
      <w:r>
        <w:t xml:space="preserve">The </w:t>
      </w:r>
      <w:r w:rsidR="00D74683" w:rsidRPr="00D74683">
        <w:t xml:space="preserve">Northamptonshire Commissioner Fire &amp; Rescue Authority </w:t>
      </w:r>
      <w:r w:rsidR="00D74683">
        <w:t>(</w:t>
      </w:r>
      <w:r w:rsidR="00997B51">
        <w:t>NCFRA</w:t>
      </w:r>
      <w:r w:rsidR="00D74683">
        <w:t>)</w:t>
      </w:r>
      <w:r w:rsidR="0064222E" w:rsidRPr="005B0195">
        <w:t xml:space="preserve"> </w:t>
      </w:r>
      <w:r>
        <w:t>is</w:t>
      </w:r>
      <w:r w:rsidR="004D09CE" w:rsidRPr="005B0195">
        <w:t xml:space="preserve"> required to set and monitor a range of prudential indicators for capital finance covering affordability, prudence, and a range of treasury indicators.</w:t>
      </w:r>
    </w:p>
    <w:p w14:paraId="0F1F1C62"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Treasury Management Policy Statement</w:t>
      </w:r>
    </w:p>
    <w:p w14:paraId="37909D04" w14:textId="7835C41B" w:rsidR="004D09CE" w:rsidRPr="005B0195" w:rsidRDefault="004D09CE" w:rsidP="00D74683">
      <w:pPr>
        <w:pStyle w:val="TM2"/>
      </w:pPr>
      <w:r w:rsidRPr="005B0195">
        <w:t>The</w:t>
      </w:r>
      <w:r w:rsidR="0064222E" w:rsidRPr="005B0195">
        <w:t xml:space="preserve"> </w:t>
      </w:r>
      <w:r w:rsidR="00997B51">
        <w:t>NCFRA</w:t>
      </w:r>
      <w:r w:rsidRPr="005B0195">
        <w:t xml:space="preserve">’s Treasury Management Policy Statement is included in Appendix 1.  The policy statement follows the wording recommended by the latest edition of the CIPFA Treasury Code. </w:t>
      </w:r>
    </w:p>
    <w:p w14:paraId="41E46BE2"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Treasury Management Practices</w:t>
      </w:r>
    </w:p>
    <w:p w14:paraId="730B973D" w14:textId="48E8B9B7" w:rsidR="004D09CE" w:rsidRPr="005B0195" w:rsidRDefault="004D09CE" w:rsidP="00D74683">
      <w:pPr>
        <w:pStyle w:val="TM2"/>
      </w:pPr>
      <w:r w:rsidRPr="005B0195">
        <w:t xml:space="preserve">The </w:t>
      </w:r>
      <w:r w:rsidR="00997B51">
        <w:t>NCFRA</w:t>
      </w:r>
      <w:r w:rsidR="0064222E" w:rsidRPr="005B0195">
        <w:t xml:space="preserve">’s </w:t>
      </w:r>
      <w:r w:rsidRPr="005B0195">
        <w:t>Treasury Management Practices (TMPs) will set out the manner in which the</w:t>
      </w:r>
      <w:r w:rsidR="0064222E" w:rsidRPr="005B0195">
        <w:t xml:space="preserve"> </w:t>
      </w:r>
      <w:r w:rsidR="00997B51">
        <w:t>NCFRA</w:t>
      </w:r>
      <w:r w:rsidRPr="005B0195">
        <w:t xml:space="preserve"> will seek to achieve its treasury management policies and objectives, and how it will manage and control those activities. </w:t>
      </w:r>
    </w:p>
    <w:p w14:paraId="56087576" w14:textId="64F93F64" w:rsidR="00062A5F" w:rsidRDefault="004D09CE" w:rsidP="00EE3D26">
      <w:pPr>
        <w:pStyle w:val="TM2"/>
      </w:pPr>
      <w:r w:rsidRPr="005B0195">
        <w:t>The</w:t>
      </w:r>
      <w:r w:rsidR="0064222E" w:rsidRPr="005B0195">
        <w:t xml:space="preserve"> </w:t>
      </w:r>
      <w:r w:rsidR="00997B51">
        <w:t>NCFRA</w:t>
      </w:r>
      <w:r w:rsidRPr="005B0195">
        <w:t>’s TMPs Schedules will cover the detail of how the</w:t>
      </w:r>
      <w:r w:rsidR="0064222E" w:rsidRPr="005B0195">
        <w:t xml:space="preserve"> </w:t>
      </w:r>
      <w:r w:rsidR="00997B51">
        <w:t>NCFRA</w:t>
      </w:r>
      <w:r w:rsidRPr="005B0195">
        <w:t xml:space="preserve"> will apply the TMP Main Princip</w:t>
      </w:r>
      <w:r w:rsidR="00B70116">
        <w:t>le</w:t>
      </w:r>
      <w:r w:rsidRPr="005B0195">
        <w:t xml:space="preserve">s in carrying out its operational treasury activities. </w:t>
      </w:r>
      <w:r w:rsidR="00B60D14">
        <w:t xml:space="preserve"> </w:t>
      </w:r>
      <w:r w:rsidRPr="005B0195">
        <w:t>They are reviewed annually, and any amendments approved by the</w:t>
      </w:r>
      <w:r w:rsidR="0064222E" w:rsidRPr="005B0195">
        <w:t xml:space="preserve"> </w:t>
      </w:r>
      <w:r w:rsidR="00997B51">
        <w:t>NCFRA</w:t>
      </w:r>
      <w:r w:rsidRPr="005B0195">
        <w:t>’s Chief Finance Officer.</w:t>
      </w:r>
    </w:p>
    <w:p w14:paraId="4446A4CF" w14:textId="77777777" w:rsidR="004D09CE" w:rsidRPr="005B0195" w:rsidRDefault="004D09CE" w:rsidP="00BA6C7C">
      <w:pPr>
        <w:pStyle w:val="TM1"/>
      </w:pPr>
      <w:r w:rsidRPr="005B0195">
        <w:t>The Treasury Management Strategy</w:t>
      </w:r>
    </w:p>
    <w:p w14:paraId="652D76DC" w14:textId="611288BA" w:rsidR="004D09CE" w:rsidRPr="005B0195" w:rsidRDefault="004D09CE" w:rsidP="00D74683">
      <w:pPr>
        <w:pStyle w:val="TM2"/>
      </w:pPr>
      <w:r w:rsidRPr="005B0195">
        <w:t xml:space="preserve">It is a requirement under the Treasury Code to produce an annual strategy report on proposed treasury management activities for the year.  The purpose of the Treasury Management Strategy is to establish the framework for the effective and efficient </w:t>
      </w:r>
      <w:r w:rsidRPr="005B0195">
        <w:lastRenderedPageBreak/>
        <w:t>management of the</w:t>
      </w:r>
      <w:r w:rsidR="0064222E" w:rsidRPr="005B0195">
        <w:t xml:space="preserve"> </w:t>
      </w:r>
      <w:r w:rsidR="00997B51">
        <w:t>NCFRA</w:t>
      </w:r>
      <w:r w:rsidRPr="005B0195">
        <w:t>’s treasury management activity, including the</w:t>
      </w:r>
      <w:r w:rsidR="0064222E" w:rsidRPr="005B0195">
        <w:t xml:space="preserve"> </w:t>
      </w:r>
      <w:r w:rsidR="00997B51">
        <w:t>NCFRA</w:t>
      </w:r>
      <w:r w:rsidRPr="005B0195">
        <w:t>’s investment portfolio, within legislative, regulatory, and best practice regimes, and balancing risk against reward in the best interests of stewardship of the public purse.</w:t>
      </w:r>
    </w:p>
    <w:p w14:paraId="1C35B1B6" w14:textId="1F143232" w:rsidR="004D09CE" w:rsidRPr="005B0195" w:rsidRDefault="004D09CE" w:rsidP="00D74683">
      <w:pPr>
        <w:pStyle w:val="TM2"/>
      </w:pPr>
      <w:r w:rsidRPr="005B0195">
        <w:t>The</w:t>
      </w:r>
      <w:r w:rsidR="0064222E" w:rsidRPr="005B0195">
        <w:t xml:space="preserve"> </w:t>
      </w:r>
      <w:r w:rsidR="00997B51">
        <w:t>NCFRA</w:t>
      </w:r>
      <w:r w:rsidRPr="005B0195">
        <w:t>’s Treasury Management Strategy is prepared in the context of the key princip</w:t>
      </w:r>
      <w:r w:rsidR="004463F9">
        <w:t>l</w:t>
      </w:r>
      <w:r w:rsidR="00B70116">
        <w:t>e</w:t>
      </w:r>
      <w:r w:rsidR="004463F9">
        <w:t>s</w:t>
      </w:r>
      <w:r w:rsidRPr="005B0195">
        <w:t xml:space="preserve"> of the Treasury Code and incorporates:</w:t>
      </w:r>
    </w:p>
    <w:p w14:paraId="52EF5A26" w14:textId="64D66DD8" w:rsidR="004D09CE" w:rsidRPr="005B0195" w:rsidRDefault="004D09CE" w:rsidP="00641B78">
      <w:pPr>
        <w:pStyle w:val="TMBullets"/>
        <w:rPr>
          <w:lang w:val="en-US"/>
        </w:rPr>
      </w:pPr>
      <w:r w:rsidRPr="005B0195">
        <w:rPr>
          <w:lang w:val="en-US"/>
        </w:rPr>
        <w:t>The</w:t>
      </w:r>
      <w:r w:rsidR="0064222E" w:rsidRPr="005B0195">
        <w:rPr>
          <w:lang w:val="en-US"/>
        </w:rPr>
        <w:t xml:space="preserve"> </w:t>
      </w:r>
      <w:r w:rsidR="00997B51">
        <w:rPr>
          <w:lang w:val="en-US"/>
        </w:rPr>
        <w:t>NCFRA</w:t>
      </w:r>
      <w:r w:rsidRPr="005B0195">
        <w:rPr>
          <w:lang w:val="en-US"/>
        </w:rPr>
        <w:t>’s capital financing and borrowing strategy for the coming year</w:t>
      </w:r>
      <w:r w:rsidR="00997B51">
        <w:rPr>
          <w:lang w:val="en-US"/>
        </w:rPr>
        <w:t>.</w:t>
      </w:r>
    </w:p>
    <w:p w14:paraId="43624523" w14:textId="54BFB7D2" w:rsidR="004D09CE" w:rsidRPr="005B0195" w:rsidRDefault="004D09CE" w:rsidP="00641B78">
      <w:pPr>
        <w:pStyle w:val="TMBullets"/>
        <w:rPr>
          <w:lang w:val="en-US"/>
        </w:rPr>
      </w:pPr>
      <w:r w:rsidRPr="005B0195">
        <w:t>Policy on borrowing in advance of need</w:t>
      </w:r>
      <w:r w:rsidR="00D74683">
        <w:t>.</w:t>
      </w:r>
    </w:p>
    <w:p w14:paraId="2C0327AF" w14:textId="351BC9BA" w:rsidR="004D09CE" w:rsidRPr="005B0195" w:rsidRDefault="004D09CE" w:rsidP="00641B78">
      <w:pPr>
        <w:pStyle w:val="TMBullets"/>
        <w:rPr>
          <w:lang w:val="en-US"/>
        </w:rPr>
      </w:pPr>
      <w:r w:rsidRPr="005B0195">
        <w:rPr>
          <w:lang w:val="en-US"/>
        </w:rPr>
        <w:t>Policy on the making of Minimum Revenue Provision (MRP) for the repayment of debt</w:t>
      </w:r>
      <w:r w:rsidR="00997B51">
        <w:rPr>
          <w:lang w:val="en-US"/>
        </w:rPr>
        <w:t>.</w:t>
      </w:r>
    </w:p>
    <w:p w14:paraId="1016217F" w14:textId="3DB83938" w:rsidR="004D09CE" w:rsidRPr="005B0195" w:rsidRDefault="004D09CE" w:rsidP="00641B78">
      <w:pPr>
        <w:pStyle w:val="TMBullets"/>
        <w:rPr>
          <w:lang w:val="en-US"/>
        </w:rPr>
      </w:pPr>
      <w:r w:rsidRPr="005B0195">
        <w:rPr>
          <w:lang w:val="en-US"/>
        </w:rPr>
        <w:t>The Affordable Borrowing Limit</w:t>
      </w:r>
      <w:r w:rsidR="00997B51">
        <w:rPr>
          <w:lang w:val="en-US"/>
        </w:rPr>
        <w:t>.</w:t>
      </w:r>
    </w:p>
    <w:p w14:paraId="3C0FAC1A" w14:textId="4D9D9CA7" w:rsidR="004D09CE" w:rsidRPr="005B0195" w:rsidRDefault="004D09CE" w:rsidP="00641B78">
      <w:pPr>
        <w:pStyle w:val="TMBullets"/>
        <w:rPr>
          <w:lang w:val="en-US"/>
        </w:rPr>
      </w:pPr>
      <w:r w:rsidRPr="005B0195">
        <w:rPr>
          <w:lang w:val="en-US"/>
        </w:rPr>
        <w:t xml:space="preserve">The Annual Investment Strategy for the coming year, including </w:t>
      </w:r>
      <w:r w:rsidRPr="005B0195">
        <w:t>creditworthiness policies</w:t>
      </w:r>
      <w:r w:rsidR="00997B51">
        <w:t>.</w:t>
      </w:r>
    </w:p>
    <w:p w14:paraId="404A264E" w14:textId="1140F4D4" w:rsidR="004D09CE" w:rsidRPr="005B0195" w:rsidRDefault="004D09CE" w:rsidP="00D74683">
      <w:pPr>
        <w:pStyle w:val="TM2"/>
      </w:pPr>
      <w:r w:rsidRPr="005B0195">
        <w:t xml:space="preserve">The </w:t>
      </w:r>
      <w:r w:rsidRPr="00D74683">
        <w:t>strategy</w:t>
      </w:r>
      <w:r w:rsidRPr="005B0195">
        <w:t xml:space="preserve"> considers the impact of the</w:t>
      </w:r>
      <w:r w:rsidR="0064222E" w:rsidRPr="005B0195">
        <w:t xml:space="preserve"> </w:t>
      </w:r>
      <w:r w:rsidR="00997B51">
        <w:t>NCFRA</w:t>
      </w:r>
      <w:r w:rsidRPr="005B0195">
        <w:t>’s Medium Term Financial Plan (MTFP), its revenue budget and capital programme, the balance sheet position, and the outlook for interest rates.</w:t>
      </w:r>
    </w:p>
    <w:p w14:paraId="73FC3079" w14:textId="49A4BE19" w:rsidR="00151B1C" w:rsidRPr="005F0029" w:rsidRDefault="004D09CE" w:rsidP="00D74683">
      <w:pPr>
        <w:pStyle w:val="TM2"/>
      </w:pPr>
      <w:r w:rsidRPr="005B0195">
        <w:t>The</w:t>
      </w:r>
      <w:r w:rsidR="0064222E" w:rsidRPr="005B0195">
        <w:t xml:space="preserve"> </w:t>
      </w:r>
      <w:r w:rsidR="00997B51">
        <w:t>NCFRA</w:t>
      </w:r>
      <w:r w:rsidRPr="005B0195">
        <w:t xml:space="preserve"> regards the successful identification, monitoring, and control of risk to be the prime criteria by which the effectiveness of its treasury management activities will be measured.  The Treasury Management Scheme of Delegation is detailed within the</w:t>
      </w:r>
      <w:r w:rsidR="0064222E" w:rsidRPr="005B0195">
        <w:t xml:space="preserve"> </w:t>
      </w:r>
      <w:r w:rsidR="00997B51">
        <w:t>NCFRA</w:t>
      </w:r>
      <w:r w:rsidRPr="005B0195">
        <w:t>’s Corporate Governance Framework.</w:t>
      </w:r>
    </w:p>
    <w:p w14:paraId="29552CCE" w14:textId="77777777" w:rsidR="004D09CE" w:rsidRPr="005B0195" w:rsidRDefault="004D09CE" w:rsidP="00BA6C7C">
      <w:pPr>
        <w:pStyle w:val="TM1"/>
      </w:pPr>
      <w:r w:rsidRPr="005B0195">
        <w:t>Current Treasury Management Position</w:t>
      </w:r>
    </w:p>
    <w:p w14:paraId="43A4B354" w14:textId="080B7D2D" w:rsidR="004D09CE" w:rsidRPr="005B0195" w:rsidRDefault="004D09CE" w:rsidP="00D74683">
      <w:pPr>
        <w:pStyle w:val="TM2"/>
      </w:pPr>
      <w:r w:rsidRPr="005B0195">
        <w:t>The</w:t>
      </w:r>
      <w:r w:rsidR="0064222E" w:rsidRPr="005B0195">
        <w:t xml:space="preserve"> </w:t>
      </w:r>
      <w:r w:rsidR="00997B51">
        <w:t>NCFRA</w:t>
      </w:r>
      <w:r w:rsidRPr="005B0195">
        <w:t>’s projected treasury portfolio position at 1st April 202</w:t>
      </w:r>
      <w:r w:rsidR="004B55F6">
        <w:t>5</w:t>
      </w:r>
      <w:r w:rsidRPr="005B0195">
        <w:t xml:space="preserve">, with forward projections into future years, is summarised below.  Table 1 shows the actual </w:t>
      </w:r>
      <w:r w:rsidR="004C58DE">
        <w:t xml:space="preserve">forecast </w:t>
      </w:r>
      <w:r w:rsidRPr="005B0195">
        <w:t xml:space="preserve">external borrowing (the treasury management operations), against the </w:t>
      </w:r>
      <w:r w:rsidR="00D87CA1" w:rsidRPr="005B0195">
        <w:t>Capital Financing Requirement</w:t>
      </w:r>
      <w:r w:rsidRPr="005B0195">
        <w:t xml:space="preserve"> </w:t>
      </w:r>
      <w:r w:rsidR="00D87CA1" w:rsidRPr="005B0195">
        <w:t>(</w:t>
      </w:r>
      <w:r w:rsidRPr="005B0195">
        <w:t>CFR).</w:t>
      </w:r>
    </w:p>
    <w:p w14:paraId="0130974D" w14:textId="4901C9E0" w:rsidR="008375AD" w:rsidRPr="005B0195" w:rsidRDefault="004D09CE" w:rsidP="00D74683">
      <w:pPr>
        <w:pStyle w:val="TM2"/>
      </w:pPr>
      <w:r w:rsidRPr="005B0195">
        <w:t>The CFR is the total of outstanding capital expenditure which has not yet been paid for from either revenue or capital resources.  It is essentially a measure of the</w:t>
      </w:r>
      <w:r w:rsidR="0064222E" w:rsidRPr="005B0195">
        <w:t xml:space="preserve"> </w:t>
      </w:r>
      <w:r w:rsidR="00997B51">
        <w:t>NCFRA</w:t>
      </w:r>
      <w:r w:rsidRPr="005B0195">
        <w:t>’s underlying borrowing need.</w:t>
      </w:r>
    </w:p>
    <w:p w14:paraId="2B35FD22" w14:textId="64AA7B74" w:rsidR="00641B78" w:rsidRDefault="004D09CE" w:rsidP="00EE3D26">
      <w:pPr>
        <w:pStyle w:val="TM2"/>
      </w:pPr>
      <w:r w:rsidRPr="004B55F6">
        <w:t xml:space="preserve">Any </w:t>
      </w:r>
      <w:r w:rsidRPr="00641B78">
        <w:t>capital</w:t>
      </w:r>
      <w:r w:rsidRPr="004B55F6">
        <w:t xml:space="preserve"> expenditure which has not immediately been paid for will increase the CFR.  The CFR does not increase indefinitely, as the Minimum Revenue Provision (MRP) is a statutory annual revenue charge which broadly reduces the borrowing need over each asset’s life.</w:t>
      </w:r>
    </w:p>
    <w:p w14:paraId="7F9BF145" w14:textId="77777777" w:rsidR="00641B78" w:rsidRDefault="00641B78" w:rsidP="00EE3D26">
      <w:pPr>
        <w:pStyle w:val="TM2"/>
        <w:numPr>
          <w:ilvl w:val="0"/>
          <w:numId w:val="0"/>
        </w:numPr>
        <w:ind w:left="709"/>
      </w:pPr>
    </w:p>
    <w:p w14:paraId="53AE5F90" w14:textId="77777777" w:rsidR="00934BBA" w:rsidRDefault="00934BBA" w:rsidP="00641B78">
      <w:pPr>
        <w:pStyle w:val="TM2"/>
        <w:numPr>
          <w:ilvl w:val="0"/>
          <w:numId w:val="0"/>
        </w:numPr>
        <w:ind w:left="709" w:hanging="709"/>
      </w:pPr>
    </w:p>
    <w:p w14:paraId="1AA0F3BF" w14:textId="77777777" w:rsidR="00641B78" w:rsidRDefault="00641B78" w:rsidP="00641B78">
      <w:pPr>
        <w:pStyle w:val="TM2"/>
        <w:numPr>
          <w:ilvl w:val="0"/>
          <w:numId w:val="0"/>
        </w:numPr>
        <w:ind w:left="709" w:hanging="709"/>
      </w:pPr>
    </w:p>
    <w:p w14:paraId="2FDE41A3" w14:textId="77777777" w:rsidR="00641B78" w:rsidRDefault="00641B78" w:rsidP="00641B78">
      <w:pPr>
        <w:pStyle w:val="TM2"/>
        <w:numPr>
          <w:ilvl w:val="0"/>
          <w:numId w:val="0"/>
        </w:numPr>
        <w:ind w:left="709" w:hanging="709"/>
      </w:pPr>
    </w:p>
    <w:p w14:paraId="74FF0988" w14:textId="77777777" w:rsidR="00641B78" w:rsidRDefault="00641B78" w:rsidP="00641B78">
      <w:pPr>
        <w:pStyle w:val="TM2"/>
        <w:numPr>
          <w:ilvl w:val="0"/>
          <w:numId w:val="0"/>
        </w:numPr>
        <w:ind w:left="709" w:hanging="709"/>
      </w:pPr>
    </w:p>
    <w:p w14:paraId="3D68E968" w14:textId="0443DED1" w:rsidR="00641B78" w:rsidRPr="00EE3D26" w:rsidRDefault="00641B78" w:rsidP="00EE3D26">
      <w:pPr>
        <w:rPr>
          <w:rFonts w:ascii="Calibri" w:hAnsi="Calibri" w:cs="Calibri"/>
          <w:b/>
          <w:bCs/>
        </w:rPr>
      </w:pPr>
      <w:r w:rsidRPr="004B55F6">
        <w:rPr>
          <w:rFonts w:ascii="Calibri" w:hAnsi="Calibri" w:cs="Calibri"/>
          <w:b/>
          <w:bCs/>
        </w:rPr>
        <w:t xml:space="preserve">Table </w:t>
      </w:r>
      <w:r>
        <w:rPr>
          <w:rFonts w:ascii="Calibri" w:hAnsi="Calibri" w:cs="Calibri"/>
          <w:b/>
          <w:bCs/>
        </w:rPr>
        <w:t>1</w:t>
      </w:r>
      <w:r w:rsidRPr="004B55F6">
        <w:rPr>
          <w:rFonts w:ascii="Calibri" w:hAnsi="Calibri" w:cs="Calibri"/>
          <w:b/>
          <w:bCs/>
        </w:rPr>
        <w:t xml:space="preserve">: </w:t>
      </w:r>
      <w:r>
        <w:rPr>
          <w:rFonts w:ascii="Calibri" w:hAnsi="Calibri" w:cs="Calibri"/>
          <w:b/>
          <w:bCs/>
        </w:rPr>
        <w:t>Capital Financing Requirement</w:t>
      </w:r>
    </w:p>
    <w:tbl>
      <w:tblPr>
        <w:tblW w:w="9136" w:type="dxa"/>
        <w:tblLook w:val="04A0" w:firstRow="1" w:lastRow="0" w:firstColumn="1" w:lastColumn="0" w:noHBand="0" w:noVBand="1"/>
      </w:tblPr>
      <w:tblGrid>
        <w:gridCol w:w="3256"/>
        <w:gridCol w:w="980"/>
        <w:gridCol w:w="980"/>
        <w:gridCol w:w="980"/>
        <w:gridCol w:w="980"/>
        <w:gridCol w:w="980"/>
        <w:gridCol w:w="980"/>
      </w:tblGrid>
      <w:tr w:rsidR="00641B78" w:rsidRPr="00641B78" w14:paraId="57B2B4A5" w14:textId="77777777" w:rsidTr="00EE3D26">
        <w:trPr>
          <w:trHeight w:val="720"/>
        </w:trPr>
        <w:tc>
          <w:tcPr>
            <w:tcW w:w="3256" w:type="dxa"/>
            <w:tcBorders>
              <w:top w:val="single" w:sz="4" w:space="0" w:color="auto"/>
              <w:left w:val="single" w:sz="4" w:space="0" w:color="auto"/>
              <w:bottom w:val="nil"/>
              <w:right w:val="single" w:sz="4" w:space="0" w:color="auto"/>
            </w:tcBorders>
            <w:shd w:val="clear" w:color="000000" w:fill="C00000"/>
            <w:hideMark/>
          </w:tcPr>
          <w:p w14:paraId="46B7C43C" w14:textId="77777777" w:rsidR="00641B78" w:rsidRPr="00641B78" w:rsidRDefault="00641B78" w:rsidP="00641B78">
            <w:pPr>
              <w:rPr>
                <w:rFonts w:ascii="Calibri" w:eastAsia="Times New Roman" w:hAnsi="Calibri" w:cs="Calibri"/>
                <w:b/>
                <w:bCs/>
                <w:color w:val="FFFFFF"/>
                <w:sz w:val="18"/>
                <w:szCs w:val="18"/>
                <w:lang w:eastAsia="en-GB"/>
              </w:rPr>
            </w:pPr>
            <w:r w:rsidRPr="00641B78">
              <w:rPr>
                <w:rFonts w:ascii="Calibri" w:eastAsia="Times New Roman" w:hAnsi="Calibri" w:cs="Calibri"/>
                <w:b/>
                <w:bCs/>
                <w:color w:val="FFFFFF"/>
                <w:sz w:val="18"/>
                <w:szCs w:val="18"/>
                <w:lang w:eastAsia="en-GB"/>
              </w:rPr>
              <w:t>Capital Financing Requirement</w:t>
            </w:r>
          </w:p>
        </w:tc>
        <w:tc>
          <w:tcPr>
            <w:tcW w:w="980" w:type="dxa"/>
            <w:tcBorders>
              <w:top w:val="single" w:sz="4" w:space="0" w:color="auto"/>
              <w:left w:val="nil"/>
              <w:bottom w:val="nil"/>
              <w:right w:val="single" w:sz="4" w:space="0" w:color="auto"/>
            </w:tcBorders>
            <w:shd w:val="clear" w:color="000000" w:fill="C00000"/>
            <w:hideMark/>
          </w:tcPr>
          <w:p w14:paraId="12F017ED" w14:textId="77777777" w:rsidR="00641B78" w:rsidRPr="00641B78" w:rsidRDefault="00641B78" w:rsidP="00641B78">
            <w:pPr>
              <w:jc w:val="center"/>
              <w:rPr>
                <w:rFonts w:ascii="Calibri" w:eastAsia="Times New Roman" w:hAnsi="Calibri" w:cs="Calibri"/>
                <w:b/>
                <w:bCs/>
                <w:color w:val="FFFFFF"/>
                <w:sz w:val="18"/>
                <w:szCs w:val="18"/>
                <w:lang w:eastAsia="en-GB"/>
              </w:rPr>
            </w:pPr>
            <w:r w:rsidRPr="00641B78">
              <w:rPr>
                <w:rFonts w:ascii="Calibri" w:eastAsia="Times New Roman" w:hAnsi="Calibri" w:cs="Calibri"/>
                <w:b/>
                <w:bCs/>
                <w:color w:val="FFFFFF"/>
                <w:sz w:val="18"/>
                <w:szCs w:val="18"/>
                <w:lang w:eastAsia="en-GB"/>
              </w:rPr>
              <w:t>2024-25</w:t>
            </w:r>
            <w:r w:rsidRPr="00641B78">
              <w:rPr>
                <w:rFonts w:ascii="Calibri" w:eastAsia="Times New Roman" w:hAnsi="Calibri" w:cs="Calibri"/>
                <w:b/>
                <w:bCs/>
                <w:color w:val="FFFFFF"/>
                <w:sz w:val="18"/>
                <w:szCs w:val="18"/>
                <w:lang w:eastAsia="en-GB"/>
              </w:rPr>
              <w:br/>
              <w:t>Forecast</w:t>
            </w:r>
            <w:r w:rsidRPr="00641B78">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FD2A8AE" w14:textId="77777777" w:rsidR="00641B78" w:rsidRPr="00641B78" w:rsidRDefault="00641B78" w:rsidP="00641B78">
            <w:pPr>
              <w:jc w:val="center"/>
              <w:rPr>
                <w:rFonts w:ascii="Calibri" w:eastAsia="Times New Roman" w:hAnsi="Calibri" w:cs="Calibri"/>
                <w:b/>
                <w:bCs/>
                <w:color w:val="FFFFFF"/>
                <w:sz w:val="16"/>
                <w:szCs w:val="16"/>
                <w:lang w:eastAsia="en-GB"/>
              </w:rPr>
            </w:pPr>
            <w:r w:rsidRPr="00641B78">
              <w:rPr>
                <w:rFonts w:ascii="Calibri" w:eastAsia="Times New Roman" w:hAnsi="Calibri" w:cs="Calibri"/>
                <w:b/>
                <w:bCs/>
                <w:color w:val="FFFFFF"/>
                <w:sz w:val="16"/>
                <w:szCs w:val="16"/>
                <w:lang w:eastAsia="en-GB"/>
              </w:rPr>
              <w:t>2025-26</w:t>
            </w:r>
            <w:r w:rsidRPr="00641B78">
              <w:rPr>
                <w:rFonts w:ascii="Calibri" w:eastAsia="Times New Roman" w:hAnsi="Calibri" w:cs="Calibri"/>
                <w:b/>
                <w:bCs/>
                <w:color w:val="FFFFFF"/>
                <w:sz w:val="16"/>
                <w:szCs w:val="16"/>
                <w:lang w:eastAsia="en-GB"/>
              </w:rPr>
              <w:br/>
              <w:t>Estimated</w:t>
            </w:r>
            <w:r w:rsidRPr="00641B78">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6F9DDCEC" w14:textId="77777777" w:rsidR="00641B78" w:rsidRPr="00641B78" w:rsidRDefault="00641B78" w:rsidP="00641B78">
            <w:pPr>
              <w:jc w:val="center"/>
              <w:rPr>
                <w:rFonts w:ascii="Calibri" w:eastAsia="Times New Roman" w:hAnsi="Calibri" w:cs="Calibri"/>
                <w:b/>
                <w:bCs/>
                <w:color w:val="FFFFFF"/>
                <w:sz w:val="16"/>
                <w:szCs w:val="16"/>
                <w:lang w:eastAsia="en-GB"/>
              </w:rPr>
            </w:pPr>
            <w:r w:rsidRPr="00641B78">
              <w:rPr>
                <w:rFonts w:ascii="Calibri" w:eastAsia="Times New Roman" w:hAnsi="Calibri" w:cs="Calibri"/>
                <w:b/>
                <w:bCs/>
                <w:color w:val="FFFFFF"/>
                <w:sz w:val="16"/>
                <w:szCs w:val="16"/>
                <w:lang w:eastAsia="en-GB"/>
              </w:rPr>
              <w:t>2026-27</w:t>
            </w:r>
            <w:r w:rsidRPr="00641B78">
              <w:rPr>
                <w:rFonts w:ascii="Calibri" w:eastAsia="Times New Roman" w:hAnsi="Calibri" w:cs="Calibri"/>
                <w:b/>
                <w:bCs/>
                <w:color w:val="FFFFFF"/>
                <w:sz w:val="16"/>
                <w:szCs w:val="16"/>
                <w:lang w:eastAsia="en-GB"/>
              </w:rPr>
              <w:br/>
              <w:t>Estimated</w:t>
            </w:r>
            <w:r w:rsidRPr="00641B78">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6312F0A" w14:textId="77777777" w:rsidR="00641B78" w:rsidRPr="00641B78" w:rsidRDefault="00641B78" w:rsidP="00641B78">
            <w:pPr>
              <w:jc w:val="center"/>
              <w:rPr>
                <w:rFonts w:ascii="Calibri" w:eastAsia="Times New Roman" w:hAnsi="Calibri" w:cs="Calibri"/>
                <w:b/>
                <w:bCs/>
                <w:color w:val="FFFFFF"/>
                <w:sz w:val="16"/>
                <w:szCs w:val="16"/>
                <w:lang w:eastAsia="en-GB"/>
              </w:rPr>
            </w:pPr>
            <w:r w:rsidRPr="00641B78">
              <w:rPr>
                <w:rFonts w:ascii="Calibri" w:eastAsia="Times New Roman" w:hAnsi="Calibri" w:cs="Calibri"/>
                <w:b/>
                <w:bCs/>
                <w:color w:val="FFFFFF"/>
                <w:sz w:val="16"/>
                <w:szCs w:val="16"/>
                <w:lang w:eastAsia="en-GB"/>
              </w:rPr>
              <w:t>2027-28</w:t>
            </w:r>
            <w:r w:rsidRPr="00641B78">
              <w:rPr>
                <w:rFonts w:ascii="Calibri" w:eastAsia="Times New Roman" w:hAnsi="Calibri" w:cs="Calibri"/>
                <w:b/>
                <w:bCs/>
                <w:color w:val="FFFFFF"/>
                <w:sz w:val="16"/>
                <w:szCs w:val="16"/>
                <w:lang w:eastAsia="en-GB"/>
              </w:rPr>
              <w:br/>
              <w:t>Estimated</w:t>
            </w:r>
            <w:r w:rsidRPr="00641B78">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77E65C49" w14:textId="77777777" w:rsidR="00641B78" w:rsidRPr="00641B78" w:rsidRDefault="00641B78" w:rsidP="00641B78">
            <w:pPr>
              <w:jc w:val="center"/>
              <w:rPr>
                <w:rFonts w:ascii="Calibri" w:eastAsia="Times New Roman" w:hAnsi="Calibri" w:cs="Calibri"/>
                <w:b/>
                <w:bCs/>
                <w:color w:val="FFFFFF"/>
                <w:sz w:val="16"/>
                <w:szCs w:val="16"/>
                <w:lang w:eastAsia="en-GB"/>
              </w:rPr>
            </w:pPr>
            <w:r w:rsidRPr="00641B78">
              <w:rPr>
                <w:rFonts w:ascii="Calibri" w:eastAsia="Times New Roman" w:hAnsi="Calibri" w:cs="Calibri"/>
                <w:b/>
                <w:bCs/>
                <w:color w:val="FFFFFF"/>
                <w:sz w:val="16"/>
                <w:szCs w:val="16"/>
                <w:lang w:eastAsia="en-GB"/>
              </w:rPr>
              <w:t>2028-29</w:t>
            </w:r>
            <w:r w:rsidRPr="00641B78">
              <w:rPr>
                <w:rFonts w:ascii="Calibri" w:eastAsia="Times New Roman" w:hAnsi="Calibri" w:cs="Calibri"/>
                <w:b/>
                <w:bCs/>
                <w:color w:val="FFFFFF"/>
                <w:sz w:val="16"/>
                <w:szCs w:val="16"/>
                <w:lang w:eastAsia="en-GB"/>
              </w:rPr>
              <w:br/>
              <w:t>Estimated</w:t>
            </w:r>
            <w:r w:rsidRPr="00641B78">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5B6F4B90" w14:textId="77777777" w:rsidR="00641B78" w:rsidRPr="00641B78" w:rsidRDefault="00641B78" w:rsidP="00641B78">
            <w:pPr>
              <w:jc w:val="center"/>
              <w:rPr>
                <w:rFonts w:ascii="Calibri" w:eastAsia="Times New Roman" w:hAnsi="Calibri" w:cs="Calibri"/>
                <w:b/>
                <w:bCs/>
                <w:color w:val="FFFFFF"/>
                <w:sz w:val="16"/>
                <w:szCs w:val="16"/>
                <w:lang w:eastAsia="en-GB"/>
              </w:rPr>
            </w:pPr>
            <w:r w:rsidRPr="00641B78">
              <w:rPr>
                <w:rFonts w:ascii="Calibri" w:eastAsia="Times New Roman" w:hAnsi="Calibri" w:cs="Calibri"/>
                <w:b/>
                <w:bCs/>
                <w:color w:val="FFFFFF"/>
                <w:sz w:val="16"/>
                <w:szCs w:val="16"/>
                <w:lang w:eastAsia="en-GB"/>
              </w:rPr>
              <w:t>2029-30</w:t>
            </w:r>
            <w:r w:rsidRPr="00641B78">
              <w:rPr>
                <w:rFonts w:ascii="Calibri" w:eastAsia="Times New Roman" w:hAnsi="Calibri" w:cs="Calibri"/>
                <w:b/>
                <w:bCs/>
                <w:color w:val="FFFFFF"/>
                <w:sz w:val="16"/>
                <w:szCs w:val="16"/>
                <w:lang w:eastAsia="en-GB"/>
              </w:rPr>
              <w:br/>
              <w:t>Estimated</w:t>
            </w:r>
            <w:r w:rsidRPr="00641B78">
              <w:rPr>
                <w:rFonts w:ascii="Calibri" w:eastAsia="Times New Roman" w:hAnsi="Calibri" w:cs="Calibri"/>
                <w:b/>
                <w:bCs/>
                <w:color w:val="FFFFFF"/>
                <w:sz w:val="16"/>
                <w:szCs w:val="16"/>
                <w:lang w:eastAsia="en-GB"/>
              </w:rPr>
              <w:br/>
              <w:t>£'000</w:t>
            </w:r>
          </w:p>
        </w:tc>
      </w:tr>
      <w:tr w:rsidR="00641B78" w:rsidRPr="00641B78" w14:paraId="0FC198A5" w14:textId="77777777" w:rsidTr="00EE3D26">
        <w:trPr>
          <w:trHeight w:val="510"/>
        </w:trPr>
        <w:tc>
          <w:tcPr>
            <w:tcW w:w="3256" w:type="dxa"/>
            <w:tcBorders>
              <w:top w:val="nil"/>
              <w:left w:val="single" w:sz="4" w:space="0" w:color="auto"/>
              <w:bottom w:val="nil"/>
              <w:right w:val="single" w:sz="4" w:space="0" w:color="auto"/>
            </w:tcBorders>
            <w:shd w:val="clear" w:color="000000" w:fill="FFFFFF"/>
            <w:vAlign w:val="center"/>
            <w:hideMark/>
          </w:tcPr>
          <w:p w14:paraId="7DC8F5E7" w14:textId="77777777" w:rsidR="00641B78" w:rsidRPr="00641B78" w:rsidRDefault="00641B78" w:rsidP="00641B78">
            <w:pPr>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External Borrowing at 1st April b/</w:t>
            </w:r>
            <w:proofErr w:type="spellStart"/>
            <w:r w:rsidRPr="00641B78">
              <w:rPr>
                <w:rFonts w:ascii="Calibri" w:eastAsia="Times New Roman" w:hAnsi="Calibri" w:cs="Calibri"/>
                <w:color w:val="000000"/>
                <w:sz w:val="18"/>
                <w:szCs w:val="18"/>
                <w:lang w:eastAsia="en-GB"/>
              </w:rPr>
              <w:t>fwd</w:t>
            </w:r>
            <w:proofErr w:type="spellEnd"/>
          </w:p>
        </w:tc>
        <w:tc>
          <w:tcPr>
            <w:tcW w:w="980" w:type="dxa"/>
            <w:tcBorders>
              <w:top w:val="nil"/>
              <w:left w:val="nil"/>
              <w:bottom w:val="nil"/>
              <w:right w:val="single" w:sz="4" w:space="0" w:color="auto"/>
            </w:tcBorders>
            <w:shd w:val="clear" w:color="000000" w:fill="FFFFFF"/>
            <w:noWrap/>
            <w:vAlign w:val="center"/>
            <w:hideMark/>
          </w:tcPr>
          <w:p w14:paraId="218EA890"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2,970</w:t>
            </w:r>
          </w:p>
        </w:tc>
        <w:tc>
          <w:tcPr>
            <w:tcW w:w="980" w:type="dxa"/>
            <w:tcBorders>
              <w:top w:val="nil"/>
              <w:left w:val="nil"/>
              <w:bottom w:val="nil"/>
              <w:right w:val="single" w:sz="4" w:space="0" w:color="auto"/>
            </w:tcBorders>
            <w:shd w:val="clear" w:color="000000" w:fill="FFFFFF"/>
            <w:noWrap/>
            <w:vAlign w:val="center"/>
            <w:hideMark/>
          </w:tcPr>
          <w:p w14:paraId="78E569B6"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8,496</w:t>
            </w:r>
          </w:p>
        </w:tc>
        <w:tc>
          <w:tcPr>
            <w:tcW w:w="980" w:type="dxa"/>
            <w:tcBorders>
              <w:top w:val="nil"/>
              <w:left w:val="nil"/>
              <w:bottom w:val="nil"/>
              <w:right w:val="single" w:sz="4" w:space="0" w:color="auto"/>
            </w:tcBorders>
            <w:shd w:val="clear" w:color="000000" w:fill="FFFFFF"/>
            <w:noWrap/>
            <w:vAlign w:val="center"/>
            <w:hideMark/>
          </w:tcPr>
          <w:p w14:paraId="14155D50"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11,890</w:t>
            </w:r>
          </w:p>
        </w:tc>
        <w:tc>
          <w:tcPr>
            <w:tcW w:w="980" w:type="dxa"/>
            <w:tcBorders>
              <w:top w:val="nil"/>
              <w:left w:val="nil"/>
              <w:bottom w:val="nil"/>
              <w:right w:val="single" w:sz="4" w:space="0" w:color="auto"/>
            </w:tcBorders>
            <w:shd w:val="clear" w:color="000000" w:fill="FFFFFF"/>
            <w:noWrap/>
            <w:vAlign w:val="center"/>
            <w:hideMark/>
          </w:tcPr>
          <w:p w14:paraId="12A972A6"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27,492</w:t>
            </w:r>
          </w:p>
        </w:tc>
        <w:tc>
          <w:tcPr>
            <w:tcW w:w="980" w:type="dxa"/>
            <w:tcBorders>
              <w:top w:val="nil"/>
              <w:left w:val="nil"/>
              <w:bottom w:val="nil"/>
              <w:right w:val="single" w:sz="4" w:space="0" w:color="auto"/>
            </w:tcBorders>
            <w:shd w:val="clear" w:color="000000" w:fill="FFFFFF"/>
            <w:noWrap/>
            <w:vAlign w:val="center"/>
            <w:hideMark/>
          </w:tcPr>
          <w:p w14:paraId="09A000B5"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28,081</w:t>
            </w:r>
          </w:p>
        </w:tc>
        <w:tc>
          <w:tcPr>
            <w:tcW w:w="980" w:type="dxa"/>
            <w:tcBorders>
              <w:top w:val="nil"/>
              <w:left w:val="nil"/>
              <w:bottom w:val="nil"/>
              <w:right w:val="single" w:sz="4" w:space="0" w:color="auto"/>
            </w:tcBorders>
            <w:shd w:val="clear" w:color="000000" w:fill="FFFFFF"/>
            <w:noWrap/>
            <w:vAlign w:val="center"/>
            <w:hideMark/>
          </w:tcPr>
          <w:p w14:paraId="5A47CE48"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35,602</w:t>
            </w:r>
          </w:p>
        </w:tc>
      </w:tr>
      <w:tr w:rsidR="00641B78" w:rsidRPr="00641B78" w14:paraId="4CB9C91B" w14:textId="77777777" w:rsidTr="00EE3D26">
        <w:trPr>
          <w:trHeight w:val="510"/>
        </w:trPr>
        <w:tc>
          <w:tcPr>
            <w:tcW w:w="3256" w:type="dxa"/>
            <w:tcBorders>
              <w:top w:val="nil"/>
              <w:left w:val="single" w:sz="4" w:space="0" w:color="auto"/>
              <w:bottom w:val="nil"/>
              <w:right w:val="single" w:sz="4" w:space="0" w:color="auto"/>
            </w:tcBorders>
            <w:shd w:val="clear" w:color="000000" w:fill="FFFFFF"/>
            <w:vAlign w:val="center"/>
            <w:hideMark/>
          </w:tcPr>
          <w:p w14:paraId="1109A86B" w14:textId="77777777" w:rsidR="00641B78" w:rsidRPr="00641B78" w:rsidRDefault="00641B78" w:rsidP="00641B78">
            <w:pPr>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Net Borrowing Requirement</w:t>
            </w:r>
            <w:r w:rsidRPr="00641B78">
              <w:rPr>
                <w:rFonts w:ascii="Calibri" w:eastAsia="Times New Roman" w:hAnsi="Calibri" w:cs="Calibri"/>
                <w:color w:val="000000"/>
                <w:sz w:val="18"/>
                <w:szCs w:val="18"/>
                <w:lang w:eastAsia="en-GB"/>
              </w:rPr>
              <w:br/>
              <w:t>to fund Capital Programme</w:t>
            </w:r>
          </w:p>
        </w:tc>
        <w:tc>
          <w:tcPr>
            <w:tcW w:w="980" w:type="dxa"/>
            <w:tcBorders>
              <w:top w:val="nil"/>
              <w:left w:val="nil"/>
              <w:bottom w:val="nil"/>
              <w:right w:val="single" w:sz="4" w:space="0" w:color="auto"/>
            </w:tcBorders>
            <w:shd w:val="clear" w:color="000000" w:fill="FFFFFF"/>
            <w:noWrap/>
            <w:vAlign w:val="center"/>
            <w:hideMark/>
          </w:tcPr>
          <w:p w14:paraId="3A8EC65F"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5,785</w:t>
            </w:r>
          </w:p>
        </w:tc>
        <w:tc>
          <w:tcPr>
            <w:tcW w:w="980" w:type="dxa"/>
            <w:tcBorders>
              <w:top w:val="nil"/>
              <w:left w:val="nil"/>
              <w:bottom w:val="nil"/>
              <w:right w:val="single" w:sz="4" w:space="0" w:color="auto"/>
            </w:tcBorders>
            <w:shd w:val="clear" w:color="000000" w:fill="FFFFFF"/>
            <w:noWrap/>
            <w:vAlign w:val="center"/>
            <w:hideMark/>
          </w:tcPr>
          <w:p w14:paraId="125CF884"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3,845</w:t>
            </w:r>
          </w:p>
        </w:tc>
        <w:tc>
          <w:tcPr>
            <w:tcW w:w="980" w:type="dxa"/>
            <w:tcBorders>
              <w:top w:val="nil"/>
              <w:left w:val="nil"/>
              <w:bottom w:val="nil"/>
              <w:right w:val="single" w:sz="4" w:space="0" w:color="auto"/>
            </w:tcBorders>
            <w:shd w:val="clear" w:color="000000" w:fill="FFFFFF"/>
            <w:noWrap/>
            <w:vAlign w:val="center"/>
            <w:hideMark/>
          </w:tcPr>
          <w:p w14:paraId="13B696CE"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16,201</w:t>
            </w:r>
          </w:p>
        </w:tc>
        <w:tc>
          <w:tcPr>
            <w:tcW w:w="980" w:type="dxa"/>
            <w:tcBorders>
              <w:top w:val="nil"/>
              <w:left w:val="nil"/>
              <w:bottom w:val="nil"/>
              <w:right w:val="single" w:sz="4" w:space="0" w:color="auto"/>
            </w:tcBorders>
            <w:shd w:val="clear" w:color="000000" w:fill="FFFFFF"/>
            <w:noWrap/>
            <w:vAlign w:val="center"/>
            <w:hideMark/>
          </w:tcPr>
          <w:p w14:paraId="5EC40ED0"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1,328</w:t>
            </w:r>
          </w:p>
        </w:tc>
        <w:tc>
          <w:tcPr>
            <w:tcW w:w="980" w:type="dxa"/>
            <w:tcBorders>
              <w:top w:val="nil"/>
              <w:left w:val="nil"/>
              <w:bottom w:val="nil"/>
              <w:right w:val="single" w:sz="4" w:space="0" w:color="auto"/>
            </w:tcBorders>
            <w:shd w:val="clear" w:color="000000" w:fill="FFFFFF"/>
            <w:noWrap/>
            <w:vAlign w:val="center"/>
            <w:hideMark/>
          </w:tcPr>
          <w:p w14:paraId="22792153"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8,382</w:t>
            </w:r>
          </w:p>
        </w:tc>
        <w:tc>
          <w:tcPr>
            <w:tcW w:w="980" w:type="dxa"/>
            <w:tcBorders>
              <w:top w:val="nil"/>
              <w:left w:val="nil"/>
              <w:bottom w:val="nil"/>
              <w:right w:val="single" w:sz="4" w:space="0" w:color="auto"/>
            </w:tcBorders>
            <w:shd w:val="clear" w:color="000000" w:fill="FFFFFF"/>
            <w:noWrap/>
            <w:vAlign w:val="center"/>
            <w:hideMark/>
          </w:tcPr>
          <w:p w14:paraId="1C0025E0"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8,208</w:t>
            </w:r>
          </w:p>
        </w:tc>
      </w:tr>
      <w:tr w:rsidR="00641B78" w:rsidRPr="00641B78" w14:paraId="7452C491" w14:textId="77777777" w:rsidTr="00EE3D26">
        <w:trPr>
          <w:trHeight w:val="510"/>
        </w:trPr>
        <w:tc>
          <w:tcPr>
            <w:tcW w:w="3256" w:type="dxa"/>
            <w:tcBorders>
              <w:top w:val="nil"/>
              <w:left w:val="single" w:sz="4" w:space="0" w:color="auto"/>
              <w:bottom w:val="nil"/>
              <w:right w:val="single" w:sz="4" w:space="0" w:color="auto"/>
            </w:tcBorders>
            <w:shd w:val="clear" w:color="000000" w:fill="FFFFFF"/>
            <w:vAlign w:val="center"/>
            <w:hideMark/>
          </w:tcPr>
          <w:p w14:paraId="0E64FCA2" w14:textId="77777777" w:rsidR="00641B78" w:rsidRPr="00641B78" w:rsidRDefault="00641B78" w:rsidP="00641B78">
            <w:pPr>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MRP</w:t>
            </w:r>
          </w:p>
        </w:tc>
        <w:tc>
          <w:tcPr>
            <w:tcW w:w="980" w:type="dxa"/>
            <w:tcBorders>
              <w:top w:val="nil"/>
              <w:left w:val="nil"/>
              <w:bottom w:val="nil"/>
              <w:right w:val="single" w:sz="4" w:space="0" w:color="auto"/>
            </w:tcBorders>
            <w:shd w:val="clear" w:color="000000" w:fill="FFFFFF"/>
            <w:noWrap/>
            <w:vAlign w:val="center"/>
            <w:hideMark/>
          </w:tcPr>
          <w:p w14:paraId="533C94F0"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(259)</w:t>
            </w:r>
          </w:p>
        </w:tc>
        <w:tc>
          <w:tcPr>
            <w:tcW w:w="980" w:type="dxa"/>
            <w:tcBorders>
              <w:top w:val="nil"/>
              <w:left w:val="nil"/>
              <w:bottom w:val="nil"/>
              <w:right w:val="single" w:sz="4" w:space="0" w:color="auto"/>
            </w:tcBorders>
            <w:shd w:val="clear" w:color="000000" w:fill="FFFFFF"/>
            <w:noWrap/>
            <w:vAlign w:val="center"/>
            <w:hideMark/>
          </w:tcPr>
          <w:p w14:paraId="562A9CF8"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(451)</w:t>
            </w:r>
          </w:p>
        </w:tc>
        <w:tc>
          <w:tcPr>
            <w:tcW w:w="980" w:type="dxa"/>
            <w:tcBorders>
              <w:top w:val="nil"/>
              <w:left w:val="nil"/>
              <w:bottom w:val="nil"/>
              <w:right w:val="single" w:sz="4" w:space="0" w:color="auto"/>
            </w:tcBorders>
            <w:shd w:val="clear" w:color="000000" w:fill="FFFFFF"/>
            <w:noWrap/>
            <w:vAlign w:val="center"/>
            <w:hideMark/>
          </w:tcPr>
          <w:p w14:paraId="3BD4B182"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(599)</w:t>
            </w:r>
          </w:p>
        </w:tc>
        <w:tc>
          <w:tcPr>
            <w:tcW w:w="980" w:type="dxa"/>
            <w:tcBorders>
              <w:top w:val="nil"/>
              <w:left w:val="nil"/>
              <w:bottom w:val="nil"/>
              <w:right w:val="single" w:sz="4" w:space="0" w:color="auto"/>
            </w:tcBorders>
            <w:shd w:val="clear" w:color="000000" w:fill="FFFFFF"/>
            <w:noWrap/>
            <w:vAlign w:val="center"/>
            <w:hideMark/>
          </w:tcPr>
          <w:p w14:paraId="69AA92C7"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(739)</w:t>
            </w:r>
          </w:p>
        </w:tc>
        <w:tc>
          <w:tcPr>
            <w:tcW w:w="980" w:type="dxa"/>
            <w:tcBorders>
              <w:top w:val="nil"/>
              <w:left w:val="nil"/>
              <w:bottom w:val="nil"/>
              <w:right w:val="single" w:sz="4" w:space="0" w:color="auto"/>
            </w:tcBorders>
            <w:shd w:val="clear" w:color="000000" w:fill="FFFFFF"/>
            <w:noWrap/>
            <w:vAlign w:val="center"/>
            <w:hideMark/>
          </w:tcPr>
          <w:p w14:paraId="4FCDD23B"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(861)</w:t>
            </w:r>
          </w:p>
        </w:tc>
        <w:tc>
          <w:tcPr>
            <w:tcW w:w="980" w:type="dxa"/>
            <w:tcBorders>
              <w:top w:val="nil"/>
              <w:left w:val="nil"/>
              <w:bottom w:val="nil"/>
              <w:right w:val="single" w:sz="4" w:space="0" w:color="auto"/>
            </w:tcBorders>
            <w:shd w:val="clear" w:color="000000" w:fill="FFFFFF"/>
            <w:noWrap/>
            <w:vAlign w:val="center"/>
            <w:hideMark/>
          </w:tcPr>
          <w:p w14:paraId="2606F787"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(936)</w:t>
            </w:r>
          </w:p>
        </w:tc>
      </w:tr>
      <w:tr w:rsidR="00641B78" w:rsidRPr="00641B78" w14:paraId="3561663E" w14:textId="77777777" w:rsidTr="00EE3D26">
        <w:trPr>
          <w:trHeight w:val="48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BD64E" w14:textId="77777777" w:rsidR="00641B78" w:rsidRPr="00641B78" w:rsidRDefault="00641B78" w:rsidP="00641B78">
            <w:pPr>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CFR - Borrowing at 31 March c/</w:t>
            </w:r>
            <w:proofErr w:type="spellStart"/>
            <w:r w:rsidRPr="00641B78">
              <w:rPr>
                <w:rFonts w:ascii="Calibri" w:eastAsia="Times New Roman" w:hAnsi="Calibri" w:cs="Calibri"/>
                <w:b/>
                <w:bCs/>
                <w:color w:val="000000"/>
                <w:sz w:val="18"/>
                <w:szCs w:val="18"/>
                <w:lang w:eastAsia="en-GB"/>
              </w:rPr>
              <w:t>fwd</w:t>
            </w:r>
            <w:proofErr w:type="spellEnd"/>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66929E7"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8,496</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B796C44"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11,890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0C3B5562"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27,492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B473A8F"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28,081</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69E755C"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35,602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18093C77"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42,874</w:t>
            </w:r>
          </w:p>
        </w:tc>
      </w:tr>
      <w:tr w:rsidR="00641B78" w:rsidRPr="00641B78" w14:paraId="0AF711DC" w14:textId="77777777" w:rsidTr="00EE3D26">
        <w:trPr>
          <w:trHeight w:val="24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49C1729" w14:textId="77777777" w:rsidR="00641B78" w:rsidRPr="00641B78" w:rsidRDefault="00641B78" w:rsidP="00641B78">
            <w:pPr>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Investments at 31 March</w:t>
            </w:r>
          </w:p>
        </w:tc>
        <w:tc>
          <w:tcPr>
            <w:tcW w:w="980" w:type="dxa"/>
            <w:tcBorders>
              <w:top w:val="nil"/>
              <w:left w:val="nil"/>
              <w:bottom w:val="nil"/>
              <w:right w:val="single" w:sz="4" w:space="0" w:color="auto"/>
            </w:tcBorders>
            <w:shd w:val="clear" w:color="000000" w:fill="FFFFFF"/>
            <w:noWrap/>
            <w:vAlign w:val="center"/>
            <w:hideMark/>
          </w:tcPr>
          <w:p w14:paraId="23317A68"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3,979</w:t>
            </w:r>
          </w:p>
        </w:tc>
        <w:tc>
          <w:tcPr>
            <w:tcW w:w="980" w:type="dxa"/>
            <w:tcBorders>
              <w:top w:val="nil"/>
              <w:left w:val="nil"/>
              <w:bottom w:val="nil"/>
              <w:right w:val="single" w:sz="4" w:space="0" w:color="auto"/>
            </w:tcBorders>
            <w:shd w:val="clear" w:color="000000" w:fill="FFFFFF"/>
            <w:noWrap/>
            <w:vAlign w:val="center"/>
            <w:hideMark/>
          </w:tcPr>
          <w:p w14:paraId="3C319AA8"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1,618</w:t>
            </w:r>
          </w:p>
        </w:tc>
        <w:tc>
          <w:tcPr>
            <w:tcW w:w="980" w:type="dxa"/>
            <w:tcBorders>
              <w:top w:val="nil"/>
              <w:left w:val="nil"/>
              <w:bottom w:val="nil"/>
              <w:right w:val="single" w:sz="4" w:space="0" w:color="auto"/>
            </w:tcBorders>
            <w:shd w:val="clear" w:color="000000" w:fill="FFFFFF"/>
            <w:noWrap/>
            <w:vAlign w:val="center"/>
            <w:hideMark/>
          </w:tcPr>
          <w:p w14:paraId="560705AF"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2,000</w:t>
            </w:r>
          </w:p>
        </w:tc>
        <w:tc>
          <w:tcPr>
            <w:tcW w:w="980" w:type="dxa"/>
            <w:tcBorders>
              <w:top w:val="nil"/>
              <w:left w:val="nil"/>
              <w:bottom w:val="nil"/>
              <w:right w:val="single" w:sz="4" w:space="0" w:color="auto"/>
            </w:tcBorders>
            <w:shd w:val="clear" w:color="000000" w:fill="FFFFFF"/>
            <w:noWrap/>
            <w:vAlign w:val="center"/>
            <w:hideMark/>
          </w:tcPr>
          <w:p w14:paraId="6671DE91"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2,000</w:t>
            </w:r>
          </w:p>
        </w:tc>
        <w:tc>
          <w:tcPr>
            <w:tcW w:w="980" w:type="dxa"/>
            <w:tcBorders>
              <w:top w:val="nil"/>
              <w:left w:val="nil"/>
              <w:bottom w:val="nil"/>
              <w:right w:val="single" w:sz="4" w:space="0" w:color="auto"/>
            </w:tcBorders>
            <w:shd w:val="clear" w:color="000000" w:fill="FFFFFF"/>
            <w:noWrap/>
            <w:vAlign w:val="center"/>
            <w:hideMark/>
          </w:tcPr>
          <w:p w14:paraId="39745245"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2,000</w:t>
            </w:r>
          </w:p>
        </w:tc>
        <w:tc>
          <w:tcPr>
            <w:tcW w:w="980" w:type="dxa"/>
            <w:tcBorders>
              <w:top w:val="nil"/>
              <w:left w:val="nil"/>
              <w:bottom w:val="nil"/>
              <w:right w:val="single" w:sz="4" w:space="0" w:color="auto"/>
            </w:tcBorders>
            <w:shd w:val="clear" w:color="000000" w:fill="FFFFFF"/>
            <w:noWrap/>
            <w:vAlign w:val="center"/>
            <w:hideMark/>
          </w:tcPr>
          <w:p w14:paraId="3E84E2A1" w14:textId="77777777" w:rsidR="00641B78" w:rsidRPr="00641B78" w:rsidRDefault="00641B78" w:rsidP="00641B78">
            <w:pPr>
              <w:jc w:val="right"/>
              <w:rPr>
                <w:rFonts w:ascii="Calibri" w:eastAsia="Times New Roman" w:hAnsi="Calibri" w:cs="Calibri"/>
                <w:color w:val="000000"/>
                <w:sz w:val="18"/>
                <w:szCs w:val="18"/>
                <w:lang w:eastAsia="en-GB"/>
              </w:rPr>
            </w:pPr>
            <w:r w:rsidRPr="00641B78">
              <w:rPr>
                <w:rFonts w:ascii="Calibri" w:eastAsia="Times New Roman" w:hAnsi="Calibri" w:cs="Calibri"/>
                <w:color w:val="000000"/>
                <w:sz w:val="18"/>
                <w:szCs w:val="18"/>
                <w:lang w:eastAsia="en-GB"/>
              </w:rPr>
              <w:t>2,000</w:t>
            </w:r>
          </w:p>
        </w:tc>
      </w:tr>
      <w:tr w:rsidR="00641B78" w:rsidRPr="00641B78" w14:paraId="6C70A54A" w14:textId="77777777" w:rsidTr="00EE3D26">
        <w:trPr>
          <w:trHeight w:val="240"/>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4374D075" w14:textId="77777777" w:rsidR="00641B78" w:rsidRPr="00641B78" w:rsidRDefault="00641B78" w:rsidP="00641B78">
            <w:pPr>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Net Borrowing</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36DE06F"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4,517</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947EA8C"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10,272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36FDF02D"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25,492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6F3B6BA"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26,081</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0EB5E93F"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33,602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3C1CA09" w14:textId="77777777" w:rsidR="00641B78" w:rsidRPr="00641B78" w:rsidRDefault="00641B78" w:rsidP="00641B78">
            <w:pPr>
              <w:jc w:val="right"/>
              <w:rPr>
                <w:rFonts w:ascii="Calibri" w:eastAsia="Times New Roman" w:hAnsi="Calibri" w:cs="Calibri"/>
                <w:b/>
                <w:bCs/>
                <w:color w:val="000000"/>
                <w:sz w:val="18"/>
                <w:szCs w:val="18"/>
                <w:lang w:eastAsia="en-GB"/>
              </w:rPr>
            </w:pPr>
            <w:r w:rsidRPr="00641B78">
              <w:rPr>
                <w:rFonts w:ascii="Calibri" w:eastAsia="Times New Roman" w:hAnsi="Calibri" w:cs="Calibri"/>
                <w:b/>
                <w:bCs/>
                <w:color w:val="000000"/>
                <w:sz w:val="18"/>
                <w:szCs w:val="18"/>
                <w:lang w:eastAsia="en-GB"/>
              </w:rPr>
              <w:t>40,874</w:t>
            </w:r>
          </w:p>
        </w:tc>
      </w:tr>
    </w:tbl>
    <w:p w14:paraId="56586A67" w14:textId="7B4EEC40" w:rsidR="004D09CE" w:rsidRPr="005B0195" w:rsidRDefault="008375AD" w:rsidP="00641B78">
      <w:pPr>
        <w:pStyle w:val="TM2"/>
      </w:pPr>
      <w:r>
        <w:t>T</w:t>
      </w:r>
      <w:r w:rsidR="004D09CE" w:rsidRPr="005B0195">
        <w:t>here are a number of key indicators to ensure that the</w:t>
      </w:r>
      <w:r w:rsidR="0064222E" w:rsidRPr="005B0195">
        <w:t xml:space="preserve"> </w:t>
      </w:r>
      <w:r w:rsidR="00997B51">
        <w:t>NCFRA</w:t>
      </w:r>
      <w:r w:rsidR="004D09CE" w:rsidRPr="005B0195">
        <w:t xml:space="preserve"> operates its activities within well-defined limits.  Among these the</w:t>
      </w:r>
      <w:r w:rsidR="0064222E" w:rsidRPr="005B0195">
        <w:t xml:space="preserve"> </w:t>
      </w:r>
      <w:r w:rsidR="00997B51">
        <w:t>NCFRA</w:t>
      </w:r>
      <w:r w:rsidR="004D09CE" w:rsidRPr="005B0195">
        <w:t xml:space="preserve"> needs to ensure that its gross borrowing does not, except in the short term, exceed the total of the CFR in the preceding years.  This ensures that borrowing is not undertaken for revenue purposes except to cover short term cash flows.</w:t>
      </w:r>
    </w:p>
    <w:p w14:paraId="18F6DAFF" w14:textId="2AFBD508" w:rsidR="004D09CE" w:rsidRPr="005B0195" w:rsidRDefault="004D09CE" w:rsidP="00D74683">
      <w:pPr>
        <w:pStyle w:val="TM2"/>
      </w:pPr>
      <w:r w:rsidRPr="005B0195">
        <w:t xml:space="preserve">The Chief Finance Officer does not envisage </w:t>
      </w:r>
      <w:r w:rsidR="00D74683">
        <w:t xml:space="preserve">borrowing for investment purposes, nor </w:t>
      </w:r>
      <w:r w:rsidRPr="005B0195">
        <w:t>difficulties complying with these indicators based upon current commitments, existing plans, the proposals in this strategy, the budget report, the Capital Programme and the Medium Term Financial Plan.</w:t>
      </w:r>
    </w:p>
    <w:p w14:paraId="513C197D" w14:textId="77777777" w:rsidR="004D09CE" w:rsidRPr="004B55F6" w:rsidRDefault="004D09CE" w:rsidP="00BA6C7C">
      <w:pPr>
        <w:pStyle w:val="TM1"/>
      </w:pPr>
      <w:r w:rsidRPr="004B55F6">
        <w:t>Prospects for Interest Rates</w:t>
      </w:r>
    </w:p>
    <w:p w14:paraId="09AABABD" w14:textId="748C05CB" w:rsidR="004D09CE" w:rsidRPr="004B55F6" w:rsidRDefault="004D09CE" w:rsidP="00D74683">
      <w:pPr>
        <w:pStyle w:val="TM2"/>
      </w:pPr>
      <w:r w:rsidRPr="004B55F6">
        <w:t>The</w:t>
      </w:r>
      <w:r w:rsidR="0064222E" w:rsidRPr="004B55F6">
        <w:t xml:space="preserve"> </w:t>
      </w:r>
      <w:r w:rsidR="00997B51" w:rsidRPr="004B55F6">
        <w:t>NCFRA</w:t>
      </w:r>
      <w:r w:rsidRPr="004B55F6">
        <w:t>’s assessment of the likely path for bank base rate, investment market rates (The London Interbank Bid Rate - LIBID), and PWLB borrowing rates are set out below:</w:t>
      </w:r>
    </w:p>
    <w:p w14:paraId="76C87911" w14:textId="06456C25" w:rsidR="004D09CE" w:rsidRPr="00FE76B3" w:rsidRDefault="004D09CE" w:rsidP="00EE3D26">
      <w:pPr>
        <w:rPr>
          <w:rFonts w:ascii="Calibri" w:hAnsi="Calibri" w:cs="Calibri"/>
          <w:b/>
          <w:bCs/>
        </w:rPr>
      </w:pPr>
      <w:r w:rsidRPr="004B55F6">
        <w:rPr>
          <w:rFonts w:ascii="Calibri" w:hAnsi="Calibri" w:cs="Calibri"/>
          <w:b/>
          <w:bCs/>
        </w:rPr>
        <w:t xml:space="preserve">Table 2: Interest Rate Outlook </w:t>
      </w:r>
      <w:r w:rsidR="00D75E47" w:rsidRPr="004B55F6">
        <w:rPr>
          <w:rFonts w:ascii="Calibri" w:hAnsi="Calibri" w:cs="Calibri"/>
          <w:b/>
          <w:bCs/>
        </w:rPr>
        <w:t xml:space="preserve">as at </w:t>
      </w:r>
      <w:r w:rsidR="005B67EE">
        <w:rPr>
          <w:rFonts w:ascii="Calibri" w:hAnsi="Calibri" w:cs="Calibri"/>
          <w:b/>
          <w:bCs/>
        </w:rPr>
        <w:t>24</w:t>
      </w:r>
      <w:r w:rsidR="004B55F6" w:rsidRPr="004B55F6">
        <w:rPr>
          <w:rFonts w:ascii="Calibri" w:hAnsi="Calibri" w:cs="Calibri"/>
          <w:vertAlign w:val="superscript"/>
        </w:rPr>
        <w:t>th</w:t>
      </w:r>
      <w:r w:rsidR="004B55F6" w:rsidRPr="004B55F6">
        <w:rPr>
          <w:rFonts w:ascii="Calibri" w:hAnsi="Calibri" w:cs="Calibri"/>
        </w:rPr>
        <w:t xml:space="preserve"> </w:t>
      </w:r>
      <w:r w:rsidR="004B55F6" w:rsidRPr="00EE3D26">
        <w:rPr>
          <w:rFonts w:ascii="Calibri" w:hAnsi="Calibri" w:cs="Calibri"/>
          <w:b/>
          <w:bCs/>
        </w:rPr>
        <w:t>December 2024</w:t>
      </w:r>
    </w:p>
    <w:p w14:paraId="3E6704BB" w14:textId="77777777" w:rsidR="009261C7" w:rsidRPr="00C23F12" w:rsidRDefault="009261C7" w:rsidP="00C23F12">
      <w:pPr>
        <w:ind w:firstLine="709"/>
        <w:rPr>
          <w:rFonts w:ascii="Calibri" w:hAnsi="Calibri" w:cs="Calibri"/>
          <w:bCs/>
          <w:sz w:val="12"/>
          <w:szCs w:val="12"/>
        </w:rPr>
      </w:pPr>
    </w:p>
    <w:tbl>
      <w:tblPr>
        <w:tblW w:w="8977" w:type="dxa"/>
        <w:tblInd w:w="132" w:type="dxa"/>
        <w:tblLook w:val="04A0" w:firstRow="1" w:lastRow="0" w:firstColumn="1" w:lastColumn="0" w:noHBand="0" w:noVBand="1"/>
      </w:tblPr>
      <w:tblGrid>
        <w:gridCol w:w="1559"/>
        <w:gridCol w:w="426"/>
        <w:gridCol w:w="714"/>
        <w:gridCol w:w="901"/>
        <w:gridCol w:w="901"/>
        <w:gridCol w:w="884"/>
        <w:gridCol w:w="884"/>
        <w:gridCol w:w="901"/>
        <w:gridCol w:w="901"/>
        <w:gridCol w:w="906"/>
      </w:tblGrid>
      <w:tr w:rsidR="005B5E1C" w:rsidRPr="005B5E1C" w14:paraId="68C9C813" w14:textId="77777777" w:rsidTr="00EE3D26">
        <w:trPr>
          <w:trHeight w:val="357"/>
        </w:trPr>
        <w:tc>
          <w:tcPr>
            <w:tcW w:w="8977" w:type="dxa"/>
            <w:gridSpan w:val="10"/>
            <w:tcBorders>
              <w:top w:val="single" w:sz="8" w:space="0" w:color="auto"/>
              <w:left w:val="single" w:sz="8" w:space="0" w:color="auto"/>
              <w:bottom w:val="nil"/>
              <w:right w:val="single" w:sz="8" w:space="0" w:color="000000"/>
            </w:tcBorders>
            <w:shd w:val="clear" w:color="000000" w:fill="C00000"/>
            <w:vAlign w:val="center"/>
            <w:hideMark/>
          </w:tcPr>
          <w:p w14:paraId="576214EE" w14:textId="77777777" w:rsidR="005B5E1C" w:rsidRPr="00934BBA" w:rsidRDefault="005B5E1C" w:rsidP="005B5E1C">
            <w:pPr>
              <w:jc w:val="cente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Interest Rate Forecasts</w:t>
            </w:r>
          </w:p>
        </w:tc>
      </w:tr>
      <w:tr w:rsidR="00934BBA" w:rsidRPr="005B5E1C" w14:paraId="63A57E66" w14:textId="77777777" w:rsidTr="00EE3D26">
        <w:trPr>
          <w:trHeight w:val="328"/>
        </w:trPr>
        <w:tc>
          <w:tcPr>
            <w:tcW w:w="1559" w:type="dxa"/>
            <w:tcBorders>
              <w:top w:val="nil"/>
              <w:left w:val="single" w:sz="8" w:space="0" w:color="auto"/>
              <w:bottom w:val="nil"/>
              <w:right w:val="nil"/>
            </w:tcBorders>
            <w:shd w:val="clear" w:color="000000" w:fill="C00000"/>
            <w:vAlign w:val="center"/>
            <w:hideMark/>
          </w:tcPr>
          <w:p w14:paraId="200D6409" w14:textId="77777777" w:rsidR="005B5E1C" w:rsidRPr="00934BBA" w:rsidRDefault="005B5E1C" w:rsidP="00EE3D26">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Bank rate</w:t>
            </w:r>
          </w:p>
        </w:tc>
        <w:tc>
          <w:tcPr>
            <w:tcW w:w="1140" w:type="dxa"/>
            <w:gridSpan w:val="2"/>
            <w:tcBorders>
              <w:top w:val="nil"/>
              <w:left w:val="nil"/>
              <w:bottom w:val="nil"/>
              <w:right w:val="nil"/>
            </w:tcBorders>
            <w:shd w:val="clear" w:color="000000" w:fill="C00000"/>
            <w:noWrap/>
            <w:vAlign w:val="bottom"/>
            <w:hideMark/>
          </w:tcPr>
          <w:p w14:paraId="3CC36CA9"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Dec-24</w:t>
            </w:r>
          </w:p>
        </w:tc>
        <w:tc>
          <w:tcPr>
            <w:tcW w:w="901" w:type="dxa"/>
            <w:tcBorders>
              <w:top w:val="nil"/>
              <w:left w:val="nil"/>
              <w:bottom w:val="nil"/>
              <w:right w:val="nil"/>
            </w:tcBorders>
            <w:shd w:val="clear" w:color="000000" w:fill="C00000"/>
            <w:noWrap/>
            <w:vAlign w:val="bottom"/>
            <w:hideMark/>
          </w:tcPr>
          <w:p w14:paraId="302C5C7F"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Mar-25</w:t>
            </w:r>
          </w:p>
        </w:tc>
        <w:tc>
          <w:tcPr>
            <w:tcW w:w="901" w:type="dxa"/>
            <w:tcBorders>
              <w:top w:val="nil"/>
              <w:left w:val="nil"/>
              <w:bottom w:val="nil"/>
              <w:right w:val="nil"/>
            </w:tcBorders>
            <w:shd w:val="clear" w:color="000000" w:fill="C00000"/>
            <w:noWrap/>
            <w:vAlign w:val="bottom"/>
            <w:hideMark/>
          </w:tcPr>
          <w:p w14:paraId="30E54A75"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Jun-25</w:t>
            </w:r>
          </w:p>
        </w:tc>
        <w:tc>
          <w:tcPr>
            <w:tcW w:w="884" w:type="dxa"/>
            <w:tcBorders>
              <w:top w:val="nil"/>
              <w:left w:val="nil"/>
              <w:bottom w:val="nil"/>
              <w:right w:val="nil"/>
            </w:tcBorders>
            <w:shd w:val="clear" w:color="000000" w:fill="C00000"/>
            <w:noWrap/>
            <w:vAlign w:val="bottom"/>
            <w:hideMark/>
          </w:tcPr>
          <w:p w14:paraId="67662792"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Sep-25</w:t>
            </w:r>
          </w:p>
        </w:tc>
        <w:tc>
          <w:tcPr>
            <w:tcW w:w="884" w:type="dxa"/>
            <w:tcBorders>
              <w:top w:val="nil"/>
              <w:left w:val="nil"/>
              <w:bottom w:val="nil"/>
              <w:right w:val="nil"/>
            </w:tcBorders>
            <w:shd w:val="clear" w:color="000000" w:fill="C00000"/>
            <w:noWrap/>
            <w:vAlign w:val="bottom"/>
            <w:hideMark/>
          </w:tcPr>
          <w:p w14:paraId="5508E74D"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Dec-25</w:t>
            </w:r>
          </w:p>
        </w:tc>
        <w:tc>
          <w:tcPr>
            <w:tcW w:w="901" w:type="dxa"/>
            <w:tcBorders>
              <w:top w:val="nil"/>
              <w:left w:val="nil"/>
              <w:bottom w:val="nil"/>
              <w:right w:val="nil"/>
            </w:tcBorders>
            <w:shd w:val="clear" w:color="000000" w:fill="C00000"/>
            <w:noWrap/>
            <w:vAlign w:val="bottom"/>
            <w:hideMark/>
          </w:tcPr>
          <w:p w14:paraId="519E57F4"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Mar-26</w:t>
            </w:r>
          </w:p>
        </w:tc>
        <w:tc>
          <w:tcPr>
            <w:tcW w:w="901" w:type="dxa"/>
            <w:tcBorders>
              <w:top w:val="nil"/>
              <w:left w:val="nil"/>
              <w:bottom w:val="nil"/>
              <w:right w:val="nil"/>
            </w:tcBorders>
            <w:shd w:val="clear" w:color="000000" w:fill="C00000"/>
            <w:noWrap/>
            <w:vAlign w:val="bottom"/>
            <w:hideMark/>
          </w:tcPr>
          <w:p w14:paraId="42A10375"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Jun-26</w:t>
            </w:r>
          </w:p>
        </w:tc>
        <w:tc>
          <w:tcPr>
            <w:tcW w:w="906" w:type="dxa"/>
            <w:tcBorders>
              <w:top w:val="nil"/>
              <w:left w:val="nil"/>
              <w:bottom w:val="nil"/>
              <w:right w:val="single" w:sz="8" w:space="0" w:color="auto"/>
            </w:tcBorders>
            <w:shd w:val="clear" w:color="000000" w:fill="C00000"/>
            <w:noWrap/>
            <w:vAlign w:val="bottom"/>
            <w:hideMark/>
          </w:tcPr>
          <w:p w14:paraId="360E74D9"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Sep-26</w:t>
            </w:r>
          </w:p>
        </w:tc>
      </w:tr>
      <w:tr w:rsidR="00934BBA" w:rsidRPr="00934BBA" w14:paraId="1486BFED" w14:textId="77777777" w:rsidTr="00EE3D26">
        <w:trPr>
          <w:trHeight w:val="60"/>
        </w:trPr>
        <w:tc>
          <w:tcPr>
            <w:tcW w:w="1985" w:type="dxa"/>
            <w:gridSpan w:val="2"/>
            <w:tcBorders>
              <w:top w:val="nil"/>
              <w:left w:val="single" w:sz="8" w:space="0" w:color="auto"/>
              <w:bottom w:val="nil"/>
              <w:right w:val="nil"/>
            </w:tcBorders>
            <w:shd w:val="clear" w:color="000000" w:fill="FFFFFF"/>
            <w:vAlign w:val="bottom"/>
            <w:hideMark/>
          </w:tcPr>
          <w:p w14:paraId="5EEEF987" w14:textId="1DCA4EA9"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10E78E2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4.75%</w:t>
            </w:r>
          </w:p>
        </w:tc>
        <w:tc>
          <w:tcPr>
            <w:tcW w:w="901" w:type="dxa"/>
            <w:tcBorders>
              <w:top w:val="nil"/>
              <w:left w:val="nil"/>
              <w:bottom w:val="nil"/>
              <w:right w:val="nil"/>
            </w:tcBorders>
            <w:shd w:val="clear" w:color="000000" w:fill="FFFFFF"/>
            <w:noWrap/>
            <w:vAlign w:val="bottom"/>
            <w:hideMark/>
          </w:tcPr>
          <w:p w14:paraId="1E454D6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63B73D1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4.25%</w:t>
            </w:r>
          </w:p>
        </w:tc>
        <w:tc>
          <w:tcPr>
            <w:tcW w:w="884" w:type="dxa"/>
            <w:tcBorders>
              <w:top w:val="nil"/>
              <w:left w:val="nil"/>
              <w:bottom w:val="nil"/>
              <w:right w:val="nil"/>
            </w:tcBorders>
            <w:shd w:val="clear" w:color="000000" w:fill="FFFFFF"/>
            <w:noWrap/>
            <w:vAlign w:val="bottom"/>
            <w:hideMark/>
          </w:tcPr>
          <w:p w14:paraId="07AF589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4.00%</w:t>
            </w:r>
          </w:p>
        </w:tc>
        <w:tc>
          <w:tcPr>
            <w:tcW w:w="884" w:type="dxa"/>
            <w:tcBorders>
              <w:top w:val="nil"/>
              <w:left w:val="nil"/>
              <w:bottom w:val="nil"/>
              <w:right w:val="nil"/>
            </w:tcBorders>
            <w:shd w:val="clear" w:color="000000" w:fill="FFFFFF"/>
            <w:noWrap/>
            <w:vAlign w:val="bottom"/>
            <w:hideMark/>
          </w:tcPr>
          <w:p w14:paraId="6CE5C23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4.00%</w:t>
            </w:r>
          </w:p>
        </w:tc>
        <w:tc>
          <w:tcPr>
            <w:tcW w:w="901" w:type="dxa"/>
            <w:tcBorders>
              <w:top w:val="nil"/>
              <w:left w:val="nil"/>
              <w:bottom w:val="nil"/>
              <w:right w:val="nil"/>
            </w:tcBorders>
            <w:shd w:val="clear" w:color="000000" w:fill="FFFFFF"/>
            <w:noWrap/>
            <w:vAlign w:val="bottom"/>
            <w:hideMark/>
          </w:tcPr>
          <w:p w14:paraId="455978E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c>
          <w:tcPr>
            <w:tcW w:w="901" w:type="dxa"/>
            <w:tcBorders>
              <w:top w:val="nil"/>
              <w:left w:val="nil"/>
              <w:bottom w:val="nil"/>
              <w:right w:val="nil"/>
            </w:tcBorders>
            <w:shd w:val="clear" w:color="000000" w:fill="FFFFFF"/>
            <w:noWrap/>
            <w:vAlign w:val="bottom"/>
            <w:hideMark/>
          </w:tcPr>
          <w:p w14:paraId="147FE83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c>
          <w:tcPr>
            <w:tcW w:w="906" w:type="dxa"/>
            <w:tcBorders>
              <w:top w:val="nil"/>
              <w:left w:val="nil"/>
              <w:bottom w:val="nil"/>
              <w:right w:val="single" w:sz="8" w:space="0" w:color="auto"/>
            </w:tcBorders>
            <w:shd w:val="clear" w:color="000000" w:fill="FFFFFF"/>
            <w:noWrap/>
            <w:vAlign w:val="bottom"/>
            <w:hideMark/>
          </w:tcPr>
          <w:p w14:paraId="09FB9B70"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r>
      <w:tr w:rsidR="00934BBA" w:rsidRPr="00934BBA" w14:paraId="69A23603" w14:textId="77777777" w:rsidTr="00EE3D26">
        <w:trPr>
          <w:trHeight w:val="60"/>
        </w:trPr>
        <w:tc>
          <w:tcPr>
            <w:tcW w:w="1985" w:type="dxa"/>
            <w:gridSpan w:val="2"/>
            <w:tcBorders>
              <w:top w:val="nil"/>
              <w:left w:val="single" w:sz="8" w:space="0" w:color="auto"/>
              <w:bottom w:val="nil"/>
              <w:right w:val="nil"/>
            </w:tcBorders>
            <w:shd w:val="clear" w:color="000000" w:fill="FFFFFF"/>
            <w:noWrap/>
            <w:vAlign w:val="bottom"/>
            <w:hideMark/>
          </w:tcPr>
          <w:p w14:paraId="107DAF55"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40BC0740"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4.75%</w:t>
            </w:r>
          </w:p>
        </w:tc>
        <w:tc>
          <w:tcPr>
            <w:tcW w:w="901" w:type="dxa"/>
            <w:tcBorders>
              <w:top w:val="nil"/>
              <w:left w:val="nil"/>
              <w:bottom w:val="nil"/>
              <w:right w:val="nil"/>
            </w:tcBorders>
            <w:shd w:val="clear" w:color="000000" w:fill="FFFFFF"/>
            <w:noWrap/>
            <w:vAlign w:val="bottom"/>
            <w:hideMark/>
          </w:tcPr>
          <w:p w14:paraId="086F050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261FE0A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4.25%</w:t>
            </w:r>
          </w:p>
        </w:tc>
        <w:tc>
          <w:tcPr>
            <w:tcW w:w="884" w:type="dxa"/>
            <w:tcBorders>
              <w:top w:val="nil"/>
              <w:left w:val="nil"/>
              <w:bottom w:val="nil"/>
              <w:right w:val="nil"/>
            </w:tcBorders>
            <w:shd w:val="clear" w:color="000000" w:fill="FFFFFF"/>
            <w:noWrap/>
            <w:vAlign w:val="bottom"/>
            <w:hideMark/>
          </w:tcPr>
          <w:p w14:paraId="2FF9AEE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4.00%</w:t>
            </w:r>
          </w:p>
        </w:tc>
        <w:tc>
          <w:tcPr>
            <w:tcW w:w="884" w:type="dxa"/>
            <w:tcBorders>
              <w:top w:val="nil"/>
              <w:left w:val="nil"/>
              <w:bottom w:val="nil"/>
              <w:right w:val="nil"/>
            </w:tcBorders>
            <w:shd w:val="clear" w:color="000000" w:fill="FFFFFF"/>
            <w:noWrap/>
            <w:vAlign w:val="bottom"/>
            <w:hideMark/>
          </w:tcPr>
          <w:p w14:paraId="18B8682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c>
          <w:tcPr>
            <w:tcW w:w="901" w:type="dxa"/>
            <w:tcBorders>
              <w:top w:val="nil"/>
              <w:left w:val="nil"/>
              <w:bottom w:val="nil"/>
              <w:right w:val="nil"/>
            </w:tcBorders>
            <w:shd w:val="clear" w:color="000000" w:fill="FFFFFF"/>
            <w:noWrap/>
            <w:vAlign w:val="bottom"/>
            <w:hideMark/>
          </w:tcPr>
          <w:p w14:paraId="75817B6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3.50%</w:t>
            </w:r>
          </w:p>
        </w:tc>
        <w:tc>
          <w:tcPr>
            <w:tcW w:w="901" w:type="dxa"/>
            <w:tcBorders>
              <w:top w:val="nil"/>
              <w:left w:val="nil"/>
              <w:bottom w:val="nil"/>
              <w:right w:val="nil"/>
            </w:tcBorders>
            <w:shd w:val="clear" w:color="000000" w:fill="FFFFFF"/>
            <w:noWrap/>
            <w:vAlign w:val="bottom"/>
            <w:hideMark/>
          </w:tcPr>
          <w:p w14:paraId="0367542B"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3.50%</w:t>
            </w:r>
          </w:p>
        </w:tc>
        <w:tc>
          <w:tcPr>
            <w:tcW w:w="906" w:type="dxa"/>
            <w:tcBorders>
              <w:top w:val="nil"/>
              <w:left w:val="nil"/>
              <w:bottom w:val="nil"/>
              <w:right w:val="single" w:sz="8" w:space="0" w:color="auto"/>
            </w:tcBorders>
            <w:shd w:val="clear" w:color="000000" w:fill="FFFFFF"/>
            <w:noWrap/>
            <w:vAlign w:val="bottom"/>
            <w:hideMark/>
          </w:tcPr>
          <w:p w14:paraId="2E14A8F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3.50%</w:t>
            </w:r>
          </w:p>
        </w:tc>
      </w:tr>
      <w:tr w:rsidR="00934BBA" w:rsidRPr="00934BBA" w14:paraId="3BF52C30" w14:textId="77777777" w:rsidTr="00EE3D26">
        <w:trPr>
          <w:trHeight w:val="60"/>
        </w:trPr>
        <w:tc>
          <w:tcPr>
            <w:tcW w:w="2699" w:type="dxa"/>
            <w:gridSpan w:val="3"/>
            <w:tcBorders>
              <w:top w:val="nil"/>
              <w:left w:val="single" w:sz="8" w:space="0" w:color="auto"/>
              <w:bottom w:val="nil"/>
              <w:right w:val="nil"/>
            </w:tcBorders>
            <w:shd w:val="clear" w:color="000000" w:fill="C00000"/>
            <w:vAlign w:val="center"/>
            <w:hideMark/>
          </w:tcPr>
          <w:p w14:paraId="0EFEF2BA"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5Y PWLB</w:t>
            </w:r>
          </w:p>
        </w:tc>
        <w:tc>
          <w:tcPr>
            <w:tcW w:w="901" w:type="dxa"/>
            <w:tcBorders>
              <w:top w:val="nil"/>
              <w:left w:val="nil"/>
              <w:bottom w:val="nil"/>
              <w:right w:val="nil"/>
            </w:tcBorders>
            <w:shd w:val="clear" w:color="000000" w:fill="C00000"/>
            <w:noWrap/>
            <w:vAlign w:val="bottom"/>
            <w:hideMark/>
          </w:tcPr>
          <w:p w14:paraId="65B270AE"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0999BC6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69DC5756"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450F5B61"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7931699B"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77AD698C"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52B72502"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51C35EC0" w14:textId="77777777" w:rsidTr="00EE3D26">
        <w:trPr>
          <w:trHeight w:val="69"/>
        </w:trPr>
        <w:tc>
          <w:tcPr>
            <w:tcW w:w="1985" w:type="dxa"/>
            <w:gridSpan w:val="2"/>
            <w:tcBorders>
              <w:top w:val="nil"/>
              <w:left w:val="single" w:sz="8" w:space="0" w:color="auto"/>
              <w:bottom w:val="nil"/>
              <w:right w:val="nil"/>
            </w:tcBorders>
            <w:shd w:val="clear" w:color="000000" w:fill="FFFFFF"/>
            <w:vAlign w:val="bottom"/>
            <w:hideMark/>
          </w:tcPr>
          <w:p w14:paraId="2462B618" w14:textId="75386329"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79F0732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nil"/>
              <w:right w:val="nil"/>
            </w:tcBorders>
            <w:shd w:val="clear" w:color="000000" w:fill="FFFFFF"/>
            <w:noWrap/>
            <w:vAlign w:val="bottom"/>
            <w:hideMark/>
          </w:tcPr>
          <w:p w14:paraId="187FC25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1" w:type="dxa"/>
            <w:tcBorders>
              <w:top w:val="nil"/>
              <w:left w:val="nil"/>
              <w:bottom w:val="nil"/>
              <w:right w:val="nil"/>
            </w:tcBorders>
            <w:shd w:val="clear" w:color="000000" w:fill="FFFFFF"/>
            <w:noWrap/>
            <w:vAlign w:val="bottom"/>
            <w:hideMark/>
          </w:tcPr>
          <w:p w14:paraId="784E7B2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884" w:type="dxa"/>
            <w:tcBorders>
              <w:top w:val="nil"/>
              <w:left w:val="nil"/>
              <w:bottom w:val="nil"/>
              <w:right w:val="nil"/>
            </w:tcBorders>
            <w:shd w:val="clear" w:color="000000" w:fill="FFFFFF"/>
            <w:noWrap/>
            <w:vAlign w:val="bottom"/>
            <w:hideMark/>
          </w:tcPr>
          <w:p w14:paraId="75D7B6A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c>
          <w:tcPr>
            <w:tcW w:w="884" w:type="dxa"/>
            <w:tcBorders>
              <w:top w:val="nil"/>
              <w:left w:val="nil"/>
              <w:bottom w:val="nil"/>
              <w:right w:val="nil"/>
            </w:tcBorders>
            <w:shd w:val="clear" w:color="000000" w:fill="FFFFFF"/>
            <w:noWrap/>
            <w:vAlign w:val="bottom"/>
            <w:hideMark/>
          </w:tcPr>
          <w:p w14:paraId="6F86E7B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2574BA4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0A1B7C2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4.40%</w:t>
            </w:r>
          </w:p>
        </w:tc>
        <w:tc>
          <w:tcPr>
            <w:tcW w:w="906" w:type="dxa"/>
            <w:tcBorders>
              <w:top w:val="nil"/>
              <w:left w:val="nil"/>
              <w:bottom w:val="nil"/>
              <w:right w:val="single" w:sz="8" w:space="0" w:color="auto"/>
            </w:tcBorders>
            <w:shd w:val="clear" w:color="000000" w:fill="FFFFFF"/>
            <w:noWrap/>
            <w:vAlign w:val="bottom"/>
            <w:hideMark/>
          </w:tcPr>
          <w:p w14:paraId="5B75D04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4.30%</w:t>
            </w:r>
          </w:p>
        </w:tc>
      </w:tr>
      <w:tr w:rsidR="00934BBA" w:rsidRPr="00934BBA" w14:paraId="5B97DF9A" w14:textId="77777777" w:rsidTr="00EE3D26">
        <w:trPr>
          <w:trHeight w:val="60"/>
        </w:trPr>
        <w:tc>
          <w:tcPr>
            <w:tcW w:w="1985" w:type="dxa"/>
            <w:gridSpan w:val="2"/>
            <w:tcBorders>
              <w:top w:val="nil"/>
              <w:left w:val="single" w:sz="8" w:space="0" w:color="auto"/>
              <w:bottom w:val="nil"/>
              <w:right w:val="nil"/>
            </w:tcBorders>
            <w:shd w:val="clear" w:color="000000" w:fill="FFFFFF"/>
            <w:noWrap/>
            <w:vAlign w:val="bottom"/>
            <w:hideMark/>
          </w:tcPr>
          <w:p w14:paraId="4F16BF5F"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36B86E4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901" w:type="dxa"/>
            <w:tcBorders>
              <w:top w:val="nil"/>
              <w:left w:val="nil"/>
              <w:bottom w:val="nil"/>
              <w:right w:val="nil"/>
            </w:tcBorders>
            <w:shd w:val="clear" w:color="000000" w:fill="FFFFFF"/>
            <w:noWrap/>
            <w:vAlign w:val="bottom"/>
            <w:hideMark/>
          </w:tcPr>
          <w:p w14:paraId="5C6AD68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nil"/>
              <w:right w:val="nil"/>
            </w:tcBorders>
            <w:shd w:val="clear" w:color="000000" w:fill="FFFFFF"/>
            <w:noWrap/>
            <w:vAlign w:val="bottom"/>
            <w:hideMark/>
          </w:tcPr>
          <w:p w14:paraId="09B40EB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884" w:type="dxa"/>
            <w:tcBorders>
              <w:top w:val="nil"/>
              <w:left w:val="nil"/>
              <w:bottom w:val="nil"/>
              <w:right w:val="nil"/>
            </w:tcBorders>
            <w:shd w:val="clear" w:color="000000" w:fill="FFFFFF"/>
            <w:noWrap/>
            <w:vAlign w:val="bottom"/>
            <w:hideMark/>
          </w:tcPr>
          <w:p w14:paraId="5BA58C5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884" w:type="dxa"/>
            <w:tcBorders>
              <w:top w:val="nil"/>
              <w:left w:val="nil"/>
              <w:bottom w:val="nil"/>
              <w:right w:val="nil"/>
            </w:tcBorders>
            <w:shd w:val="clear" w:color="000000" w:fill="FFFFFF"/>
            <w:noWrap/>
            <w:vAlign w:val="bottom"/>
            <w:hideMark/>
          </w:tcPr>
          <w:p w14:paraId="7906148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c>
          <w:tcPr>
            <w:tcW w:w="901" w:type="dxa"/>
            <w:tcBorders>
              <w:top w:val="nil"/>
              <w:left w:val="nil"/>
              <w:bottom w:val="nil"/>
              <w:right w:val="nil"/>
            </w:tcBorders>
            <w:shd w:val="clear" w:color="000000" w:fill="FFFFFF"/>
            <w:noWrap/>
            <w:vAlign w:val="bottom"/>
            <w:hideMark/>
          </w:tcPr>
          <w:p w14:paraId="794FB72B"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c>
          <w:tcPr>
            <w:tcW w:w="901" w:type="dxa"/>
            <w:tcBorders>
              <w:top w:val="nil"/>
              <w:left w:val="nil"/>
              <w:bottom w:val="nil"/>
              <w:right w:val="nil"/>
            </w:tcBorders>
            <w:shd w:val="clear" w:color="000000" w:fill="FFFFFF"/>
            <w:noWrap/>
            <w:vAlign w:val="bottom"/>
            <w:hideMark/>
          </w:tcPr>
          <w:p w14:paraId="0232EB5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6" w:type="dxa"/>
            <w:tcBorders>
              <w:top w:val="nil"/>
              <w:left w:val="nil"/>
              <w:bottom w:val="nil"/>
              <w:right w:val="single" w:sz="8" w:space="0" w:color="auto"/>
            </w:tcBorders>
            <w:shd w:val="clear" w:color="000000" w:fill="FFFFFF"/>
            <w:noWrap/>
            <w:vAlign w:val="bottom"/>
            <w:hideMark/>
          </w:tcPr>
          <w:p w14:paraId="767AAEF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r>
      <w:tr w:rsidR="00934BBA" w:rsidRPr="00934BBA" w14:paraId="57F0AD90" w14:textId="77777777" w:rsidTr="00EE3D26">
        <w:trPr>
          <w:trHeight w:val="60"/>
        </w:trPr>
        <w:tc>
          <w:tcPr>
            <w:tcW w:w="2699" w:type="dxa"/>
            <w:gridSpan w:val="3"/>
            <w:tcBorders>
              <w:top w:val="nil"/>
              <w:left w:val="single" w:sz="8" w:space="0" w:color="auto"/>
              <w:bottom w:val="nil"/>
              <w:right w:val="nil"/>
            </w:tcBorders>
            <w:shd w:val="clear" w:color="000000" w:fill="C00000"/>
            <w:vAlign w:val="center"/>
            <w:hideMark/>
          </w:tcPr>
          <w:p w14:paraId="6C69F0A2"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10Y PWLB</w:t>
            </w:r>
          </w:p>
        </w:tc>
        <w:tc>
          <w:tcPr>
            <w:tcW w:w="901" w:type="dxa"/>
            <w:tcBorders>
              <w:top w:val="nil"/>
              <w:left w:val="nil"/>
              <w:bottom w:val="nil"/>
              <w:right w:val="nil"/>
            </w:tcBorders>
            <w:shd w:val="clear" w:color="000000" w:fill="C00000"/>
            <w:noWrap/>
            <w:vAlign w:val="bottom"/>
            <w:hideMark/>
          </w:tcPr>
          <w:p w14:paraId="374160F3"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62312BE8"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136E572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0B11131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2914F547"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24125B91"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6F4F9B0C"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74BEA90D" w14:textId="77777777" w:rsidTr="00EE3D26">
        <w:trPr>
          <w:trHeight w:val="225"/>
        </w:trPr>
        <w:tc>
          <w:tcPr>
            <w:tcW w:w="1985" w:type="dxa"/>
            <w:gridSpan w:val="2"/>
            <w:tcBorders>
              <w:top w:val="nil"/>
              <w:left w:val="single" w:sz="8" w:space="0" w:color="auto"/>
              <w:bottom w:val="nil"/>
              <w:right w:val="nil"/>
            </w:tcBorders>
            <w:shd w:val="clear" w:color="000000" w:fill="FFFFFF"/>
            <w:vAlign w:val="bottom"/>
            <w:hideMark/>
          </w:tcPr>
          <w:p w14:paraId="6D7BA5F1" w14:textId="0F411DD3"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3B9A062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nil"/>
              <w:right w:val="nil"/>
            </w:tcBorders>
            <w:shd w:val="clear" w:color="000000" w:fill="FFFFFF"/>
            <w:noWrap/>
            <w:vAlign w:val="bottom"/>
            <w:hideMark/>
          </w:tcPr>
          <w:p w14:paraId="1EEA42A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nil"/>
              <w:right w:val="nil"/>
            </w:tcBorders>
            <w:shd w:val="clear" w:color="000000" w:fill="FFFFFF"/>
            <w:noWrap/>
            <w:vAlign w:val="bottom"/>
            <w:hideMark/>
          </w:tcPr>
          <w:p w14:paraId="1C0C0DF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884" w:type="dxa"/>
            <w:tcBorders>
              <w:top w:val="nil"/>
              <w:left w:val="nil"/>
              <w:bottom w:val="nil"/>
              <w:right w:val="nil"/>
            </w:tcBorders>
            <w:shd w:val="clear" w:color="000000" w:fill="FFFFFF"/>
            <w:noWrap/>
            <w:vAlign w:val="bottom"/>
            <w:hideMark/>
          </w:tcPr>
          <w:p w14:paraId="1581460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884" w:type="dxa"/>
            <w:tcBorders>
              <w:top w:val="nil"/>
              <w:left w:val="nil"/>
              <w:bottom w:val="nil"/>
              <w:right w:val="nil"/>
            </w:tcBorders>
            <w:shd w:val="clear" w:color="000000" w:fill="FFFFFF"/>
            <w:noWrap/>
            <w:vAlign w:val="bottom"/>
            <w:hideMark/>
          </w:tcPr>
          <w:p w14:paraId="1B6941D5"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1" w:type="dxa"/>
            <w:tcBorders>
              <w:top w:val="nil"/>
              <w:left w:val="nil"/>
              <w:bottom w:val="nil"/>
              <w:right w:val="nil"/>
            </w:tcBorders>
            <w:shd w:val="clear" w:color="000000" w:fill="FFFFFF"/>
            <w:noWrap/>
            <w:vAlign w:val="bottom"/>
            <w:hideMark/>
          </w:tcPr>
          <w:p w14:paraId="300F4B7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4.70%</w:t>
            </w:r>
          </w:p>
        </w:tc>
        <w:tc>
          <w:tcPr>
            <w:tcW w:w="901" w:type="dxa"/>
            <w:tcBorders>
              <w:top w:val="nil"/>
              <w:left w:val="nil"/>
              <w:bottom w:val="nil"/>
              <w:right w:val="nil"/>
            </w:tcBorders>
            <w:shd w:val="clear" w:color="000000" w:fill="FFFFFF"/>
            <w:noWrap/>
            <w:vAlign w:val="bottom"/>
            <w:hideMark/>
          </w:tcPr>
          <w:p w14:paraId="55CDF75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6" w:type="dxa"/>
            <w:tcBorders>
              <w:top w:val="nil"/>
              <w:left w:val="nil"/>
              <w:bottom w:val="nil"/>
              <w:right w:val="single" w:sz="8" w:space="0" w:color="auto"/>
            </w:tcBorders>
            <w:shd w:val="clear" w:color="000000" w:fill="FFFFFF"/>
            <w:noWrap/>
            <w:vAlign w:val="bottom"/>
            <w:hideMark/>
          </w:tcPr>
          <w:p w14:paraId="5996441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r>
      <w:tr w:rsidR="00934BBA" w:rsidRPr="00934BBA" w14:paraId="69F160FF" w14:textId="77777777" w:rsidTr="00EE3D26">
        <w:trPr>
          <w:trHeight w:val="60"/>
        </w:trPr>
        <w:tc>
          <w:tcPr>
            <w:tcW w:w="1985" w:type="dxa"/>
            <w:gridSpan w:val="2"/>
            <w:tcBorders>
              <w:top w:val="nil"/>
              <w:left w:val="single" w:sz="8" w:space="0" w:color="auto"/>
              <w:bottom w:val="nil"/>
              <w:right w:val="nil"/>
            </w:tcBorders>
            <w:shd w:val="clear" w:color="000000" w:fill="FFFFFF"/>
            <w:noWrap/>
            <w:vAlign w:val="bottom"/>
            <w:hideMark/>
          </w:tcPr>
          <w:p w14:paraId="5168463E"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285B8F5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901" w:type="dxa"/>
            <w:tcBorders>
              <w:top w:val="nil"/>
              <w:left w:val="nil"/>
              <w:bottom w:val="nil"/>
              <w:right w:val="nil"/>
            </w:tcBorders>
            <w:shd w:val="clear" w:color="000000" w:fill="FFFFFF"/>
            <w:noWrap/>
            <w:vAlign w:val="bottom"/>
            <w:hideMark/>
          </w:tcPr>
          <w:p w14:paraId="5B97D0A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nil"/>
              <w:right w:val="nil"/>
            </w:tcBorders>
            <w:shd w:val="clear" w:color="000000" w:fill="FFFFFF"/>
            <w:noWrap/>
            <w:vAlign w:val="bottom"/>
            <w:hideMark/>
          </w:tcPr>
          <w:p w14:paraId="6A2B954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884" w:type="dxa"/>
            <w:tcBorders>
              <w:top w:val="nil"/>
              <w:left w:val="nil"/>
              <w:bottom w:val="nil"/>
              <w:right w:val="nil"/>
            </w:tcBorders>
            <w:shd w:val="clear" w:color="000000" w:fill="FFFFFF"/>
            <w:noWrap/>
            <w:vAlign w:val="bottom"/>
            <w:hideMark/>
          </w:tcPr>
          <w:p w14:paraId="250A374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884" w:type="dxa"/>
            <w:tcBorders>
              <w:top w:val="nil"/>
              <w:left w:val="nil"/>
              <w:bottom w:val="nil"/>
              <w:right w:val="nil"/>
            </w:tcBorders>
            <w:shd w:val="clear" w:color="000000" w:fill="FFFFFF"/>
            <w:noWrap/>
            <w:vAlign w:val="bottom"/>
            <w:hideMark/>
          </w:tcPr>
          <w:p w14:paraId="13F890D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1" w:type="dxa"/>
            <w:tcBorders>
              <w:top w:val="nil"/>
              <w:left w:val="nil"/>
              <w:bottom w:val="nil"/>
              <w:right w:val="nil"/>
            </w:tcBorders>
            <w:shd w:val="clear" w:color="000000" w:fill="FFFFFF"/>
            <w:noWrap/>
            <w:vAlign w:val="bottom"/>
            <w:hideMark/>
          </w:tcPr>
          <w:p w14:paraId="41DA4CD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1" w:type="dxa"/>
            <w:tcBorders>
              <w:top w:val="nil"/>
              <w:left w:val="nil"/>
              <w:bottom w:val="nil"/>
              <w:right w:val="nil"/>
            </w:tcBorders>
            <w:shd w:val="clear" w:color="000000" w:fill="FFFFFF"/>
            <w:noWrap/>
            <w:vAlign w:val="bottom"/>
            <w:hideMark/>
          </w:tcPr>
          <w:p w14:paraId="6EC2DD2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4.70%</w:t>
            </w:r>
          </w:p>
        </w:tc>
        <w:tc>
          <w:tcPr>
            <w:tcW w:w="906" w:type="dxa"/>
            <w:tcBorders>
              <w:top w:val="nil"/>
              <w:left w:val="nil"/>
              <w:bottom w:val="nil"/>
              <w:right w:val="single" w:sz="8" w:space="0" w:color="auto"/>
            </w:tcBorders>
            <w:shd w:val="clear" w:color="000000" w:fill="FFFFFF"/>
            <w:noWrap/>
            <w:vAlign w:val="bottom"/>
            <w:hideMark/>
          </w:tcPr>
          <w:p w14:paraId="44AADD1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r>
      <w:tr w:rsidR="00934BBA" w:rsidRPr="00934BBA" w14:paraId="37AEB005" w14:textId="77777777" w:rsidTr="00EE3D26">
        <w:trPr>
          <w:trHeight w:val="60"/>
        </w:trPr>
        <w:tc>
          <w:tcPr>
            <w:tcW w:w="2699" w:type="dxa"/>
            <w:gridSpan w:val="3"/>
            <w:tcBorders>
              <w:top w:val="nil"/>
              <w:left w:val="single" w:sz="8" w:space="0" w:color="auto"/>
              <w:bottom w:val="nil"/>
              <w:right w:val="nil"/>
            </w:tcBorders>
            <w:shd w:val="clear" w:color="000000" w:fill="C00000"/>
            <w:vAlign w:val="center"/>
            <w:hideMark/>
          </w:tcPr>
          <w:p w14:paraId="6C231111"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25Y PWLB</w:t>
            </w:r>
          </w:p>
        </w:tc>
        <w:tc>
          <w:tcPr>
            <w:tcW w:w="901" w:type="dxa"/>
            <w:tcBorders>
              <w:top w:val="nil"/>
              <w:left w:val="nil"/>
              <w:bottom w:val="nil"/>
              <w:right w:val="nil"/>
            </w:tcBorders>
            <w:shd w:val="clear" w:color="000000" w:fill="C00000"/>
            <w:noWrap/>
            <w:vAlign w:val="bottom"/>
            <w:hideMark/>
          </w:tcPr>
          <w:p w14:paraId="1852B1BD"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37795D2D"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45F8660F"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657017B4"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184A2E75"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70E4FEB7"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1C0CA5DF"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2316A265" w14:textId="77777777" w:rsidTr="00EE3D26">
        <w:trPr>
          <w:trHeight w:val="98"/>
        </w:trPr>
        <w:tc>
          <w:tcPr>
            <w:tcW w:w="1985" w:type="dxa"/>
            <w:gridSpan w:val="2"/>
            <w:tcBorders>
              <w:top w:val="nil"/>
              <w:left w:val="single" w:sz="8" w:space="0" w:color="auto"/>
              <w:bottom w:val="nil"/>
              <w:right w:val="nil"/>
            </w:tcBorders>
            <w:shd w:val="clear" w:color="000000" w:fill="FFFFFF"/>
            <w:vAlign w:val="bottom"/>
            <w:hideMark/>
          </w:tcPr>
          <w:p w14:paraId="4E404FF9" w14:textId="5021D9EE"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1448DE5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5.60%</w:t>
            </w:r>
          </w:p>
        </w:tc>
        <w:tc>
          <w:tcPr>
            <w:tcW w:w="901" w:type="dxa"/>
            <w:tcBorders>
              <w:top w:val="nil"/>
              <w:left w:val="nil"/>
              <w:bottom w:val="nil"/>
              <w:right w:val="nil"/>
            </w:tcBorders>
            <w:shd w:val="clear" w:color="000000" w:fill="FFFFFF"/>
            <w:noWrap/>
            <w:vAlign w:val="bottom"/>
            <w:hideMark/>
          </w:tcPr>
          <w:p w14:paraId="4A86BC7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5.50%</w:t>
            </w:r>
          </w:p>
        </w:tc>
        <w:tc>
          <w:tcPr>
            <w:tcW w:w="901" w:type="dxa"/>
            <w:tcBorders>
              <w:top w:val="nil"/>
              <w:left w:val="nil"/>
              <w:bottom w:val="nil"/>
              <w:right w:val="nil"/>
            </w:tcBorders>
            <w:shd w:val="clear" w:color="000000" w:fill="FFFFFF"/>
            <w:noWrap/>
            <w:vAlign w:val="bottom"/>
            <w:hideMark/>
          </w:tcPr>
          <w:p w14:paraId="2DF9340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884" w:type="dxa"/>
            <w:tcBorders>
              <w:top w:val="nil"/>
              <w:left w:val="nil"/>
              <w:bottom w:val="nil"/>
              <w:right w:val="nil"/>
            </w:tcBorders>
            <w:shd w:val="clear" w:color="000000" w:fill="FFFFFF"/>
            <w:noWrap/>
            <w:vAlign w:val="bottom"/>
            <w:hideMark/>
          </w:tcPr>
          <w:p w14:paraId="4C4D50E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884" w:type="dxa"/>
            <w:tcBorders>
              <w:top w:val="nil"/>
              <w:left w:val="nil"/>
              <w:bottom w:val="nil"/>
              <w:right w:val="nil"/>
            </w:tcBorders>
            <w:shd w:val="clear" w:color="000000" w:fill="FFFFFF"/>
            <w:noWrap/>
            <w:vAlign w:val="bottom"/>
            <w:hideMark/>
          </w:tcPr>
          <w:p w14:paraId="4D2654E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901" w:type="dxa"/>
            <w:tcBorders>
              <w:top w:val="nil"/>
              <w:left w:val="nil"/>
              <w:bottom w:val="nil"/>
              <w:right w:val="nil"/>
            </w:tcBorders>
            <w:shd w:val="clear" w:color="000000" w:fill="FFFFFF"/>
            <w:noWrap/>
            <w:vAlign w:val="bottom"/>
            <w:hideMark/>
          </w:tcPr>
          <w:p w14:paraId="52944D0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nil"/>
              <w:right w:val="nil"/>
            </w:tcBorders>
            <w:shd w:val="clear" w:color="000000" w:fill="FFFFFF"/>
            <w:noWrap/>
            <w:vAlign w:val="bottom"/>
            <w:hideMark/>
          </w:tcPr>
          <w:p w14:paraId="1E5CE6D5"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6" w:type="dxa"/>
            <w:tcBorders>
              <w:top w:val="nil"/>
              <w:left w:val="nil"/>
              <w:bottom w:val="nil"/>
              <w:right w:val="single" w:sz="8" w:space="0" w:color="auto"/>
            </w:tcBorders>
            <w:shd w:val="clear" w:color="000000" w:fill="FFFFFF"/>
            <w:noWrap/>
            <w:vAlign w:val="bottom"/>
            <w:hideMark/>
          </w:tcPr>
          <w:p w14:paraId="6D103D90"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r>
      <w:tr w:rsidR="00934BBA" w:rsidRPr="00934BBA" w14:paraId="6D8E31EE" w14:textId="77777777" w:rsidTr="00EE3D26">
        <w:trPr>
          <w:trHeight w:val="115"/>
        </w:trPr>
        <w:tc>
          <w:tcPr>
            <w:tcW w:w="1985" w:type="dxa"/>
            <w:gridSpan w:val="2"/>
            <w:tcBorders>
              <w:top w:val="nil"/>
              <w:left w:val="single" w:sz="8" w:space="0" w:color="auto"/>
              <w:bottom w:val="nil"/>
              <w:right w:val="nil"/>
            </w:tcBorders>
            <w:shd w:val="clear" w:color="000000" w:fill="FFFFFF"/>
            <w:noWrap/>
            <w:vAlign w:val="bottom"/>
            <w:hideMark/>
          </w:tcPr>
          <w:p w14:paraId="3660B184"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3686F0F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6.00%</w:t>
            </w:r>
          </w:p>
        </w:tc>
        <w:tc>
          <w:tcPr>
            <w:tcW w:w="901" w:type="dxa"/>
            <w:tcBorders>
              <w:top w:val="nil"/>
              <w:left w:val="nil"/>
              <w:bottom w:val="nil"/>
              <w:right w:val="nil"/>
            </w:tcBorders>
            <w:shd w:val="clear" w:color="000000" w:fill="FFFFFF"/>
            <w:noWrap/>
            <w:vAlign w:val="bottom"/>
            <w:hideMark/>
          </w:tcPr>
          <w:p w14:paraId="71D70FA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5.70%</w:t>
            </w:r>
          </w:p>
        </w:tc>
        <w:tc>
          <w:tcPr>
            <w:tcW w:w="901" w:type="dxa"/>
            <w:tcBorders>
              <w:top w:val="nil"/>
              <w:left w:val="nil"/>
              <w:bottom w:val="nil"/>
              <w:right w:val="nil"/>
            </w:tcBorders>
            <w:shd w:val="clear" w:color="000000" w:fill="FFFFFF"/>
            <w:noWrap/>
            <w:vAlign w:val="bottom"/>
            <w:hideMark/>
          </w:tcPr>
          <w:p w14:paraId="6280E81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5.50%</w:t>
            </w:r>
          </w:p>
        </w:tc>
        <w:tc>
          <w:tcPr>
            <w:tcW w:w="884" w:type="dxa"/>
            <w:tcBorders>
              <w:top w:val="nil"/>
              <w:left w:val="nil"/>
              <w:bottom w:val="nil"/>
              <w:right w:val="nil"/>
            </w:tcBorders>
            <w:shd w:val="clear" w:color="000000" w:fill="FFFFFF"/>
            <w:noWrap/>
            <w:vAlign w:val="bottom"/>
            <w:hideMark/>
          </w:tcPr>
          <w:p w14:paraId="0654939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884" w:type="dxa"/>
            <w:tcBorders>
              <w:top w:val="nil"/>
              <w:left w:val="nil"/>
              <w:bottom w:val="nil"/>
              <w:right w:val="nil"/>
            </w:tcBorders>
            <w:shd w:val="clear" w:color="000000" w:fill="FFFFFF"/>
            <w:noWrap/>
            <w:vAlign w:val="bottom"/>
            <w:hideMark/>
          </w:tcPr>
          <w:p w14:paraId="75AF14D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nil"/>
              <w:right w:val="nil"/>
            </w:tcBorders>
            <w:shd w:val="clear" w:color="000000" w:fill="FFFFFF"/>
            <w:noWrap/>
            <w:vAlign w:val="bottom"/>
            <w:hideMark/>
          </w:tcPr>
          <w:p w14:paraId="58C0830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1" w:type="dxa"/>
            <w:tcBorders>
              <w:top w:val="nil"/>
              <w:left w:val="nil"/>
              <w:bottom w:val="nil"/>
              <w:right w:val="nil"/>
            </w:tcBorders>
            <w:shd w:val="clear" w:color="000000" w:fill="FFFFFF"/>
            <w:noWrap/>
            <w:vAlign w:val="bottom"/>
            <w:hideMark/>
          </w:tcPr>
          <w:p w14:paraId="6C6EAF0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6" w:type="dxa"/>
            <w:tcBorders>
              <w:top w:val="nil"/>
              <w:left w:val="nil"/>
              <w:bottom w:val="nil"/>
              <w:right w:val="single" w:sz="8" w:space="0" w:color="auto"/>
            </w:tcBorders>
            <w:shd w:val="clear" w:color="000000" w:fill="FFFFFF"/>
            <w:noWrap/>
            <w:vAlign w:val="bottom"/>
            <w:hideMark/>
          </w:tcPr>
          <w:p w14:paraId="6D3D8E6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r>
      <w:tr w:rsidR="00934BBA" w:rsidRPr="00934BBA" w14:paraId="11FF64FB" w14:textId="77777777" w:rsidTr="00EE3D26">
        <w:trPr>
          <w:trHeight w:val="328"/>
        </w:trPr>
        <w:tc>
          <w:tcPr>
            <w:tcW w:w="2699" w:type="dxa"/>
            <w:gridSpan w:val="3"/>
            <w:tcBorders>
              <w:top w:val="nil"/>
              <w:left w:val="single" w:sz="8" w:space="0" w:color="auto"/>
              <w:bottom w:val="nil"/>
              <w:right w:val="nil"/>
            </w:tcBorders>
            <w:shd w:val="clear" w:color="000000" w:fill="C00000"/>
            <w:vAlign w:val="center"/>
            <w:hideMark/>
          </w:tcPr>
          <w:p w14:paraId="031E702D"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50Y PWLB</w:t>
            </w:r>
          </w:p>
        </w:tc>
        <w:tc>
          <w:tcPr>
            <w:tcW w:w="901" w:type="dxa"/>
            <w:tcBorders>
              <w:top w:val="nil"/>
              <w:left w:val="nil"/>
              <w:bottom w:val="nil"/>
              <w:right w:val="nil"/>
            </w:tcBorders>
            <w:shd w:val="clear" w:color="000000" w:fill="C00000"/>
            <w:noWrap/>
            <w:vAlign w:val="bottom"/>
            <w:hideMark/>
          </w:tcPr>
          <w:p w14:paraId="41C2137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4D708628"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70D78E89"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18840E17"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1D1D46A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072B196E"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1B7B585F"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12B6342F" w14:textId="77777777" w:rsidTr="00EE3D26">
        <w:trPr>
          <w:trHeight w:val="142"/>
        </w:trPr>
        <w:tc>
          <w:tcPr>
            <w:tcW w:w="1985" w:type="dxa"/>
            <w:gridSpan w:val="2"/>
            <w:tcBorders>
              <w:top w:val="nil"/>
              <w:left w:val="single" w:sz="8" w:space="0" w:color="auto"/>
              <w:bottom w:val="nil"/>
              <w:right w:val="nil"/>
            </w:tcBorders>
            <w:shd w:val="clear" w:color="000000" w:fill="FFFFFF"/>
            <w:vAlign w:val="bottom"/>
            <w:hideMark/>
          </w:tcPr>
          <w:p w14:paraId="3FDDFFBA" w14:textId="3DB254BB"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42A867B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901" w:type="dxa"/>
            <w:tcBorders>
              <w:top w:val="nil"/>
              <w:left w:val="nil"/>
              <w:bottom w:val="nil"/>
              <w:right w:val="nil"/>
            </w:tcBorders>
            <w:shd w:val="clear" w:color="000000" w:fill="FFFFFF"/>
            <w:noWrap/>
            <w:vAlign w:val="bottom"/>
            <w:hideMark/>
          </w:tcPr>
          <w:p w14:paraId="51A0064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nil"/>
              <w:right w:val="nil"/>
            </w:tcBorders>
            <w:shd w:val="clear" w:color="000000" w:fill="FFFFFF"/>
            <w:noWrap/>
            <w:vAlign w:val="bottom"/>
            <w:hideMark/>
          </w:tcPr>
          <w:p w14:paraId="031E15C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884" w:type="dxa"/>
            <w:tcBorders>
              <w:top w:val="nil"/>
              <w:left w:val="nil"/>
              <w:bottom w:val="nil"/>
              <w:right w:val="nil"/>
            </w:tcBorders>
            <w:shd w:val="clear" w:color="000000" w:fill="FFFFFF"/>
            <w:noWrap/>
            <w:vAlign w:val="bottom"/>
            <w:hideMark/>
          </w:tcPr>
          <w:p w14:paraId="34376045"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884" w:type="dxa"/>
            <w:tcBorders>
              <w:top w:val="nil"/>
              <w:left w:val="nil"/>
              <w:bottom w:val="nil"/>
              <w:right w:val="nil"/>
            </w:tcBorders>
            <w:shd w:val="clear" w:color="000000" w:fill="FFFFFF"/>
            <w:noWrap/>
            <w:vAlign w:val="bottom"/>
            <w:hideMark/>
          </w:tcPr>
          <w:p w14:paraId="4B75082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nil"/>
              <w:right w:val="nil"/>
            </w:tcBorders>
            <w:shd w:val="clear" w:color="000000" w:fill="FFFFFF"/>
            <w:noWrap/>
            <w:vAlign w:val="bottom"/>
            <w:hideMark/>
          </w:tcPr>
          <w:p w14:paraId="63C62C1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1" w:type="dxa"/>
            <w:tcBorders>
              <w:top w:val="nil"/>
              <w:left w:val="nil"/>
              <w:bottom w:val="nil"/>
              <w:right w:val="nil"/>
            </w:tcBorders>
            <w:shd w:val="clear" w:color="000000" w:fill="FFFFFF"/>
            <w:noWrap/>
            <w:vAlign w:val="bottom"/>
            <w:hideMark/>
          </w:tcPr>
          <w:p w14:paraId="44962E1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6" w:type="dxa"/>
            <w:tcBorders>
              <w:top w:val="nil"/>
              <w:left w:val="nil"/>
              <w:bottom w:val="nil"/>
              <w:right w:val="single" w:sz="8" w:space="0" w:color="auto"/>
            </w:tcBorders>
            <w:shd w:val="clear" w:color="000000" w:fill="FFFFFF"/>
            <w:noWrap/>
            <w:vAlign w:val="bottom"/>
            <w:hideMark/>
          </w:tcPr>
          <w:p w14:paraId="507424D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4.70%</w:t>
            </w:r>
          </w:p>
        </w:tc>
      </w:tr>
      <w:tr w:rsidR="00934BBA" w:rsidRPr="00934BBA" w14:paraId="4CBD7B6F" w14:textId="77777777" w:rsidTr="00EE3D26">
        <w:trPr>
          <w:trHeight w:val="60"/>
        </w:trPr>
        <w:tc>
          <w:tcPr>
            <w:tcW w:w="1985" w:type="dxa"/>
            <w:gridSpan w:val="2"/>
            <w:tcBorders>
              <w:top w:val="nil"/>
              <w:left w:val="single" w:sz="8" w:space="0" w:color="auto"/>
              <w:bottom w:val="single" w:sz="8" w:space="0" w:color="auto"/>
              <w:right w:val="nil"/>
            </w:tcBorders>
            <w:shd w:val="clear" w:color="000000" w:fill="FFFFFF"/>
            <w:noWrap/>
            <w:vAlign w:val="bottom"/>
            <w:hideMark/>
          </w:tcPr>
          <w:p w14:paraId="72FCAE03"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single" w:sz="8" w:space="0" w:color="auto"/>
              <w:right w:val="nil"/>
            </w:tcBorders>
            <w:shd w:val="clear" w:color="000000" w:fill="FFFFFF"/>
            <w:noWrap/>
            <w:vAlign w:val="bottom"/>
            <w:hideMark/>
          </w:tcPr>
          <w:p w14:paraId="62AC991B"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901" w:type="dxa"/>
            <w:tcBorders>
              <w:top w:val="nil"/>
              <w:left w:val="nil"/>
              <w:bottom w:val="single" w:sz="8" w:space="0" w:color="auto"/>
              <w:right w:val="nil"/>
            </w:tcBorders>
            <w:shd w:val="clear" w:color="000000" w:fill="FFFFFF"/>
            <w:noWrap/>
            <w:vAlign w:val="bottom"/>
            <w:hideMark/>
          </w:tcPr>
          <w:p w14:paraId="127A8FE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single" w:sz="8" w:space="0" w:color="auto"/>
              <w:right w:val="nil"/>
            </w:tcBorders>
            <w:shd w:val="clear" w:color="000000" w:fill="FFFFFF"/>
            <w:noWrap/>
            <w:vAlign w:val="bottom"/>
            <w:hideMark/>
          </w:tcPr>
          <w:p w14:paraId="02F05F4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884" w:type="dxa"/>
            <w:tcBorders>
              <w:top w:val="nil"/>
              <w:left w:val="nil"/>
              <w:bottom w:val="single" w:sz="8" w:space="0" w:color="auto"/>
              <w:right w:val="nil"/>
            </w:tcBorders>
            <w:shd w:val="clear" w:color="000000" w:fill="FFFFFF"/>
            <w:noWrap/>
            <w:vAlign w:val="bottom"/>
            <w:hideMark/>
          </w:tcPr>
          <w:p w14:paraId="5A82E02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884" w:type="dxa"/>
            <w:tcBorders>
              <w:top w:val="nil"/>
              <w:left w:val="nil"/>
              <w:bottom w:val="single" w:sz="8" w:space="0" w:color="auto"/>
              <w:right w:val="nil"/>
            </w:tcBorders>
            <w:shd w:val="clear" w:color="000000" w:fill="FFFFFF"/>
            <w:noWrap/>
            <w:vAlign w:val="bottom"/>
            <w:hideMark/>
          </w:tcPr>
          <w:p w14:paraId="69DE4A6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single" w:sz="8" w:space="0" w:color="auto"/>
              <w:right w:val="nil"/>
            </w:tcBorders>
            <w:shd w:val="clear" w:color="000000" w:fill="FFFFFF"/>
            <w:noWrap/>
            <w:vAlign w:val="bottom"/>
            <w:hideMark/>
          </w:tcPr>
          <w:p w14:paraId="0FDA3E0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single" w:sz="8" w:space="0" w:color="auto"/>
              <w:right w:val="nil"/>
            </w:tcBorders>
            <w:shd w:val="clear" w:color="000000" w:fill="FFFFFF"/>
            <w:noWrap/>
            <w:vAlign w:val="bottom"/>
            <w:hideMark/>
          </w:tcPr>
          <w:p w14:paraId="428A1A6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6" w:type="dxa"/>
            <w:tcBorders>
              <w:top w:val="nil"/>
              <w:left w:val="nil"/>
              <w:bottom w:val="single" w:sz="8" w:space="0" w:color="auto"/>
              <w:right w:val="single" w:sz="8" w:space="0" w:color="auto"/>
            </w:tcBorders>
            <w:shd w:val="clear" w:color="000000" w:fill="FFFFFF"/>
            <w:noWrap/>
            <w:vAlign w:val="bottom"/>
            <w:hideMark/>
          </w:tcPr>
          <w:p w14:paraId="47240AC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r>
    </w:tbl>
    <w:p w14:paraId="78F15CA6" w14:textId="1F1EC86D" w:rsidR="005C153E" w:rsidRDefault="005C153E" w:rsidP="00C23F12">
      <w:pPr>
        <w:tabs>
          <w:tab w:val="num" w:pos="709"/>
        </w:tabs>
        <w:ind w:left="709"/>
        <w:rPr>
          <w:rFonts w:ascii="Calibri" w:eastAsia="Times New Roman" w:hAnsi="Calibri" w:cs="Calibri"/>
          <w:b/>
          <w:bCs/>
        </w:rPr>
      </w:pPr>
    </w:p>
    <w:p w14:paraId="73278822" w14:textId="77777777" w:rsidR="004B55F6" w:rsidRPr="0081403F" w:rsidRDefault="004B55F6" w:rsidP="00D74683">
      <w:pPr>
        <w:pStyle w:val="TM2"/>
      </w:pPr>
      <w:bookmarkStart w:id="0" w:name="_Hlk160033059"/>
      <w:r w:rsidRPr="0081403F">
        <w:lastRenderedPageBreak/>
        <w:t>The current economic situation to the UK after decisions from Government has resulted in a steep interest increase which impacted early 2024/25.  In December 2024 the Bank of England base rate decreased to 4.75% compared to 5.25% in March 2023.  The Bank of England forecasters are expecting base rate to begin  to dip in the short term future, falling to 4.05% from 4.75% during the final quarter of 2025/26. The forecast table above shows the current forecast of the PWLB interest rates from our Treasury Advisors.</w:t>
      </w:r>
    </w:p>
    <w:p w14:paraId="5E04309D" w14:textId="77777777" w:rsidR="00D74683" w:rsidRPr="000736E1" w:rsidRDefault="00D74683" w:rsidP="00D74683">
      <w:pPr>
        <w:pStyle w:val="TM2"/>
      </w:pPr>
      <w:bookmarkStart w:id="1" w:name="_Hlk160033071"/>
      <w:bookmarkEnd w:id="0"/>
      <w:r w:rsidRPr="000736E1">
        <w:t xml:space="preserve">Investment returns are likely to slightly </w:t>
      </w:r>
      <w:r>
        <w:t>de</w:t>
      </w:r>
      <w:r w:rsidRPr="000736E1">
        <w:t>crease in 202</w:t>
      </w:r>
      <w:r>
        <w:t>5</w:t>
      </w:r>
      <w:r w:rsidRPr="000736E1">
        <w:t>/2</w:t>
      </w:r>
      <w:r>
        <w:t>6</w:t>
      </w:r>
      <w:r w:rsidRPr="000736E1">
        <w:t xml:space="preserve"> from the interest earnt in 202</w:t>
      </w:r>
      <w:r>
        <w:t>4</w:t>
      </w:r>
      <w:r w:rsidRPr="000736E1">
        <w:t>/2</w:t>
      </w:r>
      <w:r>
        <w:t>5</w:t>
      </w:r>
      <w:r w:rsidRPr="000736E1">
        <w:t xml:space="preserve"> due to the </w:t>
      </w:r>
      <w:r>
        <w:t>de</w:t>
      </w:r>
      <w:r w:rsidRPr="000736E1">
        <w:t>crease in rates</w:t>
      </w:r>
      <w:r>
        <w:t>,</w:t>
      </w:r>
      <w:r w:rsidRPr="000736E1">
        <w:t xml:space="preserve"> and</w:t>
      </w:r>
      <w:r>
        <w:t xml:space="preserve"> then continue to decline over the medium term</w:t>
      </w:r>
      <w:r w:rsidRPr="000736E1">
        <w:t>.</w:t>
      </w:r>
    </w:p>
    <w:bookmarkEnd w:id="1"/>
    <w:p w14:paraId="57AB048E" w14:textId="77777777" w:rsidR="0075583C" w:rsidRPr="000736E1" w:rsidRDefault="0075583C" w:rsidP="00D74683">
      <w:pPr>
        <w:pStyle w:val="TM2"/>
      </w:pPr>
      <w:r w:rsidRPr="000736E1">
        <w:t>In March 2020, the Government started a consultation process for reviewing the margins over gilt rates for PWLB borrowing for different types of PFCC capital expenditure.  Following the consultation, the Government published their responses in November 2020 which stated these outcomes:</w:t>
      </w:r>
    </w:p>
    <w:p w14:paraId="56DAAB27" w14:textId="6B3C09BF" w:rsidR="0075583C" w:rsidRDefault="0075583C" w:rsidP="00641B78">
      <w:pPr>
        <w:pStyle w:val="TMBullets"/>
      </w:pPr>
      <w:r w:rsidRPr="000736E1">
        <w:t xml:space="preserve">PWLB will not lend </w:t>
      </w:r>
      <w:r w:rsidRPr="00641B78">
        <w:t>to</w:t>
      </w:r>
      <w:r w:rsidRPr="000736E1">
        <w:t xml:space="preserve"> a PFCC who intends to buy investment assets primarily for yield</w:t>
      </w:r>
      <w:r w:rsidR="00D23764">
        <w:t>.</w:t>
      </w:r>
    </w:p>
    <w:p w14:paraId="6FE2551E" w14:textId="673EAF9F" w:rsidR="005B67EE" w:rsidRPr="000736E1" w:rsidRDefault="0075583C" w:rsidP="00EE3D26">
      <w:pPr>
        <w:pStyle w:val="TMBullets"/>
      </w:pPr>
      <w:r w:rsidRPr="000736E1">
        <w:t xml:space="preserve">Reduction to the </w:t>
      </w:r>
      <w:r w:rsidRPr="00641B78">
        <w:t>interest</w:t>
      </w:r>
      <w:r w:rsidRPr="000736E1">
        <w:t xml:space="preserve"> on borrowing on all standard and certainty rates by 100 basis point which took effect from 26</w:t>
      </w:r>
      <w:r w:rsidRPr="000736E1">
        <w:rPr>
          <w:vertAlign w:val="superscript"/>
        </w:rPr>
        <w:t>th</w:t>
      </w:r>
      <w:r w:rsidRPr="000736E1">
        <w:t xml:space="preserve"> November</w:t>
      </w:r>
      <w:r w:rsidR="00EE04F9">
        <w:t xml:space="preserve"> 202</w:t>
      </w:r>
      <w:r w:rsidR="00D23764">
        <w:t>0</w:t>
      </w:r>
      <w:r w:rsidRPr="000736E1">
        <w:t>.</w:t>
      </w:r>
    </w:p>
    <w:p w14:paraId="7C0F9D4B" w14:textId="77777777" w:rsidR="004D09CE" w:rsidRPr="005B0195" w:rsidRDefault="004D09CE" w:rsidP="00BA6C7C">
      <w:pPr>
        <w:pStyle w:val="TM1"/>
        <w:rPr>
          <w:lang w:eastAsia="en-GB"/>
        </w:rPr>
      </w:pPr>
      <w:r w:rsidRPr="005B0195">
        <w:rPr>
          <w:lang w:eastAsia="en-GB"/>
        </w:rPr>
        <w:t>Managing daily cash balances and investing surpluses</w:t>
      </w:r>
    </w:p>
    <w:p w14:paraId="7E124386" w14:textId="44B44031" w:rsidR="004D09CE" w:rsidRPr="005B0195" w:rsidRDefault="004D09CE" w:rsidP="00D74683">
      <w:pPr>
        <w:pStyle w:val="TM2"/>
      </w:pPr>
      <w:r w:rsidRPr="005B0195">
        <w:t>In order that the</w:t>
      </w:r>
      <w:r w:rsidR="0064222E" w:rsidRPr="005B0195">
        <w:t xml:space="preserve"> </w:t>
      </w:r>
      <w:r w:rsidR="00997B51">
        <w:t>NCFRA</w:t>
      </w:r>
      <w:r w:rsidRPr="005B0195">
        <w:t xml:space="preserve"> can maximise income earned from investments, the target for the un-invested overnight balances in our current accounts is usually always lower than £</w:t>
      </w:r>
      <w:r w:rsidR="006277C2">
        <w:t>5</w:t>
      </w:r>
      <w:r w:rsidR="006277C2" w:rsidRPr="005B0195">
        <w:t>k</w:t>
      </w:r>
      <w:r w:rsidR="006277C2">
        <w:t xml:space="preserve"> </w:t>
      </w:r>
      <w:r w:rsidR="00FD2969">
        <w:t>where possible</w:t>
      </w:r>
      <w:r w:rsidRPr="005B0195">
        <w:t>.  However, if there is an emergency, we are unable to place an investment or it is not prudent or cost-effective to do so, we will maintain any excess balances in the Natwest account in order to safeguard funds.</w:t>
      </w:r>
    </w:p>
    <w:p w14:paraId="45AC5E97" w14:textId="44B468EC" w:rsidR="0071085A" w:rsidRPr="0071085A" w:rsidRDefault="004D09CE" w:rsidP="00D74683">
      <w:pPr>
        <w:pStyle w:val="TM2"/>
      </w:pPr>
      <w:r w:rsidRPr="00E77F9B">
        <w:t>At any one time,</w:t>
      </w:r>
      <w:r w:rsidR="0064222E" w:rsidRPr="00E77F9B">
        <w:t xml:space="preserve"> </w:t>
      </w:r>
      <w:r w:rsidR="00AE6A32" w:rsidRPr="00E77F9B">
        <w:t xml:space="preserve">the </w:t>
      </w:r>
      <w:r w:rsidR="00997B51" w:rsidRPr="00E77F9B">
        <w:t>NCFRA</w:t>
      </w:r>
      <w:r w:rsidRPr="00E77F9B">
        <w:t xml:space="preserve"> </w:t>
      </w:r>
      <w:r w:rsidR="006277C2" w:rsidRPr="00E77F9B">
        <w:t xml:space="preserve">tries to maintain </w:t>
      </w:r>
      <w:r w:rsidRPr="00E77F9B">
        <w:t>between £</w:t>
      </w:r>
      <w:r w:rsidR="00E77F9B" w:rsidRPr="00E77F9B">
        <w:t>0.5</w:t>
      </w:r>
      <w:r w:rsidR="006277C2" w:rsidRPr="00E77F9B">
        <w:t xml:space="preserve">m </w:t>
      </w:r>
      <w:r w:rsidRPr="00E77F9B">
        <w:t xml:space="preserve">and </w:t>
      </w:r>
      <w:r w:rsidR="00D74683">
        <w:t>£</w:t>
      </w:r>
      <w:r w:rsidR="008C237E">
        <w:t>1</w:t>
      </w:r>
      <w:r w:rsidR="00934BBA">
        <w:t>5</w:t>
      </w:r>
      <w:r w:rsidRPr="00E77F9B">
        <w:t xml:space="preserve">m (depending on the cash flow of both revenue and capital financing) available to invest.  </w:t>
      </w:r>
      <w:r w:rsidR="006277C2" w:rsidRPr="00E77F9B">
        <w:t xml:space="preserve">Where this is not possible due to </w:t>
      </w:r>
      <w:r w:rsidR="00FA7760" w:rsidRPr="00E77F9B">
        <w:t xml:space="preserve">the utilisation of Internal Borrowing to support the costs of the capital programme in order to reduce debt costs, the </w:t>
      </w:r>
      <w:r w:rsidR="00997B51" w:rsidRPr="00E77F9B">
        <w:t>NCFRA</w:t>
      </w:r>
      <w:r w:rsidR="00FA7760" w:rsidRPr="00E77F9B">
        <w:t xml:space="preserve"> will ensure that positive cash flows are maintained using short term borrowing where necessary</w:t>
      </w:r>
      <w:r w:rsidRPr="00E77F9B">
        <w:t>.  The average</w:t>
      </w:r>
      <w:r w:rsidRPr="00BD08B4">
        <w:t xml:space="preserve"> cash available to or forecast to invest throughout 202</w:t>
      </w:r>
      <w:r w:rsidR="00E77F9B">
        <w:t>4</w:t>
      </w:r>
      <w:r w:rsidRPr="00BD08B4">
        <w:t>/2</w:t>
      </w:r>
      <w:r w:rsidR="00E77F9B">
        <w:t>5</w:t>
      </w:r>
      <w:r w:rsidRPr="00BD08B4">
        <w:t xml:space="preserve"> including a projection of 202</w:t>
      </w:r>
      <w:r w:rsidR="00E77F9B">
        <w:t>5</w:t>
      </w:r>
      <w:r w:rsidRPr="00BD08B4">
        <w:t>/2</w:t>
      </w:r>
      <w:r w:rsidR="00E77F9B">
        <w:t>6</w:t>
      </w:r>
      <w:r w:rsidRPr="00BD08B4">
        <w:t xml:space="preserve"> is as follows:</w:t>
      </w:r>
      <w:r w:rsidR="0071085A">
        <w:t xml:space="preserve"> </w:t>
      </w:r>
    </w:p>
    <w:p w14:paraId="07B45FAF" w14:textId="372F25C4" w:rsidR="0071085A" w:rsidRDefault="00445A26" w:rsidP="00EE3D26">
      <w:pPr>
        <w:pStyle w:val="TM2"/>
        <w:numPr>
          <w:ilvl w:val="0"/>
          <w:numId w:val="0"/>
        </w:numPr>
        <w:ind w:left="709"/>
      </w:pPr>
      <w:r>
        <w:lastRenderedPageBreak/>
        <w:drawing>
          <wp:inline distT="0" distB="0" distL="0" distR="0" wp14:anchorId="26FD4A8F" wp14:editId="7C9B1525">
            <wp:extent cx="4870450" cy="2438400"/>
            <wp:effectExtent l="0" t="0" r="6350" b="0"/>
            <wp:docPr id="1467020450" name="Chart 1">
              <a:extLst xmlns:a="http://schemas.openxmlformats.org/drawingml/2006/main">
                <a:ext uri="{FF2B5EF4-FFF2-40B4-BE49-F238E27FC236}">
                  <a16:creationId xmlns:a16="http://schemas.microsoft.com/office/drawing/2014/main" id="{31E56051-FA99-4435-9E10-7EE456868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0FEAD2" w14:textId="42D70D84" w:rsidR="004D09CE" w:rsidRDefault="004D09CE" w:rsidP="00D74683">
      <w:pPr>
        <w:pStyle w:val="TM2"/>
        <w:rPr>
          <w:rFonts w:eastAsia="Calibri"/>
        </w:rPr>
      </w:pPr>
      <w:r w:rsidRPr="005B0195">
        <w:rPr>
          <w:rFonts w:eastAsia="Calibri"/>
        </w:rPr>
        <w:t>As with most local authorities with a high proportion of employee to Supplies and Services expenditure,</w:t>
      </w:r>
      <w:r w:rsidR="0064222E" w:rsidRPr="005B0195">
        <w:rPr>
          <w:rFonts w:eastAsia="Calibri"/>
        </w:rPr>
        <w:t xml:space="preserve"> </w:t>
      </w:r>
      <w:r w:rsidR="0075583C">
        <w:rPr>
          <w:rFonts w:eastAsia="Calibri"/>
        </w:rPr>
        <w:t xml:space="preserve">the </w:t>
      </w:r>
      <w:r w:rsidR="00997B51">
        <w:rPr>
          <w:rFonts w:eastAsia="Calibri"/>
        </w:rPr>
        <w:t>NCFRA</w:t>
      </w:r>
      <w:r w:rsidRPr="005B0195">
        <w:rPr>
          <w:rFonts w:eastAsia="Calibri"/>
        </w:rPr>
        <w:t xml:space="preserve">’s cash flow is fairly consistent month on month and therefore investable cash balances only significantly deviate when single payments (such as internally funded capital purchases) or large annual income receipts are forecast. </w:t>
      </w:r>
    </w:p>
    <w:p w14:paraId="52B05CBE" w14:textId="4F2E52A0" w:rsidR="004D09CE" w:rsidRPr="005B0195" w:rsidRDefault="004D09CE" w:rsidP="00D74683">
      <w:pPr>
        <w:pStyle w:val="TM2"/>
        <w:rPr>
          <w:rFonts w:eastAsia="Calibri"/>
        </w:rPr>
      </w:pPr>
      <w:r w:rsidRPr="005B0195">
        <w:rPr>
          <w:rFonts w:eastAsia="Calibri"/>
        </w:rPr>
        <w:t xml:space="preserve">The increase </w:t>
      </w:r>
      <w:r w:rsidR="00FD2969">
        <w:rPr>
          <w:rFonts w:eastAsia="Calibri"/>
        </w:rPr>
        <w:t xml:space="preserve">and decline </w:t>
      </w:r>
      <w:r w:rsidRPr="005B0195">
        <w:rPr>
          <w:rFonts w:eastAsia="Calibri"/>
        </w:rPr>
        <w:t>in cash balances represented above occurs with the:</w:t>
      </w:r>
    </w:p>
    <w:p w14:paraId="52E2D8C9" w14:textId="20A4E33C" w:rsidR="004D09CE" w:rsidRPr="005B0195" w:rsidRDefault="004D09CE" w:rsidP="00641B78">
      <w:pPr>
        <w:pStyle w:val="TMBullets"/>
      </w:pPr>
      <w:r w:rsidRPr="005B0195">
        <w:t xml:space="preserve">Receipt of </w:t>
      </w:r>
      <w:r w:rsidR="0064222E" w:rsidRPr="005B0195">
        <w:t>Fire Fighter Pension Fund (FFPF)</w:t>
      </w:r>
      <w:r w:rsidRPr="005B0195">
        <w:t xml:space="preserve"> grant during </w:t>
      </w:r>
      <w:r w:rsidR="00445A26">
        <w:t>August</w:t>
      </w:r>
      <w:r w:rsidR="00D23764">
        <w:t>.</w:t>
      </w:r>
    </w:p>
    <w:p w14:paraId="63A38935" w14:textId="7FCF0A67" w:rsidR="004D09CE" w:rsidRPr="005B0195" w:rsidRDefault="004D09CE" w:rsidP="00641B78">
      <w:pPr>
        <w:pStyle w:val="TMBullets"/>
      </w:pPr>
      <w:r w:rsidRPr="005B0195">
        <w:t xml:space="preserve">The costs associated with the </w:t>
      </w:r>
      <w:r w:rsidR="0064222E" w:rsidRPr="005B0195">
        <w:t>FF</w:t>
      </w:r>
      <w:r w:rsidRPr="005B0195">
        <w:t>PF being expended throughout the financial year</w:t>
      </w:r>
      <w:r w:rsidR="00D23764">
        <w:t>.</w:t>
      </w:r>
    </w:p>
    <w:p w14:paraId="15A1AD11" w14:textId="2F688E6F" w:rsidR="00ED37F7" w:rsidRDefault="00ED37F7" w:rsidP="00641B78">
      <w:pPr>
        <w:pStyle w:val="TMBullets"/>
      </w:pPr>
      <w:r w:rsidRPr="005B0195">
        <w:t>Repayment of PWLB loans</w:t>
      </w:r>
      <w:r w:rsidR="00D23764">
        <w:t xml:space="preserve"> and planned borrowing.</w:t>
      </w:r>
    </w:p>
    <w:p w14:paraId="724E749D" w14:textId="75DC85BC" w:rsidR="00D23764" w:rsidRPr="00D23764" w:rsidRDefault="00D23764" w:rsidP="00641B78">
      <w:pPr>
        <w:pStyle w:val="TMBullets"/>
      </w:pPr>
      <w:r>
        <w:t>Precept income being receivable over the first 10 months of the financial year.</w:t>
      </w:r>
    </w:p>
    <w:p w14:paraId="3B030413" w14:textId="77777777" w:rsidR="004D09CE" w:rsidRPr="005B0195" w:rsidRDefault="004D09CE" w:rsidP="00BA6C7C">
      <w:pPr>
        <w:pStyle w:val="TM1"/>
      </w:pPr>
      <w:r w:rsidRPr="005B0195">
        <w:t>Borrowing Strategy</w:t>
      </w:r>
    </w:p>
    <w:p w14:paraId="7DC021CB" w14:textId="7ABB9F2D" w:rsidR="004D09CE" w:rsidRPr="005B0195" w:rsidRDefault="004D09CE" w:rsidP="00D74683">
      <w:pPr>
        <w:pStyle w:val="TM2"/>
      </w:pPr>
      <w:r w:rsidRPr="005B0195">
        <w:t>The overarching objectives for the</w:t>
      </w:r>
      <w:r w:rsidR="0064222E" w:rsidRPr="005B0195">
        <w:t xml:space="preserve"> </w:t>
      </w:r>
      <w:r w:rsidR="00BD1B54">
        <w:t>NCFRA</w:t>
      </w:r>
      <w:r w:rsidR="00BD1B54" w:rsidRPr="005B0195">
        <w:t xml:space="preserve">’s </w:t>
      </w:r>
      <w:r w:rsidRPr="005B0195">
        <w:t>borrowing strategy are as follows:</w:t>
      </w:r>
    </w:p>
    <w:p w14:paraId="4EDD613B" w14:textId="70AE26C5" w:rsidR="004D09CE" w:rsidRPr="005B0195" w:rsidRDefault="004D09CE" w:rsidP="00641B78">
      <w:pPr>
        <w:pStyle w:val="TMBullets"/>
        <w:rPr>
          <w:iCs/>
        </w:rPr>
      </w:pPr>
      <w:r w:rsidRPr="005B0195">
        <w:t>To manage the</w:t>
      </w:r>
      <w:r w:rsidR="0064222E" w:rsidRPr="005B0195">
        <w:t xml:space="preserve"> </w:t>
      </w:r>
      <w:r w:rsidR="00BD1B54">
        <w:t>NCFRA</w:t>
      </w:r>
      <w:r w:rsidR="00BD1B54" w:rsidRPr="005B0195">
        <w:t xml:space="preserve">’s </w:t>
      </w:r>
      <w:r w:rsidRPr="005B0195">
        <w:t>debt maturity profile</w:t>
      </w:r>
      <w:r w:rsidR="00FD2969">
        <w:t>.</w:t>
      </w:r>
      <w:r w:rsidRPr="005B0195">
        <w:t xml:space="preserve"> </w:t>
      </w:r>
      <w:r w:rsidR="00FD2969">
        <w:t xml:space="preserve"> T</w:t>
      </w:r>
      <w:r w:rsidRPr="005B0195">
        <w:t xml:space="preserve">his is achieved by monitoring </w:t>
      </w:r>
      <w:r w:rsidR="001A1DD2" w:rsidRPr="005B0195">
        <w:t>short- and long-term</w:t>
      </w:r>
      <w:r w:rsidRPr="005B0195">
        <w:t xml:space="preserve"> cash flow forecasts in tandem with balance sheet analysis</w:t>
      </w:r>
      <w:r w:rsidR="00FD2969">
        <w:t>.</w:t>
      </w:r>
    </w:p>
    <w:p w14:paraId="1DE7F146" w14:textId="641259B0" w:rsidR="004D09CE" w:rsidRPr="005B0195" w:rsidRDefault="004D09CE" w:rsidP="00641B78">
      <w:pPr>
        <w:pStyle w:val="TMBullets"/>
      </w:pPr>
      <w:r w:rsidRPr="005B0195">
        <w:t>To maintain a view on current and possible future interest rate movements, and to plan borrowing accordingly</w:t>
      </w:r>
      <w:r w:rsidR="0064222E" w:rsidRPr="005B0195">
        <w:t>.</w:t>
      </w:r>
      <w:r w:rsidRPr="005B0195">
        <w:t xml:space="preserve"> </w:t>
      </w:r>
      <w:r w:rsidR="0064222E" w:rsidRPr="005B0195">
        <w:t>T</w:t>
      </w:r>
      <w:r w:rsidRPr="005B0195">
        <w:t>his is achieved by monitoring of economic commentary to undertake sensitivity analysis</w:t>
      </w:r>
      <w:r w:rsidR="00FD2969">
        <w:t>.</w:t>
      </w:r>
    </w:p>
    <w:p w14:paraId="661FBFED" w14:textId="4EE49197" w:rsidR="004D09CE" w:rsidRPr="005B0195" w:rsidRDefault="004D09CE" w:rsidP="00641B78">
      <w:pPr>
        <w:pStyle w:val="TMBullets"/>
      </w:pPr>
      <w:r w:rsidRPr="005B0195">
        <w:t>To monitor and review the balance between fixed and variable rate loans against the background of interest rates and the Prudential Indicators; this is achieved by monitoring of economic commentary to undertake sensitivity analysis</w:t>
      </w:r>
      <w:r w:rsidR="00FD2969">
        <w:t>.</w:t>
      </w:r>
    </w:p>
    <w:p w14:paraId="6B12DB76" w14:textId="38890AF2" w:rsidR="004D09CE" w:rsidRDefault="004D09CE" w:rsidP="00D74683">
      <w:pPr>
        <w:pStyle w:val="TM2"/>
      </w:pPr>
      <w:r w:rsidRPr="005B0195">
        <w:t>The</w:t>
      </w:r>
      <w:r w:rsidR="0064222E" w:rsidRPr="005B0195">
        <w:t xml:space="preserve"> </w:t>
      </w:r>
      <w:r w:rsidR="00BD1B54">
        <w:t>NCFRA</w:t>
      </w:r>
      <w:r w:rsidR="00BD1B54" w:rsidRPr="005B0195">
        <w:t xml:space="preserve"> </w:t>
      </w:r>
      <w:r w:rsidRPr="005B0195">
        <w:t>is currently maintaining an under-borrowed position.  This means that the capital borrowing need (the Capital Financing Requirement) will not been fully funded with loan debt as cash supporting the</w:t>
      </w:r>
      <w:r w:rsidR="0064222E" w:rsidRPr="005B0195">
        <w:t xml:space="preserve"> </w:t>
      </w:r>
      <w:r w:rsidR="00BD1B54">
        <w:t>NCFRA</w:t>
      </w:r>
      <w:r w:rsidR="00BD1B54" w:rsidRPr="005B0195">
        <w:t xml:space="preserve">’s </w:t>
      </w:r>
      <w:r w:rsidRPr="005B0195">
        <w:t>reserves, balances and cash flow has been used as a temporary measure.</w:t>
      </w:r>
    </w:p>
    <w:p w14:paraId="1B529B84" w14:textId="77777777" w:rsidR="00934BBA" w:rsidRDefault="00934BBA" w:rsidP="00934BBA">
      <w:pPr>
        <w:pStyle w:val="TM2"/>
        <w:numPr>
          <w:ilvl w:val="0"/>
          <w:numId w:val="0"/>
        </w:numPr>
        <w:ind w:left="709"/>
      </w:pPr>
    </w:p>
    <w:p w14:paraId="2851FE9D" w14:textId="77777777" w:rsidR="001B6F50" w:rsidRPr="005B0195" w:rsidRDefault="001B6F50" w:rsidP="00D74683">
      <w:pPr>
        <w:pStyle w:val="TM2"/>
      </w:pPr>
      <w:bookmarkStart w:id="2" w:name="_Hlk120897683"/>
      <w:r w:rsidRPr="005B0195">
        <w:lastRenderedPageBreak/>
        <w:t>The sources of borrowing;</w:t>
      </w:r>
    </w:p>
    <w:p w14:paraId="2C80964A" w14:textId="31A9A7A7" w:rsidR="001B6F50" w:rsidRPr="005B0195" w:rsidRDefault="001B6F50" w:rsidP="00EE3D26">
      <w:pPr>
        <w:pStyle w:val="TM2"/>
        <w:numPr>
          <w:ilvl w:val="0"/>
          <w:numId w:val="12"/>
        </w:numPr>
        <w:spacing w:before="0" w:after="0"/>
        <w:ind w:left="1077" w:hanging="357"/>
      </w:pPr>
      <w:r w:rsidRPr="005B0195">
        <w:t xml:space="preserve">PWLB </w:t>
      </w:r>
      <w:r w:rsidR="00997B51">
        <w:t>–</w:t>
      </w:r>
      <w:r w:rsidRPr="005B0195">
        <w:t xml:space="preserve"> the </w:t>
      </w:r>
      <w:r w:rsidR="00BD1B54">
        <w:t>NCFRA</w:t>
      </w:r>
      <w:r w:rsidRPr="005B0195">
        <w:t xml:space="preserve"> will receive a </w:t>
      </w:r>
      <w:r w:rsidR="00FD2969">
        <w:t>‘</w:t>
      </w:r>
      <w:r w:rsidRPr="005B0195">
        <w:t xml:space="preserve">Certainty </w:t>
      </w:r>
      <w:r w:rsidR="00FD2969">
        <w:t>R</w:t>
      </w:r>
      <w:r w:rsidRPr="005B0195">
        <w:t>ate</w:t>
      </w:r>
      <w:r w:rsidR="00FD2969">
        <w:t>’</w:t>
      </w:r>
      <w:r w:rsidRPr="005B0195">
        <w:t xml:space="preserve"> which is reduced by 20 basis points (0.20%) against the PWLB standard rate</w:t>
      </w:r>
      <w:r w:rsidR="00FD2969">
        <w:t>.</w:t>
      </w:r>
    </w:p>
    <w:p w14:paraId="3924F0B4" w14:textId="01F37E93" w:rsidR="001B6F50" w:rsidRPr="005B0195" w:rsidRDefault="001B6F50" w:rsidP="00EE3D26">
      <w:pPr>
        <w:pStyle w:val="TM2"/>
        <w:numPr>
          <w:ilvl w:val="0"/>
          <w:numId w:val="12"/>
        </w:numPr>
        <w:spacing w:before="0" w:after="0"/>
        <w:ind w:left="1077" w:hanging="357"/>
      </w:pPr>
      <w:r w:rsidRPr="005B0195">
        <w:t>Local Authorit</w:t>
      </w:r>
      <w:r w:rsidR="00FD2969">
        <w:t>ies,</w:t>
      </w:r>
      <w:r w:rsidRPr="005B0195">
        <w:t xml:space="preserve"> particularly for </w:t>
      </w:r>
      <w:r w:rsidR="00FD2969">
        <w:t>s</w:t>
      </w:r>
      <w:r w:rsidRPr="005B0195">
        <w:t>hort</w:t>
      </w:r>
      <w:r w:rsidR="00FD2969">
        <w:t>-</w:t>
      </w:r>
      <w:r w:rsidRPr="005B0195">
        <w:t>term borrowing</w:t>
      </w:r>
      <w:r w:rsidR="00FD2969">
        <w:t>.</w:t>
      </w:r>
    </w:p>
    <w:p w14:paraId="60FD8EB1" w14:textId="2F07942C" w:rsidR="001B6F50" w:rsidRPr="005B0195" w:rsidRDefault="000D1131" w:rsidP="00EE3D26">
      <w:pPr>
        <w:pStyle w:val="TM2"/>
        <w:numPr>
          <w:ilvl w:val="0"/>
          <w:numId w:val="12"/>
        </w:numPr>
        <w:spacing w:before="0" w:after="0"/>
        <w:ind w:left="1077" w:hanging="357"/>
      </w:pPr>
      <w:r>
        <w:t xml:space="preserve">OPFCC (Police funds) </w:t>
      </w:r>
      <w:r w:rsidR="004B3B74">
        <w:t>–</w:t>
      </w:r>
      <w:r w:rsidRPr="000736E1">
        <w:t xml:space="preserve"> </w:t>
      </w:r>
      <w:r w:rsidR="004B3B74">
        <w:t xml:space="preserve">this TMS enables that </w:t>
      </w:r>
      <w:r w:rsidR="00867135">
        <w:t>i</w:t>
      </w:r>
      <w:r w:rsidR="00C375A6" w:rsidRPr="000736E1">
        <w:t xml:space="preserve">f there is an instance that </w:t>
      </w:r>
      <w:r w:rsidR="004B3B74">
        <w:t xml:space="preserve">either NCFRA or OPFCC (Police) </w:t>
      </w:r>
      <w:r w:rsidR="00C375A6" w:rsidRPr="000736E1">
        <w:t xml:space="preserve">has </w:t>
      </w:r>
      <w:r w:rsidR="00C375A6">
        <w:t>similar term ex</w:t>
      </w:r>
      <w:r w:rsidR="00C375A6" w:rsidRPr="000736E1">
        <w:t>cess of funds when the other entity has a borrowing need</w:t>
      </w:r>
      <w:r w:rsidR="004B3B74">
        <w:t>, that borrowing can take place from either party</w:t>
      </w:r>
      <w:r w:rsidR="00C375A6" w:rsidRPr="000736E1">
        <w:t xml:space="preserve">. </w:t>
      </w:r>
      <w:r w:rsidR="00C375A6">
        <w:t xml:space="preserve"> </w:t>
      </w:r>
      <w:r w:rsidR="00C375A6" w:rsidRPr="000736E1">
        <w:t xml:space="preserve">This </w:t>
      </w:r>
      <w:r w:rsidR="00C375A6">
        <w:t>must be</w:t>
      </w:r>
      <w:r w:rsidR="00C375A6" w:rsidRPr="000736E1">
        <w:t xml:space="preserve"> </w:t>
      </w:r>
      <w:r w:rsidR="00C375A6">
        <w:t xml:space="preserve">mutually </w:t>
      </w:r>
      <w:r w:rsidR="00C375A6" w:rsidRPr="000736E1">
        <w:t>benefi</w:t>
      </w:r>
      <w:r w:rsidR="00C375A6">
        <w:t>ci</w:t>
      </w:r>
      <w:r w:rsidR="00C375A6" w:rsidRPr="000736E1">
        <w:t>al</w:t>
      </w:r>
      <w:r w:rsidR="00C375A6">
        <w:t xml:space="preserve"> and hold minimal risk</w:t>
      </w:r>
      <w:r w:rsidR="004B3B74">
        <w:t xml:space="preserve"> and to provide additional assurance, approval will be provided by both </w:t>
      </w:r>
      <w:r w:rsidR="00934BBA">
        <w:t>s</w:t>
      </w:r>
      <w:r w:rsidR="004B3B74">
        <w:t>151 officers or their deputies, so that both parties interests are demonstrably represented.</w:t>
      </w:r>
      <w:r w:rsidR="00C375A6">
        <w:t xml:space="preserve"> </w:t>
      </w:r>
      <w:r w:rsidR="00867135">
        <w:t xml:space="preserve"> </w:t>
      </w:r>
      <w:r w:rsidR="00C375A6">
        <w:t xml:space="preserve">It ensures that </w:t>
      </w:r>
      <w:r w:rsidR="00C375A6" w:rsidRPr="000736E1">
        <w:t xml:space="preserve">interest rates </w:t>
      </w:r>
      <w:r w:rsidR="00C375A6">
        <w:t>are</w:t>
      </w:r>
      <w:r w:rsidR="00C375A6" w:rsidRPr="000736E1">
        <w:t xml:space="preserve"> competitive to the market </w:t>
      </w:r>
      <w:r w:rsidR="00C375A6">
        <w:t>and</w:t>
      </w:r>
      <w:r w:rsidR="00C375A6" w:rsidRPr="000736E1">
        <w:t xml:space="preserve"> no broker fee</w:t>
      </w:r>
      <w:r w:rsidR="00C375A6">
        <w:t xml:space="preserve"> is payable (historically</w:t>
      </w:r>
      <w:r w:rsidR="00C375A6" w:rsidRPr="000736E1">
        <w:t xml:space="preserve"> 10 basis points o</w:t>
      </w:r>
      <w:r w:rsidR="00C375A6">
        <w:t>f</w:t>
      </w:r>
      <w:r w:rsidR="00C375A6" w:rsidRPr="000736E1">
        <w:t xml:space="preserve"> the amount borrowed</w:t>
      </w:r>
      <w:r w:rsidR="00C375A6">
        <w:t>)</w:t>
      </w:r>
      <w:r>
        <w:t>.</w:t>
      </w:r>
    </w:p>
    <w:p w14:paraId="4D7A1B14" w14:textId="62EF9699" w:rsidR="004D09CE" w:rsidRPr="005B0195" w:rsidRDefault="00A52C37" w:rsidP="00D74683">
      <w:pPr>
        <w:pStyle w:val="TM2"/>
      </w:pPr>
      <w:bookmarkStart w:id="3" w:name="_Hlk159576935"/>
      <w:bookmarkEnd w:id="2"/>
      <w:r>
        <w:t>C</w:t>
      </w:r>
      <w:r w:rsidRPr="005B0195">
        <w:t>aution will be adopted with the 202</w:t>
      </w:r>
      <w:r w:rsidR="004568D7">
        <w:t>5</w:t>
      </w:r>
      <w:r w:rsidRPr="005B0195">
        <w:t>/2</w:t>
      </w:r>
      <w:r w:rsidR="004568D7">
        <w:t>6</w:t>
      </w:r>
      <w:r w:rsidRPr="005B0195">
        <w:t xml:space="preserve"> treasury operations </w:t>
      </w:r>
      <w:r w:rsidR="005D2422" w:rsidRPr="005B0195">
        <w:t>a</w:t>
      </w:r>
      <w:r w:rsidR="004D09CE" w:rsidRPr="005B0195">
        <w:t xml:space="preserve">gainst this background and the risks within the economic forecast.  </w:t>
      </w:r>
      <w:bookmarkEnd w:id="3"/>
      <w:r w:rsidR="004D09CE" w:rsidRPr="005B0195">
        <w:t>The Joint Finance Team will monitor interest rates in financial markets and regularly brief the Chief Finance Officer so the</w:t>
      </w:r>
      <w:r w:rsidR="0064222E" w:rsidRPr="005B0195">
        <w:t xml:space="preserve"> </w:t>
      </w:r>
      <w:r w:rsidR="00BD1B54">
        <w:t>NCFRA</w:t>
      </w:r>
      <w:r w:rsidR="004D09CE" w:rsidRPr="005B0195">
        <w:t xml:space="preserve"> may adopt a pragmatic approach to changing circumstances.  For example:</w:t>
      </w:r>
    </w:p>
    <w:p w14:paraId="606DA69B" w14:textId="44735A3F" w:rsidR="004D09CE" w:rsidRPr="005B0195" w:rsidRDefault="004D09CE" w:rsidP="00641B78">
      <w:pPr>
        <w:pStyle w:val="TMBullets"/>
      </w:pPr>
      <w:r w:rsidRPr="005B0195">
        <w:t xml:space="preserve">If it was felt that there was a significant risk of a sharp </w:t>
      </w:r>
      <w:r w:rsidRPr="005B0195">
        <w:rPr>
          <w:u w:val="single"/>
        </w:rPr>
        <w:t>FALL</w:t>
      </w:r>
      <w:r w:rsidRPr="005B0195">
        <w:t xml:space="preserve"> of 25% or more in </w:t>
      </w:r>
      <w:r w:rsidR="001A1DD2" w:rsidRPr="005B0195">
        <w:t>long- and short-term</w:t>
      </w:r>
      <w:r w:rsidRPr="005B0195">
        <w:t xml:space="preserve"> rates (eg. due to a marked increase of risks around a relapse into recession or of risks of deflation), then long term borrowings may be postponed and potential rescheduling from fixed rate funding into short term borrowing considered (where appropriate</w:t>
      </w:r>
      <w:r w:rsidR="001A1DD2" w:rsidRPr="005B0195">
        <w:t>).</w:t>
      </w:r>
    </w:p>
    <w:p w14:paraId="2E715F0B" w14:textId="185A0C17" w:rsidR="000D1131" w:rsidRPr="00867135" w:rsidRDefault="004D09CE" w:rsidP="00641B78">
      <w:pPr>
        <w:pStyle w:val="TMBullets"/>
      </w:pPr>
      <w:r w:rsidRPr="005B0195">
        <w:t xml:space="preserve">If it was felt that there was a significant risk of a much sharper </w:t>
      </w:r>
      <w:r w:rsidRPr="005B0195">
        <w:rPr>
          <w:u w:val="single"/>
        </w:rPr>
        <w:t>RISE</w:t>
      </w:r>
      <w:r w:rsidRPr="005B0195">
        <w:t xml:space="preserve"> of 25% or more in </w:t>
      </w:r>
      <w:r w:rsidR="001A1DD2" w:rsidRPr="005B0195">
        <w:t>long- and short-term</w:t>
      </w:r>
      <w:r w:rsidRPr="005B0195">
        <w:t xml:space="preserve"> rates than that currently forecast (eg. arising from an acceleration in the start date and rate of increase in central rates in the USA and UK) then the portfolio position will be re-appraised.  This may include drawing fixed rate funding whilst interest rates are lower than they are projected to be in the next few years.</w:t>
      </w:r>
    </w:p>
    <w:p w14:paraId="56AE3342" w14:textId="77777777" w:rsidR="004D09CE" w:rsidRPr="005B0195" w:rsidRDefault="004D09CE" w:rsidP="00BA6C7C">
      <w:pPr>
        <w:pStyle w:val="TM1"/>
      </w:pPr>
      <w:r w:rsidRPr="005B0195">
        <w:t>Prudential &amp; Treasury Indicators</w:t>
      </w:r>
    </w:p>
    <w:p w14:paraId="73F15812" w14:textId="7825AE2D" w:rsidR="004D09CE" w:rsidRPr="00D0562D" w:rsidRDefault="004D09CE" w:rsidP="00D74683">
      <w:pPr>
        <w:pStyle w:val="TM2"/>
      </w:pPr>
      <w:r w:rsidRPr="00D0562D">
        <w:t>There is a requirement under the Local Government Act 2003 for Authorities to have regard to CIPFA’s Prudential Code for Capital Finance in Local Authorities (the “CIPFA Prudential Code”) when setting and reviewing their Prudential Indicators. The Prudential Code was</w:t>
      </w:r>
      <w:r w:rsidR="006C55FA" w:rsidRPr="00D0562D">
        <w:t xml:space="preserve"> most</w:t>
      </w:r>
      <w:r w:rsidRPr="00D0562D">
        <w:t xml:space="preserve"> recently updated in 20</w:t>
      </w:r>
      <w:r w:rsidR="006C55FA" w:rsidRPr="00D0562D">
        <w:t>21.</w:t>
      </w:r>
    </w:p>
    <w:p w14:paraId="62C562AE" w14:textId="22E28500" w:rsidR="00671668" w:rsidRDefault="004D09CE" w:rsidP="00D74683">
      <w:pPr>
        <w:pStyle w:val="TM2"/>
      </w:pPr>
      <w:r w:rsidRPr="005B0195">
        <w:t>A full set of Prudential Indicators and Borrowing Limits are shown in Appendix 2.</w:t>
      </w:r>
    </w:p>
    <w:p w14:paraId="1FB12FF3" w14:textId="3D0E259A" w:rsidR="004D09CE" w:rsidRPr="005B0195" w:rsidRDefault="004D09CE" w:rsidP="00BA6C7C">
      <w:pPr>
        <w:pStyle w:val="TM1"/>
      </w:pPr>
      <w:r w:rsidRPr="005B0195">
        <w:t>Policy on Borrowing in Advance of Need</w:t>
      </w:r>
    </w:p>
    <w:p w14:paraId="6B893FA9" w14:textId="20704696" w:rsidR="004D09CE" w:rsidRDefault="004D09CE" w:rsidP="00D74683">
      <w:pPr>
        <w:pStyle w:val="TM2"/>
      </w:pPr>
      <w:r w:rsidRPr="005B0195">
        <w:t>The</w:t>
      </w:r>
      <w:r w:rsidR="0064222E" w:rsidRPr="005B0195">
        <w:t xml:space="preserve"> </w:t>
      </w:r>
      <w:r w:rsidR="00BD1B54">
        <w:t>NCFRA</w:t>
      </w:r>
      <w:r w:rsidRPr="005B0195">
        <w:t xml:space="preserve">’s policy is to keep cash balances as low as possible and not to borrow in advance of need for capital purposes, whilst ensuring that cash is available to make payments when they become due.  </w:t>
      </w:r>
      <w:r w:rsidR="000D1131" w:rsidRPr="000736E1">
        <w:t xml:space="preserve">However, this </w:t>
      </w:r>
      <w:r w:rsidR="000D1131">
        <w:t>policy may</w:t>
      </w:r>
      <w:r w:rsidR="000D1131" w:rsidRPr="000736E1">
        <w:t xml:space="preserve"> be reviewed should it be prudent to do so</w:t>
      </w:r>
      <w:r w:rsidR="000D1131">
        <w:t>, subject to support by the Chief Finance Officer.</w:t>
      </w:r>
    </w:p>
    <w:p w14:paraId="1F39A37D" w14:textId="77777777" w:rsidR="00934BBA" w:rsidRDefault="00934BBA" w:rsidP="00EE3D26">
      <w:pPr>
        <w:pStyle w:val="TM2"/>
        <w:numPr>
          <w:ilvl w:val="0"/>
          <w:numId w:val="0"/>
        </w:numPr>
        <w:ind w:left="709"/>
      </w:pPr>
    </w:p>
    <w:p w14:paraId="0B5C340E" w14:textId="77777777" w:rsidR="004D09CE" w:rsidRPr="005B0195" w:rsidRDefault="004D09CE" w:rsidP="00BA6C7C">
      <w:pPr>
        <w:pStyle w:val="TM1"/>
      </w:pPr>
      <w:r w:rsidRPr="00BA6C7C">
        <w:lastRenderedPageBreak/>
        <w:t>Debt</w:t>
      </w:r>
      <w:r w:rsidRPr="005B0195">
        <w:t xml:space="preserve"> Rescheduling</w:t>
      </w:r>
    </w:p>
    <w:p w14:paraId="6B45A1B9" w14:textId="0E50AB8E" w:rsidR="004D09CE" w:rsidRPr="005B0195" w:rsidRDefault="004D09CE" w:rsidP="00D74683">
      <w:pPr>
        <w:pStyle w:val="TM2"/>
      </w:pPr>
      <w:r w:rsidRPr="005B0195">
        <w:t>The</w:t>
      </w:r>
      <w:r w:rsidR="0064222E" w:rsidRPr="005B0195">
        <w:t xml:space="preserve"> </w:t>
      </w:r>
      <w:r w:rsidR="00BD1B54">
        <w:t>NCFRA</w:t>
      </w:r>
      <w:r w:rsidRPr="005B0195">
        <w:t xml:space="preserve"> may reschedule debt if it is prudent to do so.  The reasons for any rescheduling to take place may include: </w:t>
      </w:r>
    </w:p>
    <w:p w14:paraId="695A2F97" w14:textId="09B3DC22" w:rsidR="004D09CE" w:rsidRPr="005B0195" w:rsidRDefault="004D09CE" w:rsidP="00641B78">
      <w:pPr>
        <w:pStyle w:val="TMBullets"/>
      </w:pPr>
      <w:r w:rsidRPr="005B0195">
        <w:t>the generation of cash savings and/or discounted cash flow savings</w:t>
      </w:r>
      <w:r w:rsidR="00A52C37">
        <w:t>.</w:t>
      </w:r>
    </w:p>
    <w:p w14:paraId="43E09796" w14:textId="011CAE89" w:rsidR="004D09CE" w:rsidRPr="005B0195" w:rsidRDefault="004D09CE" w:rsidP="00641B78">
      <w:pPr>
        <w:pStyle w:val="TMBullets"/>
      </w:pPr>
      <w:r w:rsidRPr="005B0195">
        <w:t>helping to fulfil the treasury strategy</w:t>
      </w:r>
      <w:r w:rsidR="00A52C37">
        <w:t xml:space="preserve"> regarding the capitalised asset purchases.</w:t>
      </w:r>
    </w:p>
    <w:p w14:paraId="1A242644" w14:textId="0CCB5C06" w:rsidR="004D09CE" w:rsidRPr="005B0195" w:rsidRDefault="004D09CE" w:rsidP="00641B78">
      <w:pPr>
        <w:pStyle w:val="TMBullets"/>
      </w:pPr>
      <w:r w:rsidRPr="005B0195">
        <w:t>Enhance the balance of the portfolio (amend the maturity profile and/or the balance of volatility)</w:t>
      </w:r>
      <w:r w:rsidR="00A52C37">
        <w:t>.</w:t>
      </w:r>
    </w:p>
    <w:p w14:paraId="056ECF12" w14:textId="47D22FDE" w:rsidR="00A255EE" w:rsidRPr="00C23F12" w:rsidRDefault="004D09CE" w:rsidP="00D74683">
      <w:pPr>
        <w:pStyle w:val="TM2"/>
      </w:pPr>
      <w:r w:rsidRPr="005B0195">
        <w:t>Any rescheduling activity decision must be recommended by the Chief Finance Officer, and reported in the next Treasury Management report following its action.</w:t>
      </w:r>
    </w:p>
    <w:p w14:paraId="6D526AD7" w14:textId="097FC32A" w:rsidR="004D09CE" w:rsidRPr="005B0195" w:rsidRDefault="004D09CE" w:rsidP="00BA6C7C">
      <w:pPr>
        <w:pStyle w:val="TM1"/>
      </w:pPr>
      <w:r w:rsidRPr="005B0195">
        <w:t>Minimum Revenue Provision</w:t>
      </w:r>
    </w:p>
    <w:p w14:paraId="0DD9A7BB" w14:textId="658323D9" w:rsidR="004D09CE" w:rsidRPr="005B0195" w:rsidRDefault="004D09CE" w:rsidP="00D74683">
      <w:pPr>
        <w:pStyle w:val="TM2"/>
      </w:pPr>
      <w:r w:rsidRPr="005B0195">
        <w:t>The</w:t>
      </w:r>
      <w:r w:rsidR="0064222E" w:rsidRPr="005B0195">
        <w:t xml:space="preserve"> </w:t>
      </w:r>
      <w:r w:rsidR="00BD1B54">
        <w:t>NCFRA</w:t>
      </w:r>
      <w:r w:rsidRPr="005B0195">
        <w:t xml:space="preserve"> is required to repay annually an element of its outstanding capital expenditure which has not yet been paid for from either revenue or capital resources (the CFR).  This is achieved through a revenue charge known as the Minimum Revenue Provision (MRP).  It is also allowed to undertake additional voluntary payments (Voluntary Revenue Provision - VRP).</w:t>
      </w:r>
    </w:p>
    <w:p w14:paraId="78ACE8B5" w14:textId="46CAB4CD" w:rsidR="001A1DD2" w:rsidRPr="00867135" w:rsidRDefault="00934BBA" w:rsidP="00641B78">
      <w:pPr>
        <w:pStyle w:val="TM2"/>
      </w:pPr>
      <w:r>
        <w:t>MHCLG</w:t>
      </w:r>
      <w:r w:rsidR="004D09CE" w:rsidRPr="005B0195">
        <w:t xml:space="preserve"> </w:t>
      </w:r>
      <w:r>
        <w:t>(</w:t>
      </w:r>
      <w:r w:rsidRPr="00641B78">
        <w:t>previously</w:t>
      </w:r>
      <w:r>
        <w:t xml:space="preserve"> DLUHC) r</w:t>
      </w:r>
      <w:r w:rsidR="004D09CE" w:rsidRPr="005B0195">
        <w:t>egulations have been issued which requires the</w:t>
      </w:r>
      <w:r w:rsidR="0064222E" w:rsidRPr="005B0195">
        <w:t xml:space="preserve"> </w:t>
      </w:r>
      <w:r w:rsidR="00BD1B54">
        <w:t>NCFRA</w:t>
      </w:r>
      <w:r w:rsidR="004D09CE" w:rsidRPr="005B0195">
        <w:t xml:space="preserve"> to approve an MRP Statement in advance of each year.  A variety of options are provided so long as there is a prudent provision.  The</w:t>
      </w:r>
      <w:r w:rsidR="0064222E" w:rsidRPr="005B0195">
        <w:t xml:space="preserve"> </w:t>
      </w:r>
      <w:r w:rsidR="00BD1B54">
        <w:t>NCFRA</w:t>
      </w:r>
      <w:r w:rsidR="004D09CE" w:rsidRPr="005B0195">
        <w:t xml:space="preserve"> is recommended to approve the MRP Policy in Appendix 3 which sets out how MRP will be charged against particular asset types or other forms of capital expenditure.</w:t>
      </w:r>
    </w:p>
    <w:p w14:paraId="2C1172E4" w14:textId="77777777" w:rsidR="004D09CE" w:rsidRPr="005B0195" w:rsidRDefault="004D09CE" w:rsidP="00BA6C7C">
      <w:pPr>
        <w:pStyle w:val="TM1"/>
      </w:pPr>
      <w:r w:rsidRPr="005B0195">
        <w:t>Investment Strategy</w:t>
      </w:r>
    </w:p>
    <w:p w14:paraId="34714EE6" w14:textId="77777777" w:rsidR="004D09CE" w:rsidRPr="005B0195" w:rsidRDefault="004D09CE" w:rsidP="00D74683">
      <w:pPr>
        <w:pStyle w:val="TM2"/>
      </w:pPr>
      <w:r w:rsidRPr="005B0195">
        <w:t>Government guidance on Local Government Investments in England requires that an Annual Investment Strategy (AIS) be set.  The Guidance permits the Treasury Management Strategy Statement (TMSS) and the AIS to be combined into one document.</w:t>
      </w:r>
    </w:p>
    <w:p w14:paraId="79EC9EA0" w14:textId="3922C376" w:rsidR="004D09CE" w:rsidRPr="005B0195" w:rsidRDefault="004D09CE" w:rsidP="00D74683">
      <w:pPr>
        <w:pStyle w:val="TM2"/>
      </w:pPr>
      <w:r w:rsidRPr="005B0195">
        <w:t>The</w:t>
      </w:r>
      <w:r w:rsidR="0064222E" w:rsidRPr="005B0195">
        <w:t xml:space="preserve"> </w:t>
      </w:r>
      <w:r w:rsidR="00BD1B54">
        <w:t>NCFRA</w:t>
      </w:r>
      <w:r w:rsidRPr="005B0195">
        <w:t xml:space="preserve">’s general policy objective is to invest its surplus funds prudently. </w:t>
      </w:r>
      <w:r w:rsidR="000D1131">
        <w:t xml:space="preserve"> </w:t>
      </w:r>
      <w:r w:rsidRPr="005B0195">
        <w:t>As such the</w:t>
      </w:r>
      <w:r w:rsidR="0064222E" w:rsidRPr="005B0195">
        <w:t xml:space="preserve"> </w:t>
      </w:r>
      <w:r w:rsidR="00BD1B54">
        <w:t>NCFRA</w:t>
      </w:r>
      <w:r w:rsidRPr="005B0195">
        <w:t>’s investment priorities, in priority order, are:</w:t>
      </w:r>
    </w:p>
    <w:p w14:paraId="058E4E80" w14:textId="0E1E0C78" w:rsidR="004D09CE" w:rsidRPr="005B0195" w:rsidRDefault="004D09CE" w:rsidP="00641B78">
      <w:pPr>
        <w:pStyle w:val="TMBullets"/>
      </w:pPr>
      <w:r w:rsidRPr="005B0195">
        <w:t>Security of the invested capital</w:t>
      </w:r>
      <w:r w:rsidR="00A52C37">
        <w:t>.</w:t>
      </w:r>
    </w:p>
    <w:p w14:paraId="3F66270B" w14:textId="5485EE6E" w:rsidR="004D09CE" w:rsidRPr="005B0195" w:rsidRDefault="004D09CE" w:rsidP="00641B78">
      <w:pPr>
        <w:pStyle w:val="TMBullets"/>
      </w:pPr>
      <w:r w:rsidRPr="005B0195">
        <w:t>Liquidity of the invested capital</w:t>
      </w:r>
      <w:r w:rsidR="00A52C37">
        <w:t>.</w:t>
      </w:r>
    </w:p>
    <w:p w14:paraId="138767C5" w14:textId="35A34BBE" w:rsidR="00A52C37" w:rsidRDefault="004D09CE" w:rsidP="00641B78">
      <w:pPr>
        <w:pStyle w:val="TMBullets"/>
      </w:pPr>
      <w:r w:rsidRPr="005B0195">
        <w:t>Yield received from the investment</w:t>
      </w:r>
      <w:r w:rsidR="00A52C37">
        <w:t>.</w:t>
      </w:r>
    </w:p>
    <w:p w14:paraId="0EE1586F" w14:textId="3E33B613" w:rsidR="00BA6C7C" w:rsidRDefault="00BA6C7C" w:rsidP="00EE3D26">
      <w:pPr>
        <w:pStyle w:val="TM2"/>
      </w:pPr>
      <w:r>
        <w:t>The following graph demonstrates interest earned (cumulative) against the profiled budget</w:t>
      </w:r>
      <w:r w:rsidRPr="00C92911">
        <w:rPr>
          <w:rFonts w:eastAsia="Calibri"/>
        </w:rPr>
        <w:t xml:space="preserve">, </w:t>
      </w:r>
      <w:r>
        <w:rPr>
          <w:rFonts w:eastAsia="Calibri"/>
        </w:rPr>
        <w:t>projected</w:t>
      </w:r>
      <w:r w:rsidRPr="00C92911">
        <w:rPr>
          <w:rFonts w:eastAsia="Calibri"/>
        </w:rPr>
        <w:t xml:space="preserve"> to the end of the financial year</w:t>
      </w:r>
      <w:r>
        <w:rPr>
          <w:rFonts w:eastAsia="Calibri"/>
        </w:rPr>
        <w:t xml:space="preserve"> for 2024/25:</w:t>
      </w:r>
    </w:p>
    <w:p w14:paraId="760A6147" w14:textId="10F369B3" w:rsidR="00BA6C7C" w:rsidRDefault="00EA667E" w:rsidP="00EE3D26">
      <w:pPr>
        <w:pStyle w:val="TMBullets"/>
        <w:numPr>
          <w:ilvl w:val="0"/>
          <w:numId w:val="0"/>
        </w:numPr>
        <w:ind w:left="993" w:hanging="283"/>
      </w:pPr>
      <w:r>
        <w:rPr>
          <w:noProof/>
        </w:rPr>
        <w:lastRenderedPageBreak/>
        <w:drawing>
          <wp:inline distT="0" distB="0" distL="0" distR="0" wp14:anchorId="061CD20E" wp14:editId="78BE9CFE">
            <wp:extent cx="4456891" cy="3060000"/>
            <wp:effectExtent l="0" t="0" r="1270" b="7620"/>
            <wp:docPr id="1038858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6891" cy="3060000"/>
                    </a:xfrm>
                    <a:prstGeom prst="rect">
                      <a:avLst/>
                    </a:prstGeom>
                    <a:noFill/>
                  </pic:spPr>
                </pic:pic>
              </a:graphicData>
            </a:graphic>
          </wp:inline>
        </w:drawing>
      </w:r>
    </w:p>
    <w:p w14:paraId="6A9711CB" w14:textId="3D3803E8" w:rsidR="00DA50DD" w:rsidRDefault="00DA50DD" w:rsidP="00D74683">
      <w:pPr>
        <w:pStyle w:val="TM2"/>
      </w:pPr>
      <w:r w:rsidRPr="005B0195">
        <w:t>The</w:t>
      </w:r>
      <w:r w:rsidR="0064222E" w:rsidRPr="005B0195">
        <w:t xml:space="preserve"> </w:t>
      </w:r>
      <w:r w:rsidR="00BD1B54">
        <w:t>NCFRA</w:t>
      </w:r>
      <w:r w:rsidRPr="005B0195">
        <w:t xml:space="preserve"> expects to </w:t>
      </w:r>
      <w:r w:rsidR="004020CB">
        <w:t>i</w:t>
      </w:r>
      <w:r w:rsidRPr="005B0195">
        <w:t xml:space="preserve">nvest all surplus funding and is forecast over the medium term that interest rate returns are expected to increase. </w:t>
      </w:r>
      <w:r w:rsidR="00132CE6">
        <w:t xml:space="preserve"> </w:t>
      </w:r>
      <w:r w:rsidRPr="005B0195">
        <w:t>The average cash balances from those is expected to remain consistent with peaks in July following the receipt of grant income with reductions in available levels through to the end of each financial year.</w:t>
      </w:r>
      <w:r w:rsidR="00132CE6">
        <w:t xml:space="preserve"> </w:t>
      </w:r>
      <w:r w:rsidRPr="005B0195">
        <w:t xml:space="preserve"> </w:t>
      </w:r>
      <w:bookmarkStart w:id="4" w:name="_Hlk124257186"/>
      <w:r w:rsidR="004020CB">
        <w:t>An estimate of</w:t>
      </w:r>
      <w:r w:rsidRPr="005B0195">
        <w:t xml:space="preserve"> </w:t>
      </w:r>
      <w:r w:rsidR="00132CE6">
        <w:t>possible</w:t>
      </w:r>
      <w:r w:rsidRPr="005B0195">
        <w:t xml:space="preserve"> income is as follows</w:t>
      </w:r>
      <w:r w:rsidR="00132CE6">
        <w:t xml:space="preserve">, which is higher than the </w:t>
      </w:r>
      <w:r w:rsidR="00BD1B54">
        <w:t>NCFRA</w:t>
      </w:r>
      <w:r w:rsidR="00132CE6">
        <w:t xml:space="preserve">’s more prudent forecast in </w:t>
      </w:r>
      <w:r w:rsidR="00132CE6" w:rsidRPr="00DC2E17">
        <w:t>the medium term financial plan</w:t>
      </w:r>
      <w:r w:rsidR="00517369" w:rsidRPr="00DC2E17">
        <w:t>:</w:t>
      </w:r>
      <w:bookmarkEnd w:id="4"/>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A667E" w:rsidRPr="00EA667E" w14:paraId="2551D4C3" w14:textId="77777777" w:rsidTr="00EE3D26">
        <w:trPr>
          <w:trHeight w:val="1065"/>
        </w:trPr>
        <w:tc>
          <w:tcPr>
            <w:tcW w:w="2580" w:type="dxa"/>
            <w:tcBorders>
              <w:top w:val="single" w:sz="4" w:space="0" w:color="auto"/>
              <w:left w:val="single" w:sz="4" w:space="0" w:color="auto"/>
              <w:bottom w:val="single" w:sz="4" w:space="0" w:color="auto"/>
              <w:right w:val="single" w:sz="4" w:space="0" w:color="auto"/>
            </w:tcBorders>
            <w:shd w:val="clear" w:color="000000" w:fill="C00000"/>
            <w:hideMark/>
          </w:tcPr>
          <w:p w14:paraId="09D09B98"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 </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22EDC6D9"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2024-25</w:t>
            </w:r>
            <w:r w:rsidRPr="00EA667E">
              <w:rPr>
                <w:rFonts w:ascii="Calibri" w:eastAsia="Times New Roman" w:hAnsi="Calibri" w:cs="Calibri"/>
                <w:b/>
                <w:bCs/>
                <w:color w:val="FFFFFF"/>
                <w:sz w:val="16"/>
                <w:szCs w:val="16"/>
                <w:lang w:eastAsia="en-GB"/>
              </w:rPr>
              <w:br/>
              <w:t>Forecast</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16F24841"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2025-26</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67CA9BC9"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2026-27</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62C7545F"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2027-28</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13FC9F00"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2028-29</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5D6C7859"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2029-30</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r>
      <w:tr w:rsidR="00EA667E" w:rsidRPr="00EA667E" w14:paraId="4FA19621" w14:textId="77777777" w:rsidTr="00EE3D26">
        <w:trPr>
          <w:trHeight w:val="405"/>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F5BFBEE"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Interest Rate</w:t>
            </w:r>
          </w:p>
        </w:tc>
        <w:tc>
          <w:tcPr>
            <w:tcW w:w="980" w:type="dxa"/>
            <w:tcBorders>
              <w:top w:val="nil"/>
              <w:left w:val="nil"/>
              <w:bottom w:val="single" w:sz="4" w:space="0" w:color="auto"/>
              <w:right w:val="single" w:sz="4" w:space="0" w:color="auto"/>
            </w:tcBorders>
            <w:shd w:val="clear" w:color="000000" w:fill="FFFFFF"/>
            <w:noWrap/>
            <w:vAlign w:val="center"/>
            <w:hideMark/>
          </w:tcPr>
          <w:p w14:paraId="16DCB10E"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4.32%</w:t>
            </w:r>
          </w:p>
        </w:tc>
        <w:tc>
          <w:tcPr>
            <w:tcW w:w="980" w:type="dxa"/>
            <w:tcBorders>
              <w:top w:val="nil"/>
              <w:left w:val="nil"/>
              <w:bottom w:val="single" w:sz="4" w:space="0" w:color="auto"/>
              <w:right w:val="single" w:sz="4" w:space="0" w:color="auto"/>
            </w:tcBorders>
            <w:shd w:val="clear" w:color="000000" w:fill="FFFFFF"/>
            <w:noWrap/>
            <w:vAlign w:val="center"/>
            <w:hideMark/>
          </w:tcPr>
          <w:p w14:paraId="2B812687"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4.50%</w:t>
            </w:r>
          </w:p>
        </w:tc>
        <w:tc>
          <w:tcPr>
            <w:tcW w:w="980" w:type="dxa"/>
            <w:tcBorders>
              <w:top w:val="nil"/>
              <w:left w:val="nil"/>
              <w:bottom w:val="single" w:sz="4" w:space="0" w:color="auto"/>
              <w:right w:val="single" w:sz="4" w:space="0" w:color="auto"/>
            </w:tcBorders>
            <w:shd w:val="clear" w:color="000000" w:fill="FFFFFF"/>
            <w:noWrap/>
            <w:vAlign w:val="center"/>
            <w:hideMark/>
          </w:tcPr>
          <w:p w14:paraId="14AFC49D"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4.00%</w:t>
            </w:r>
          </w:p>
        </w:tc>
        <w:tc>
          <w:tcPr>
            <w:tcW w:w="980" w:type="dxa"/>
            <w:tcBorders>
              <w:top w:val="nil"/>
              <w:left w:val="nil"/>
              <w:bottom w:val="single" w:sz="4" w:space="0" w:color="auto"/>
              <w:right w:val="single" w:sz="4" w:space="0" w:color="auto"/>
            </w:tcBorders>
            <w:shd w:val="clear" w:color="000000" w:fill="FFFFFF"/>
            <w:noWrap/>
            <w:vAlign w:val="center"/>
            <w:hideMark/>
          </w:tcPr>
          <w:p w14:paraId="36167E06"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3.75%</w:t>
            </w:r>
          </w:p>
        </w:tc>
        <w:tc>
          <w:tcPr>
            <w:tcW w:w="980" w:type="dxa"/>
            <w:tcBorders>
              <w:top w:val="nil"/>
              <w:left w:val="nil"/>
              <w:bottom w:val="single" w:sz="4" w:space="0" w:color="auto"/>
              <w:right w:val="single" w:sz="4" w:space="0" w:color="auto"/>
            </w:tcBorders>
            <w:shd w:val="clear" w:color="000000" w:fill="FFFFFF"/>
            <w:noWrap/>
            <w:vAlign w:val="center"/>
            <w:hideMark/>
          </w:tcPr>
          <w:p w14:paraId="17ED6E7E"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3.75%</w:t>
            </w:r>
          </w:p>
        </w:tc>
        <w:tc>
          <w:tcPr>
            <w:tcW w:w="980" w:type="dxa"/>
            <w:tcBorders>
              <w:top w:val="nil"/>
              <w:left w:val="nil"/>
              <w:bottom w:val="single" w:sz="4" w:space="0" w:color="auto"/>
              <w:right w:val="single" w:sz="4" w:space="0" w:color="auto"/>
            </w:tcBorders>
            <w:shd w:val="clear" w:color="000000" w:fill="FFFFFF"/>
            <w:noWrap/>
            <w:vAlign w:val="center"/>
            <w:hideMark/>
          </w:tcPr>
          <w:p w14:paraId="0AB4A81A"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3.50%</w:t>
            </w:r>
          </w:p>
        </w:tc>
      </w:tr>
      <w:tr w:rsidR="00EA667E" w:rsidRPr="00EA667E" w14:paraId="537CC41C" w14:textId="77777777" w:rsidTr="00EE3D26">
        <w:trPr>
          <w:trHeight w:val="405"/>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05096208"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Average Investment balance</w:t>
            </w:r>
          </w:p>
        </w:tc>
        <w:tc>
          <w:tcPr>
            <w:tcW w:w="980" w:type="dxa"/>
            <w:tcBorders>
              <w:top w:val="nil"/>
              <w:left w:val="nil"/>
              <w:bottom w:val="single" w:sz="4" w:space="0" w:color="auto"/>
              <w:right w:val="single" w:sz="4" w:space="0" w:color="auto"/>
            </w:tcBorders>
            <w:shd w:val="clear" w:color="000000" w:fill="FFFFFF"/>
            <w:noWrap/>
            <w:vAlign w:val="center"/>
            <w:hideMark/>
          </w:tcPr>
          <w:p w14:paraId="540291EA" w14:textId="08A25CC3"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9,377 </w:t>
            </w:r>
          </w:p>
        </w:tc>
        <w:tc>
          <w:tcPr>
            <w:tcW w:w="980" w:type="dxa"/>
            <w:tcBorders>
              <w:top w:val="nil"/>
              <w:left w:val="nil"/>
              <w:bottom w:val="single" w:sz="4" w:space="0" w:color="auto"/>
              <w:right w:val="single" w:sz="4" w:space="0" w:color="auto"/>
            </w:tcBorders>
            <w:shd w:val="clear" w:color="000000" w:fill="FFFFFF"/>
            <w:noWrap/>
            <w:vAlign w:val="center"/>
            <w:hideMark/>
          </w:tcPr>
          <w:p w14:paraId="01A4A304" w14:textId="129B8D2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4,882 </w:t>
            </w:r>
          </w:p>
        </w:tc>
        <w:tc>
          <w:tcPr>
            <w:tcW w:w="980" w:type="dxa"/>
            <w:tcBorders>
              <w:top w:val="nil"/>
              <w:left w:val="nil"/>
              <w:bottom w:val="single" w:sz="4" w:space="0" w:color="auto"/>
              <w:right w:val="single" w:sz="4" w:space="0" w:color="auto"/>
            </w:tcBorders>
            <w:shd w:val="clear" w:color="000000" w:fill="FFFFFF"/>
            <w:noWrap/>
            <w:vAlign w:val="center"/>
            <w:hideMark/>
          </w:tcPr>
          <w:p w14:paraId="240E7E3D" w14:textId="6FDA3C42"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c>
          <w:tcPr>
            <w:tcW w:w="980" w:type="dxa"/>
            <w:tcBorders>
              <w:top w:val="nil"/>
              <w:left w:val="nil"/>
              <w:bottom w:val="single" w:sz="4" w:space="0" w:color="auto"/>
              <w:right w:val="single" w:sz="4" w:space="0" w:color="auto"/>
            </w:tcBorders>
            <w:shd w:val="clear" w:color="000000" w:fill="FFFFFF"/>
            <w:noWrap/>
            <w:vAlign w:val="center"/>
            <w:hideMark/>
          </w:tcPr>
          <w:p w14:paraId="5B0D9CF6" w14:textId="2AD15796"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c>
          <w:tcPr>
            <w:tcW w:w="980" w:type="dxa"/>
            <w:tcBorders>
              <w:top w:val="nil"/>
              <w:left w:val="nil"/>
              <w:bottom w:val="single" w:sz="4" w:space="0" w:color="auto"/>
              <w:right w:val="single" w:sz="4" w:space="0" w:color="auto"/>
            </w:tcBorders>
            <w:shd w:val="clear" w:color="000000" w:fill="FFFFFF"/>
            <w:noWrap/>
            <w:vAlign w:val="center"/>
            <w:hideMark/>
          </w:tcPr>
          <w:p w14:paraId="344B748E" w14:textId="40EAD430"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c>
          <w:tcPr>
            <w:tcW w:w="980" w:type="dxa"/>
            <w:tcBorders>
              <w:top w:val="nil"/>
              <w:left w:val="nil"/>
              <w:bottom w:val="single" w:sz="4" w:space="0" w:color="auto"/>
              <w:right w:val="single" w:sz="4" w:space="0" w:color="auto"/>
            </w:tcBorders>
            <w:shd w:val="clear" w:color="000000" w:fill="FFFFFF"/>
            <w:noWrap/>
            <w:vAlign w:val="center"/>
            <w:hideMark/>
          </w:tcPr>
          <w:p w14:paraId="4DC32C06" w14:textId="574F2A3C"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r>
      <w:tr w:rsidR="00EA667E" w:rsidRPr="00EA667E" w14:paraId="74E66D12" w14:textId="77777777" w:rsidTr="00EE3D26">
        <w:trPr>
          <w:trHeight w:val="405"/>
        </w:trPr>
        <w:tc>
          <w:tcPr>
            <w:tcW w:w="2580" w:type="dxa"/>
            <w:tcBorders>
              <w:top w:val="nil"/>
              <w:left w:val="single" w:sz="4" w:space="0" w:color="auto"/>
              <w:bottom w:val="single" w:sz="4" w:space="0" w:color="auto"/>
              <w:right w:val="single" w:sz="4" w:space="0" w:color="auto"/>
            </w:tcBorders>
            <w:shd w:val="clear" w:color="000000" w:fill="FFFFFF"/>
            <w:noWrap/>
            <w:vAlign w:val="center"/>
            <w:hideMark/>
          </w:tcPr>
          <w:p w14:paraId="747C4F85"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Forecast Income</w:t>
            </w:r>
          </w:p>
        </w:tc>
        <w:tc>
          <w:tcPr>
            <w:tcW w:w="980" w:type="dxa"/>
            <w:tcBorders>
              <w:top w:val="nil"/>
              <w:left w:val="nil"/>
              <w:bottom w:val="single" w:sz="4" w:space="0" w:color="auto"/>
              <w:right w:val="single" w:sz="4" w:space="0" w:color="auto"/>
            </w:tcBorders>
            <w:shd w:val="clear" w:color="000000" w:fill="FFFFFF"/>
            <w:noWrap/>
            <w:vAlign w:val="center"/>
            <w:hideMark/>
          </w:tcPr>
          <w:p w14:paraId="600389FD" w14:textId="7777777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405 </w:t>
            </w:r>
          </w:p>
        </w:tc>
        <w:tc>
          <w:tcPr>
            <w:tcW w:w="980" w:type="dxa"/>
            <w:tcBorders>
              <w:top w:val="nil"/>
              <w:left w:val="nil"/>
              <w:bottom w:val="single" w:sz="4" w:space="0" w:color="auto"/>
              <w:right w:val="single" w:sz="4" w:space="0" w:color="auto"/>
            </w:tcBorders>
            <w:shd w:val="clear" w:color="000000" w:fill="FFFFFF"/>
            <w:noWrap/>
            <w:vAlign w:val="center"/>
            <w:hideMark/>
          </w:tcPr>
          <w:p w14:paraId="02D1A5AD" w14:textId="7777777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220 </w:t>
            </w:r>
          </w:p>
        </w:tc>
        <w:tc>
          <w:tcPr>
            <w:tcW w:w="980" w:type="dxa"/>
            <w:tcBorders>
              <w:top w:val="nil"/>
              <w:left w:val="nil"/>
              <w:bottom w:val="single" w:sz="4" w:space="0" w:color="auto"/>
              <w:right w:val="single" w:sz="4" w:space="0" w:color="auto"/>
            </w:tcBorders>
            <w:shd w:val="clear" w:color="000000" w:fill="FFFFFF"/>
            <w:noWrap/>
            <w:vAlign w:val="center"/>
            <w:hideMark/>
          </w:tcPr>
          <w:p w14:paraId="3FCD8D81" w14:textId="7777777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80 </w:t>
            </w:r>
          </w:p>
        </w:tc>
        <w:tc>
          <w:tcPr>
            <w:tcW w:w="980" w:type="dxa"/>
            <w:tcBorders>
              <w:top w:val="nil"/>
              <w:left w:val="nil"/>
              <w:bottom w:val="single" w:sz="4" w:space="0" w:color="auto"/>
              <w:right w:val="single" w:sz="4" w:space="0" w:color="auto"/>
            </w:tcBorders>
            <w:shd w:val="clear" w:color="000000" w:fill="FFFFFF"/>
            <w:noWrap/>
            <w:vAlign w:val="center"/>
            <w:hideMark/>
          </w:tcPr>
          <w:p w14:paraId="4BBA556C" w14:textId="7777777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75 </w:t>
            </w:r>
          </w:p>
        </w:tc>
        <w:tc>
          <w:tcPr>
            <w:tcW w:w="980" w:type="dxa"/>
            <w:tcBorders>
              <w:top w:val="nil"/>
              <w:left w:val="nil"/>
              <w:bottom w:val="single" w:sz="4" w:space="0" w:color="auto"/>
              <w:right w:val="single" w:sz="4" w:space="0" w:color="auto"/>
            </w:tcBorders>
            <w:shd w:val="clear" w:color="000000" w:fill="FFFFFF"/>
            <w:noWrap/>
            <w:vAlign w:val="center"/>
            <w:hideMark/>
          </w:tcPr>
          <w:p w14:paraId="466BEC9F" w14:textId="7777777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75 </w:t>
            </w:r>
          </w:p>
        </w:tc>
        <w:tc>
          <w:tcPr>
            <w:tcW w:w="980" w:type="dxa"/>
            <w:tcBorders>
              <w:top w:val="nil"/>
              <w:left w:val="nil"/>
              <w:bottom w:val="single" w:sz="4" w:space="0" w:color="auto"/>
              <w:right w:val="single" w:sz="4" w:space="0" w:color="auto"/>
            </w:tcBorders>
            <w:shd w:val="clear" w:color="000000" w:fill="FFFFFF"/>
            <w:noWrap/>
            <w:vAlign w:val="center"/>
            <w:hideMark/>
          </w:tcPr>
          <w:p w14:paraId="3561682E" w14:textId="7777777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70 </w:t>
            </w:r>
          </w:p>
        </w:tc>
      </w:tr>
    </w:tbl>
    <w:p w14:paraId="1A5628A3" w14:textId="6C97E9DD" w:rsidR="00BA6C7C" w:rsidRDefault="00BA6C7C" w:rsidP="00BA6C7C">
      <w:pPr>
        <w:pStyle w:val="TM2"/>
      </w:pPr>
      <w:r>
        <w:t>The following graph demonstrates the forecast interest to be earned (cumulative) against the profiled budget for 2025/26 with the effect of borrowing in quarter 4 2025/26:</w:t>
      </w:r>
    </w:p>
    <w:p w14:paraId="7661B6B3" w14:textId="785E8502" w:rsidR="00BA6C7C" w:rsidRDefault="00EA667E" w:rsidP="00EE3D26">
      <w:pPr>
        <w:pStyle w:val="TMBullets"/>
        <w:numPr>
          <w:ilvl w:val="0"/>
          <w:numId w:val="0"/>
        </w:numPr>
        <w:ind w:left="993" w:hanging="283"/>
      </w:pPr>
      <w:r>
        <w:rPr>
          <w:noProof/>
        </w:rPr>
        <w:lastRenderedPageBreak/>
        <w:drawing>
          <wp:inline distT="0" distB="0" distL="0" distR="0" wp14:anchorId="7CFEA6AF" wp14:editId="3ECF48CC">
            <wp:extent cx="4401725" cy="3060000"/>
            <wp:effectExtent l="0" t="0" r="0" b="7620"/>
            <wp:docPr id="79991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1725" cy="3060000"/>
                    </a:xfrm>
                    <a:prstGeom prst="rect">
                      <a:avLst/>
                    </a:prstGeom>
                    <a:noFill/>
                  </pic:spPr>
                </pic:pic>
              </a:graphicData>
            </a:graphic>
          </wp:inline>
        </w:drawing>
      </w:r>
    </w:p>
    <w:p w14:paraId="6096D5A8" w14:textId="55620400" w:rsidR="004D09CE" w:rsidRPr="005B0195" w:rsidRDefault="004D09CE" w:rsidP="00D74683">
      <w:pPr>
        <w:pStyle w:val="TM2"/>
      </w:pPr>
      <w:r w:rsidRPr="005B0195">
        <w:t>The</w:t>
      </w:r>
      <w:r w:rsidR="0064222E" w:rsidRPr="005B0195">
        <w:t xml:space="preserve"> </w:t>
      </w:r>
      <w:r w:rsidR="00BD1B54">
        <w:t>NCFRA</w:t>
      </w:r>
      <w:r w:rsidRPr="005B0195">
        <w:t>’s Investment Strategy is shown in Appendix 4.</w:t>
      </w:r>
    </w:p>
    <w:p w14:paraId="158F7669" w14:textId="765C87F8" w:rsidR="004D09CE" w:rsidRPr="005B0195" w:rsidRDefault="004D09CE" w:rsidP="00BA6C7C">
      <w:pPr>
        <w:pStyle w:val="TM1"/>
      </w:pPr>
      <w:r w:rsidRPr="005B0195">
        <w:t>Risk Analysis and Forecast Sensitivity</w:t>
      </w:r>
    </w:p>
    <w:p w14:paraId="3BBE4E98"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Risk Management</w:t>
      </w:r>
    </w:p>
    <w:p w14:paraId="0ED9FCC1" w14:textId="3C1EE9F3" w:rsidR="004D09CE" w:rsidRPr="005B0195" w:rsidRDefault="004D09CE" w:rsidP="00D74683">
      <w:pPr>
        <w:pStyle w:val="TM2"/>
      </w:pPr>
      <w:r w:rsidRPr="005B0195">
        <w:t>The</w:t>
      </w:r>
      <w:r w:rsidR="0064222E" w:rsidRPr="005B0195">
        <w:t xml:space="preserve"> </w:t>
      </w:r>
      <w:r w:rsidR="00BD1B54">
        <w:t>NCFRA</w:t>
      </w:r>
      <w:r w:rsidRPr="005B0195">
        <w:t xml:space="preserve"> regards the successful identification, monitoring and control of risk to be the prime criteria by which the effectiveness of its treasury management activities will be measured.  Treasury management risks are identified in the</w:t>
      </w:r>
      <w:r w:rsidR="0064222E" w:rsidRPr="005B0195">
        <w:t xml:space="preserve"> </w:t>
      </w:r>
      <w:r w:rsidR="00BD1B54">
        <w:t>NCFRA</w:t>
      </w:r>
      <w:r w:rsidRPr="005B0195">
        <w:t>’s approved Treasury Management Practices.</w:t>
      </w:r>
    </w:p>
    <w:p w14:paraId="3977964E" w14:textId="0901D0B2" w:rsidR="004D09CE" w:rsidRPr="005B0195" w:rsidRDefault="004D09CE" w:rsidP="00D74683">
      <w:pPr>
        <w:pStyle w:val="TM2"/>
      </w:pPr>
      <w:r w:rsidRPr="005B0195">
        <w:t xml:space="preserve">The </w:t>
      </w:r>
      <w:r w:rsidR="000D1131" w:rsidRPr="000736E1">
        <w:t xml:space="preserve">Schedule of Treasury Management Practices </w:t>
      </w:r>
      <w:r w:rsidRPr="005B0195">
        <w:t>set out the ways in which the</w:t>
      </w:r>
      <w:r w:rsidR="0064222E" w:rsidRPr="005B0195">
        <w:t xml:space="preserve"> </w:t>
      </w:r>
      <w:r w:rsidR="00BD1B54">
        <w:t>NCFRA</w:t>
      </w:r>
      <w:r w:rsidRPr="005B0195">
        <w:t xml:space="preserve"> seeks to mitigate these risks.  Examples are the segregation of duties (to counter fraud, error and corruption), and the use of creditworthiness criteria and counterparty limits (to minimise credit and counterparty risk).  Officers will monitor these risks closely. </w:t>
      </w:r>
    </w:p>
    <w:p w14:paraId="3BCDFAFD"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Sensitivity of the Forecast</w:t>
      </w:r>
    </w:p>
    <w:p w14:paraId="68228EC7" w14:textId="25AFDFBC" w:rsidR="004D09CE" w:rsidRPr="005B0195" w:rsidRDefault="004D09CE" w:rsidP="00D74683">
      <w:pPr>
        <w:pStyle w:val="TM2"/>
      </w:pPr>
      <w:r w:rsidRPr="005B0195">
        <w:t xml:space="preserve">The sensitivity of the forecast is linked primarily to movements in interest rates and in cash balances, both of which can be volatile. </w:t>
      </w:r>
      <w:r w:rsidR="00A52C37">
        <w:t xml:space="preserve"> </w:t>
      </w:r>
      <w:r w:rsidRPr="005B0195">
        <w:t>Interest rates in particular are subject to global external influences over which the</w:t>
      </w:r>
      <w:r w:rsidR="0064222E" w:rsidRPr="005B0195">
        <w:t xml:space="preserve"> </w:t>
      </w:r>
      <w:r w:rsidR="00BD1B54">
        <w:t>NCFRA</w:t>
      </w:r>
      <w:r w:rsidRPr="005B0195">
        <w:t xml:space="preserve"> has no control.</w:t>
      </w:r>
    </w:p>
    <w:p w14:paraId="17515888" w14:textId="2412EE9F" w:rsidR="00E5679B" w:rsidRDefault="004D09CE" w:rsidP="00EE3D26">
      <w:pPr>
        <w:pStyle w:val="TM2"/>
        <w:numPr>
          <w:ilvl w:val="0"/>
          <w:numId w:val="0"/>
        </w:numPr>
        <w:ind w:left="709"/>
      </w:pPr>
      <w:r w:rsidRPr="005B0195">
        <w:t>Both interest rates and cash balances will be monitored closely throughout the year and potential impacts on the</w:t>
      </w:r>
      <w:r w:rsidR="0064222E" w:rsidRPr="005B0195">
        <w:t xml:space="preserve"> </w:t>
      </w:r>
      <w:r w:rsidR="00BD1B54">
        <w:t>NCFRA</w:t>
      </w:r>
      <w:r w:rsidRPr="005B0195">
        <w:t>’s debt financing budget will be assessed.</w:t>
      </w:r>
      <w:r w:rsidR="00BA6C7C">
        <w:t xml:space="preserve"> </w:t>
      </w:r>
      <w:r w:rsidRPr="005B0195">
        <w:t xml:space="preserve"> Action will be taken as appropriate, within the limits of the TMP Schedules and the treasury strategy, and in line with the</w:t>
      </w:r>
      <w:r w:rsidR="0064222E" w:rsidRPr="005B0195">
        <w:t xml:space="preserve"> </w:t>
      </w:r>
      <w:r w:rsidR="00BD1B54">
        <w:t>NCFRA</w:t>
      </w:r>
      <w:r w:rsidRPr="005B0195">
        <w:t xml:space="preserve">’s risk appetite, to keep negative variations to a minimum. </w:t>
      </w:r>
      <w:r w:rsidR="00BA6C7C">
        <w:t xml:space="preserve"> </w:t>
      </w:r>
      <w:r w:rsidRPr="005B0195">
        <w:t>Any significant variations will be reported in the next available Treasury Management report.</w:t>
      </w:r>
    </w:p>
    <w:p w14:paraId="7600C859" w14:textId="77777777" w:rsidR="00BA6C7C" w:rsidRDefault="00BA6C7C" w:rsidP="00EE3D26">
      <w:pPr>
        <w:pStyle w:val="TM2"/>
        <w:numPr>
          <w:ilvl w:val="0"/>
          <w:numId w:val="0"/>
        </w:numPr>
        <w:ind w:left="709"/>
      </w:pPr>
    </w:p>
    <w:p w14:paraId="1E5F057F" w14:textId="77777777" w:rsidR="004D09CE" w:rsidRPr="00BA6C7C" w:rsidRDefault="004D09CE" w:rsidP="00EE3D26">
      <w:pPr>
        <w:pStyle w:val="TM1"/>
      </w:pPr>
      <w:r w:rsidRPr="00BA6C7C">
        <w:lastRenderedPageBreak/>
        <w:t>Capital Strategy</w:t>
      </w:r>
    </w:p>
    <w:p w14:paraId="3E629322" w14:textId="48363284" w:rsidR="004D09CE" w:rsidRPr="005B0195" w:rsidRDefault="004D09CE" w:rsidP="00D74683">
      <w:pPr>
        <w:pStyle w:val="TM2"/>
      </w:pPr>
      <w:r w:rsidRPr="005B0195">
        <w:t>CIPFA’s revised 20</w:t>
      </w:r>
      <w:r w:rsidR="004568D7">
        <w:t>21</w:t>
      </w:r>
      <w:r w:rsidRPr="005B0195">
        <w:t xml:space="preserve"> Prudential and Treasury Management Codes requires all</w:t>
      </w:r>
      <w:r w:rsidR="0064222E" w:rsidRPr="005B0195">
        <w:t xml:space="preserve"> </w:t>
      </w:r>
      <w:r w:rsidR="00517369" w:rsidRPr="005B0195">
        <w:t>local authorities</w:t>
      </w:r>
      <w:r w:rsidRPr="005B0195">
        <w:t xml:space="preserve">, </w:t>
      </w:r>
      <w:r w:rsidR="00AE6A32" w:rsidRPr="005B0195">
        <w:t>to have in place</w:t>
      </w:r>
      <w:r w:rsidR="004A6B38" w:rsidRPr="005B0195">
        <w:t xml:space="preserve"> </w:t>
      </w:r>
      <w:r w:rsidR="00AE6A32" w:rsidRPr="005B0195">
        <w:t xml:space="preserve">a </w:t>
      </w:r>
      <w:r w:rsidR="004A6B38" w:rsidRPr="005B0195">
        <w:t>C</w:t>
      </w:r>
      <w:r w:rsidRPr="005B0195">
        <w:t xml:space="preserve">apital </w:t>
      </w:r>
      <w:r w:rsidR="004A6B38" w:rsidRPr="005B0195">
        <w:t>S</w:t>
      </w:r>
      <w:r w:rsidRPr="005B0195">
        <w:t>trategy, which will provide the following:</w:t>
      </w:r>
    </w:p>
    <w:p w14:paraId="66B34974" w14:textId="05590063" w:rsidR="004D09CE" w:rsidRPr="005B0195" w:rsidRDefault="004D09CE" w:rsidP="00641B78">
      <w:pPr>
        <w:pStyle w:val="TMBullets"/>
      </w:pPr>
      <w:r w:rsidRPr="005B0195">
        <w:t xml:space="preserve">a high-level </w:t>
      </w:r>
      <w:r w:rsidR="0038122C" w:rsidRPr="005B0195">
        <w:t>long-term</w:t>
      </w:r>
      <w:r w:rsidRPr="005B0195">
        <w:t xml:space="preserve"> overview of how capital expenditure, capital financing and treasury management activity contribute to the provision of services</w:t>
      </w:r>
      <w:r w:rsidR="00A52C37">
        <w:t>.</w:t>
      </w:r>
    </w:p>
    <w:p w14:paraId="0715D9A3" w14:textId="0C7C521B" w:rsidR="004D09CE" w:rsidRPr="005B0195" w:rsidRDefault="004D09CE" w:rsidP="00641B78">
      <w:pPr>
        <w:pStyle w:val="TMBullets"/>
      </w:pPr>
      <w:r w:rsidRPr="005B0195">
        <w:t>an overview of how the associated risk is managed</w:t>
      </w:r>
      <w:r w:rsidR="00A52C37">
        <w:t>.</w:t>
      </w:r>
    </w:p>
    <w:p w14:paraId="6C4AE44E" w14:textId="3971F178" w:rsidR="004D09CE" w:rsidRPr="005B0195" w:rsidRDefault="004D09CE" w:rsidP="00641B78">
      <w:pPr>
        <w:pStyle w:val="TMBullets"/>
      </w:pPr>
      <w:r w:rsidRPr="005B0195">
        <w:t>the implications for future financial sustainability</w:t>
      </w:r>
      <w:r w:rsidR="00A52C37">
        <w:t>.</w:t>
      </w:r>
    </w:p>
    <w:p w14:paraId="102576FB" w14:textId="77777777" w:rsidR="004D09CE" w:rsidRPr="005B0195" w:rsidRDefault="004D09CE" w:rsidP="004D09CE">
      <w:pPr>
        <w:ind w:left="709"/>
        <w:jc w:val="both"/>
        <w:rPr>
          <w:rFonts w:ascii="Calibri" w:eastAsia="Times New Roman" w:hAnsi="Calibri" w:cs="Calibri"/>
          <w:bCs/>
        </w:rPr>
      </w:pPr>
    </w:p>
    <w:p w14:paraId="08522B5E" w14:textId="6E34C7B5" w:rsidR="004D09CE" w:rsidRPr="005B0195" w:rsidRDefault="004D09CE" w:rsidP="00D74683">
      <w:pPr>
        <w:pStyle w:val="TM2"/>
      </w:pPr>
      <w:r w:rsidRPr="005B0195">
        <w:t xml:space="preserve">The aim of this </w:t>
      </w:r>
      <w:r w:rsidR="004A6B38" w:rsidRPr="005B0195">
        <w:t>C</w:t>
      </w:r>
      <w:r w:rsidRPr="005B0195">
        <w:t xml:space="preserve">apital </w:t>
      </w:r>
      <w:r w:rsidR="004A6B38" w:rsidRPr="005B0195">
        <w:t>S</w:t>
      </w:r>
      <w:r w:rsidRPr="005B0195">
        <w:t>trategy is to ensure a full understanding of the overall long-term policy objectives and resulting capital strategy requirements, governance procedures and risk appetite.</w:t>
      </w:r>
    </w:p>
    <w:p w14:paraId="1B06349A" w14:textId="7378BF60" w:rsidR="00F86814" w:rsidRPr="005B0195" w:rsidRDefault="00AE6A32" w:rsidP="00D74683">
      <w:pPr>
        <w:pStyle w:val="TM2"/>
      </w:pPr>
      <w:r w:rsidRPr="005B0195">
        <w:t>NCFRA publish</w:t>
      </w:r>
      <w:r w:rsidR="00BA6C7C">
        <w:t>es a</w:t>
      </w:r>
      <w:r w:rsidRPr="005B0195">
        <w:t xml:space="preserve"> Capital Strategy which </w:t>
      </w:r>
      <w:r w:rsidR="004A6B38" w:rsidRPr="005B0195">
        <w:t xml:space="preserve">is </w:t>
      </w:r>
      <w:r w:rsidRPr="005B0195">
        <w:t xml:space="preserve">aligned to the Police, Fire and </w:t>
      </w:r>
      <w:r w:rsidR="00BA6C7C">
        <w:t>Crime</w:t>
      </w:r>
      <w:r w:rsidR="00BA6C7C" w:rsidRPr="005B0195">
        <w:t xml:space="preserve"> </w:t>
      </w:r>
      <w:r w:rsidRPr="005B0195">
        <w:t xml:space="preserve">Plan. </w:t>
      </w:r>
      <w:r w:rsidR="00F86B44" w:rsidRPr="005B0195">
        <w:t xml:space="preserve"> </w:t>
      </w:r>
      <w:bookmarkStart w:id="5" w:name="_Hlk122360816"/>
      <w:r w:rsidRPr="005B0195">
        <w:t xml:space="preserve">The </w:t>
      </w:r>
      <w:r w:rsidR="00287EDE" w:rsidRPr="005B0195">
        <w:t>C</w:t>
      </w:r>
      <w:r w:rsidRPr="005B0195">
        <w:t xml:space="preserve">apital </w:t>
      </w:r>
      <w:r w:rsidR="00287EDE" w:rsidRPr="005B0195">
        <w:t>S</w:t>
      </w:r>
      <w:r w:rsidRPr="005B0195">
        <w:t xml:space="preserve">trategy will be reviewed and updated in line with the new Police, Fire and Crime Plan </w:t>
      </w:r>
      <w:r w:rsidR="0065576B">
        <w:t>for</w:t>
      </w:r>
      <w:r w:rsidRPr="005B0195">
        <w:t xml:space="preserve"> </w:t>
      </w:r>
      <w:r w:rsidR="004568D7">
        <w:t>2025/26.</w:t>
      </w:r>
    </w:p>
    <w:bookmarkEnd w:id="5"/>
    <w:p w14:paraId="535660C1" w14:textId="4BE0AEB0" w:rsidR="004D09CE" w:rsidRPr="005B0195" w:rsidRDefault="00F86814" w:rsidP="00BA6C7C">
      <w:pPr>
        <w:pStyle w:val="TM1"/>
      </w:pPr>
      <w:r w:rsidRPr="005B0195">
        <w:t>Trea</w:t>
      </w:r>
      <w:r w:rsidR="004D09CE" w:rsidRPr="005B0195">
        <w:t>sury Management Reporting</w:t>
      </w:r>
    </w:p>
    <w:p w14:paraId="33CAC161" w14:textId="08846FD7" w:rsidR="004D09CE" w:rsidRPr="005B0195" w:rsidRDefault="00AE6A32" w:rsidP="00D74683">
      <w:pPr>
        <w:pStyle w:val="TM2"/>
      </w:pPr>
      <w:r w:rsidRPr="005B0195">
        <w:t>The PFCC receives two treasury reports as a minimum each year, with a mid</w:t>
      </w:r>
      <w:r w:rsidR="004A6B38" w:rsidRPr="005B0195">
        <w:t>-</w:t>
      </w:r>
      <w:r w:rsidRPr="005B0195">
        <w:t>year update as and when appropriate</w:t>
      </w:r>
      <w:r w:rsidR="004D09CE" w:rsidRPr="005B0195">
        <w:t>, which incorporate a variety of policies, estimates and actuals:</w:t>
      </w:r>
    </w:p>
    <w:p w14:paraId="046963FC" w14:textId="2C29C9B5" w:rsidR="004D09CE" w:rsidRPr="00EE3D26" w:rsidRDefault="004D09CE" w:rsidP="00F0151B">
      <w:pPr>
        <w:pStyle w:val="ListParagraph"/>
        <w:numPr>
          <w:ilvl w:val="0"/>
          <w:numId w:val="10"/>
        </w:numPr>
        <w:spacing w:after="0" w:line="240" w:lineRule="auto"/>
        <w:ind w:hanging="371"/>
        <w:jc w:val="both"/>
        <w:rPr>
          <w:rFonts w:ascii="Calibri" w:eastAsia="Times New Roman" w:hAnsi="Calibri" w:cs="Calibri"/>
          <w:sz w:val="24"/>
          <w:szCs w:val="24"/>
        </w:rPr>
      </w:pPr>
      <w:r w:rsidRPr="005B0195">
        <w:rPr>
          <w:rFonts w:ascii="Calibri" w:eastAsia="Times New Roman" w:hAnsi="Calibri" w:cs="Calibri"/>
          <w:b/>
          <w:bCs/>
          <w:sz w:val="24"/>
          <w:szCs w:val="24"/>
        </w:rPr>
        <w:t xml:space="preserve">Treasury Management Strategy and Prudential and Treasury Indicators </w:t>
      </w:r>
      <w:r w:rsidRPr="00EE3D26">
        <w:rPr>
          <w:rFonts w:ascii="Calibri" w:eastAsia="Times New Roman" w:hAnsi="Calibri" w:cs="Calibri"/>
          <w:sz w:val="24"/>
          <w:szCs w:val="24"/>
        </w:rPr>
        <w:t>(this report</w:t>
      </w:r>
      <w:r w:rsidR="00AE6A32" w:rsidRPr="00EE3D26">
        <w:rPr>
          <w:rFonts w:ascii="Calibri" w:eastAsia="Times New Roman" w:hAnsi="Calibri" w:cs="Calibri"/>
          <w:sz w:val="24"/>
          <w:szCs w:val="24"/>
        </w:rPr>
        <w:t xml:space="preserve"> – essential report</w:t>
      </w:r>
      <w:r w:rsidRPr="00EE3D26">
        <w:rPr>
          <w:rFonts w:ascii="Calibri" w:eastAsia="Times New Roman" w:hAnsi="Calibri" w:cs="Calibri"/>
          <w:sz w:val="24"/>
          <w:szCs w:val="24"/>
        </w:rPr>
        <w:t>)</w:t>
      </w:r>
    </w:p>
    <w:p w14:paraId="5A2D616F" w14:textId="77777777" w:rsidR="004D09CE" w:rsidRPr="005B0195" w:rsidRDefault="004D09CE" w:rsidP="00F0151B">
      <w:pPr>
        <w:pStyle w:val="ListParagraph"/>
        <w:spacing w:after="0" w:line="240" w:lineRule="auto"/>
        <w:ind w:left="1080" w:hanging="371"/>
        <w:jc w:val="both"/>
        <w:rPr>
          <w:rFonts w:ascii="Calibri" w:eastAsia="Times New Roman" w:hAnsi="Calibri" w:cs="Calibri"/>
          <w:b/>
          <w:bCs/>
          <w:sz w:val="24"/>
          <w:szCs w:val="24"/>
        </w:rPr>
      </w:pPr>
    </w:p>
    <w:p w14:paraId="19FFC395" w14:textId="54BCD086" w:rsidR="004D09CE" w:rsidRPr="005B0195" w:rsidRDefault="004D09CE" w:rsidP="00F0151B">
      <w:pPr>
        <w:pStyle w:val="ListParagraph"/>
        <w:spacing w:after="0" w:line="240" w:lineRule="auto"/>
        <w:ind w:left="1080" w:hanging="371"/>
        <w:jc w:val="both"/>
        <w:rPr>
          <w:rFonts w:ascii="Calibri" w:eastAsia="Times New Roman" w:hAnsi="Calibri" w:cs="Calibri"/>
          <w:b/>
          <w:bCs/>
          <w:sz w:val="24"/>
          <w:szCs w:val="24"/>
        </w:rPr>
      </w:pPr>
      <w:r w:rsidRPr="005B0195">
        <w:rPr>
          <w:rFonts w:ascii="Calibri" w:eastAsia="Times New Roman" w:hAnsi="Calibri" w:cs="Calibri"/>
          <w:bCs/>
          <w:sz w:val="24"/>
          <w:szCs w:val="24"/>
        </w:rPr>
        <w:t>Th</w:t>
      </w:r>
      <w:r w:rsidR="0065576B">
        <w:rPr>
          <w:rFonts w:ascii="Calibri" w:eastAsia="Times New Roman" w:hAnsi="Calibri" w:cs="Calibri"/>
          <w:bCs/>
          <w:sz w:val="24"/>
          <w:szCs w:val="24"/>
        </w:rPr>
        <w:t xml:space="preserve">is </w:t>
      </w:r>
      <w:r w:rsidRPr="005B0195">
        <w:rPr>
          <w:rFonts w:ascii="Calibri" w:eastAsia="Times New Roman" w:hAnsi="Calibri" w:cs="Calibri"/>
          <w:bCs/>
          <w:sz w:val="24"/>
          <w:szCs w:val="24"/>
        </w:rPr>
        <w:t>report is forward</w:t>
      </w:r>
      <w:r w:rsidR="00F0151B" w:rsidRPr="005B0195">
        <w:rPr>
          <w:rFonts w:ascii="Calibri" w:eastAsia="Times New Roman" w:hAnsi="Calibri" w:cs="Calibri"/>
          <w:bCs/>
          <w:sz w:val="24"/>
          <w:szCs w:val="24"/>
        </w:rPr>
        <w:t>-</w:t>
      </w:r>
      <w:r w:rsidRPr="005B0195">
        <w:rPr>
          <w:rFonts w:ascii="Calibri" w:eastAsia="Times New Roman" w:hAnsi="Calibri" w:cs="Calibri"/>
          <w:bCs/>
          <w:sz w:val="24"/>
          <w:szCs w:val="24"/>
        </w:rPr>
        <w:t>looking and covers:</w:t>
      </w:r>
    </w:p>
    <w:p w14:paraId="03FEDFF5" w14:textId="519C6FE6" w:rsidR="004D09CE" w:rsidRPr="005B0195" w:rsidRDefault="004D09CE" w:rsidP="00EE3D26">
      <w:pPr>
        <w:pStyle w:val="TMBullets"/>
      </w:pPr>
      <w:r w:rsidRPr="005B0195">
        <w:t>the capital plans (including prudential indicators)</w:t>
      </w:r>
    </w:p>
    <w:p w14:paraId="63E26FA7" w14:textId="5C13EE12" w:rsidR="004D09CE" w:rsidRPr="005B0195" w:rsidRDefault="004D09CE" w:rsidP="00EE3D26">
      <w:pPr>
        <w:pStyle w:val="TMBullets"/>
      </w:pPr>
      <w:r w:rsidRPr="005B0195">
        <w:t xml:space="preserve">a </w:t>
      </w:r>
      <w:r w:rsidR="00A52C37">
        <w:t>M</w:t>
      </w:r>
      <w:r w:rsidRPr="005B0195">
        <w:t xml:space="preserve">inimum </w:t>
      </w:r>
      <w:r w:rsidR="00A52C37">
        <w:t>R</w:t>
      </w:r>
      <w:r w:rsidRPr="005B0195">
        <w:t xml:space="preserve">evenue </w:t>
      </w:r>
      <w:r w:rsidR="00A52C37">
        <w:t>P</w:t>
      </w:r>
      <w:r w:rsidRPr="005B0195">
        <w:t>rovision (MRP) policy (how residual capital expenditure is charged to revenue over time)</w:t>
      </w:r>
    </w:p>
    <w:p w14:paraId="00E2359C" w14:textId="7A52C7CC" w:rsidR="004D09CE" w:rsidRPr="005B0195" w:rsidRDefault="004D09CE" w:rsidP="00EE3D26">
      <w:pPr>
        <w:pStyle w:val="TMBullets"/>
      </w:pPr>
      <w:r w:rsidRPr="005B0195">
        <w:t xml:space="preserve">the </w:t>
      </w:r>
      <w:r w:rsidR="00A52C37">
        <w:t>T</w:t>
      </w:r>
      <w:r w:rsidRPr="005B0195">
        <w:t xml:space="preserve">reasury </w:t>
      </w:r>
      <w:r w:rsidR="00A52C37">
        <w:t>M</w:t>
      </w:r>
      <w:r w:rsidRPr="005B0195">
        <w:t xml:space="preserve">anagement </w:t>
      </w:r>
      <w:r w:rsidR="00A52C37">
        <w:t>S</w:t>
      </w:r>
      <w:r w:rsidRPr="005B0195">
        <w:t xml:space="preserve">trategy, (how the investments and borrowings are to be organised), including treasury </w:t>
      </w:r>
      <w:r w:rsidR="0038122C" w:rsidRPr="005B0195">
        <w:t>indicators.</w:t>
      </w:r>
    </w:p>
    <w:p w14:paraId="1AE54EFC" w14:textId="6A3AA021" w:rsidR="00671668" w:rsidRDefault="004D09CE" w:rsidP="00EE3D26">
      <w:pPr>
        <w:pStyle w:val="TMBullets"/>
      </w:pPr>
      <w:r w:rsidRPr="005B0195">
        <w:t xml:space="preserve">an </w:t>
      </w:r>
      <w:r w:rsidR="00A52C37">
        <w:t>I</w:t>
      </w:r>
      <w:r w:rsidRPr="005B0195">
        <w:t xml:space="preserve">nvestment </w:t>
      </w:r>
      <w:r w:rsidR="00A52C37">
        <w:t>S</w:t>
      </w:r>
      <w:r w:rsidRPr="005B0195">
        <w:t>trategy, (the parameters on how investments are to be managed)</w:t>
      </w:r>
    </w:p>
    <w:p w14:paraId="78DE331B" w14:textId="77777777" w:rsidR="0065576B" w:rsidRPr="005B0195" w:rsidRDefault="0065576B" w:rsidP="00641B78">
      <w:pPr>
        <w:pStyle w:val="TMBullets"/>
        <w:numPr>
          <w:ilvl w:val="0"/>
          <w:numId w:val="0"/>
        </w:numPr>
        <w:ind w:left="1080"/>
      </w:pPr>
    </w:p>
    <w:p w14:paraId="7B549E50" w14:textId="3E8E1916" w:rsidR="004D09CE" w:rsidRPr="005B0195" w:rsidRDefault="004D09CE" w:rsidP="00F0151B">
      <w:pPr>
        <w:pStyle w:val="ListParagraph"/>
        <w:numPr>
          <w:ilvl w:val="0"/>
          <w:numId w:val="10"/>
        </w:numPr>
        <w:spacing w:after="0" w:line="240" w:lineRule="auto"/>
        <w:ind w:hanging="371"/>
        <w:jc w:val="both"/>
        <w:rPr>
          <w:rFonts w:ascii="Calibri" w:eastAsia="Times New Roman" w:hAnsi="Calibri" w:cs="Calibri"/>
          <w:bCs/>
          <w:sz w:val="24"/>
          <w:szCs w:val="24"/>
        </w:rPr>
      </w:pPr>
      <w:r w:rsidRPr="005B0195">
        <w:rPr>
          <w:rFonts w:ascii="Calibri" w:eastAsia="Times New Roman" w:hAnsi="Calibri" w:cs="Calibri"/>
          <w:b/>
          <w:bCs/>
          <w:sz w:val="24"/>
          <w:szCs w:val="24"/>
        </w:rPr>
        <w:t>A mid-year treasury management report</w:t>
      </w:r>
      <w:r w:rsidRPr="005B0195">
        <w:rPr>
          <w:rFonts w:ascii="Calibri" w:eastAsia="Times New Roman" w:hAnsi="Calibri" w:cs="Calibri"/>
          <w:bCs/>
          <w:sz w:val="24"/>
          <w:szCs w:val="24"/>
        </w:rPr>
        <w:t xml:space="preserve"> </w:t>
      </w:r>
      <w:r w:rsidR="00AE6A32" w:rsidRPr="005B0195">
        <w:rPr>
          <w:rFonts w:ascii="Calibri" w:eastAsia="Times New Roman" w:hAnsi="Calibri" w:cs="Calibri"/>
          <w:bCs/>
          <w:sz w:val="24"/>
          <w:szCs w:val="24"/>
        </w:rPr>
        <w:t>(as required)</w:t>
      </w:r>
    </w:p>
    <w:p w14:paraId="784A5D4E" w14:textId="77777777" w:rsidR="004D09CE" w:rsidRPr="005B0195" w:rsidRDefault="004D09CE" w:rsidP="00F0151B">
      <w:pPr>
        <w:pStyle w:val="ListParagraph"/>
        <w:spacing w:after="0" w:line="240" w:lineRule="auto"/>
        <w:ind w:left="1080" w:hanging="371"/>
        <w:jc w:val="both"/>
        <w:rPr>
          <w:rFonts w:ascii="Calibri" w:eastAsia="Times New Roman" w:hAnsi="Calibri" w:cs="Calibri"/>
          <w:bCs/>
          <w:sz w:val="24"/>
          <w:szCs w:val="24"/>
        </w:rPr>
      </w:pPr>
    </w:p>
    <w:p w14:paraId="57EA73B1" w14:textId="77777777" w:rsidR="004D09CE" w:rsidRPr="005B0195" w:rsidRDefault="004D09CE" w:rsidP="00F0151B">
      <w:pPr>
        <w:pStyle w:val="ListParagraph"/>
        <w:spacing w:after="0" w:line="240" w:lineRule="auto"/>
        <w:ind w:left="709"/>
        <w:jc w:val="both"/>
        <w:rPr>
          <w:rFonts w:ascii="Calibri" w:eastAsia="Times New Roman" w:hAnsi="Calibri" w:cs="Calibri"/>
          <w:bCs/>
          <w:sz w:val="24"/>
          <w:szCs w:val="24"/>
        </w:rPr>
      </w:pPr>
      <w:r w:rsidRPr="005B0195">
        <w:rPr>
          <w:rFonts w:ascii="Calibri" w:eastAsia="Times New Roman" w:hAnsi="Calibri" w:cs="Calibri"/>
          <w:bCs/>
          <w:sz w:val="24"/>
          <w:szCs w:val="24"/>
        </w:rPr>
        <w:t xml:space="preserve">This is primarily a progress report and updates on the capital position, amending prudential indicators as necessary, and whether any policies require revision. </w:t>
      </w:r>
    </w:p>
    <w:p w14:paraId="58653EF7" w14:textId="77777777" w:rsidR="004D09CE" w:rsidRPr="005B0195" w:rsidRDefault="004D09CE" w:rsidP="00F0151B">
      <w:pPr>
        <w:ind w:left="1080" w:hanging="371"/>
        <w:jc w:val="both"/>
        <w:rPr>
          <w:rFonts w:ascii="Calibri" w:eastAsia="Times New Roman" w:hAnsi="Calibri" w:cs="Calibri"/>
          <w:bCs/>
        </w:rPr>
      </w:pPr>
    </w:p>
    <w:p w14:paraId="3F2D78A0" w14:textId="1EE547FF" w:rsidR="004D09CE" w:rsidRPr="005B0195" w:rsidRDefault="004D09CE" w:rsidP="00F0151B">
      <w:pPr>
        <w:pStyle w:val="ListParagraph"/>
        <w:numPr>
          <w:ilvl w:val="0"/>
          <w:numId w:val="10"/>
        </w:numPr>
        <w:spacing w:after="0" w:line="240" w:lineRule="auto"/>
        <w:ind w:hanging="371"/>
        <w:jc w:val="both"/>
        <w:rPr>
          <w:rFonts w:ascii="Calibri" w:eastAsia="Times New Roman" w:hAnsi="Calibri" w:cs="Calibri"/>
          <w:bCs/>
          <w:sz w:val="24"/>
          <w:szCs w:val="24"/>
        </w:rPr>
      </w:pPr>
      <w:r w:rsidRPr="005B0195">
        <w:rPr>
          <w:rFonts w:ascii="Calibri" w:eastAsia="Times New Roman" w:hAnsi="Calibri" w:cs="Calibri"/>
          <w:b/>
          <w:bCs/>
          <w:sz w:val="24"/>
          <w:szCs w:val="24"/>
        </w:rPr>
        <w:t>An annual treasury outturn report</w:t>
      </w:r>
      <w:r w:rsidR="00AE6A32" w:rsidRPr="005B0195">
        <w:rPr>
          <w:rFonts w:ascii="Calibri" w:eastAsia="Times New Roman" w:hAnsi="Calibri" w:cs="Calibri"/>
          <w:b/>
          <w:bCs/>
          <w:sz w:val="24"/>
          <w:szCs w:val="24"/>
        </w:rPr>
        <w:t xml:space="preserve"> </w:t>
      </w:r>
      <w:r w:rsidR="00AE6A32" w:rsidRPr="00C23F12">
        <w:rPr>
          <w:rFonts w:ascii="Calibri" w:eastAsia="Times New Roman" w:hAnsi="Calibri" w:cs="Calibri"/>
          <w:sz w:val="24"/>
          <w:szCs w:val="24"/>
        </w:rPr>
        <w:t>(essential)</w:t>
      </w:r>
    </w:p>
    <w:p w14:paraId="4E79655F" w14:textId="77777777" w:rsidR="004D09CE" w:rsidRPr="005B0195" w:rsidRDefault="004D09CE" w:rsidP="00F0151B">
      <w:pPr>
        <w:pStyle w:val="ListParagraph"/>
        <w:spacing w:after="0" w:line="240" w:lineRule="auto"/>
        <w:ind w:left="1080" w:hanging="371"/>
        <w:jc w:val="both"/>
        <w:rPr>
          <w:rFonts w:ascii="Calibri" w:eastAsia="Times New Roman" w:hAnsi="Calibri" w:cs="Calibri"/>
          <w:bCs/>
          <w:sz w:val="24"/>
          <w:szCs w:val="24"/>
        </w:rPr>
      </w:pPr>
    </w:p>
    <w:p w14:paraId="50129270" w14:textId="25A20D8B" w:rsidR="007B66C2" w:rsidRPr="002A5458" w:rsidRDefault="004D09CE" w:rsidP="002A5458">
      <w:pPr>
        <w:pStyle w:val="ListParagraph"/>
        <w:spacing w:after="0" w:line="240" w:lineRule="auto"/>
        <w:ind w:left="709"/>
        <w:jc w:val="both"/>
      </w:pPr>
      <w:r w:rsidRPr="005B0195">
        <w:rPr>
          <w:rFonts w:ascii="Calibri" w:eastAsia="Times New Roman" w:hAnsi="Calibri" w:cs="Calibri"/>
          <w:bCs/>
          <w:sz w:val="24"/>
          <w:szCs w:val="24"/>
        </w:rPr>
        <w:lastRenderedPageBreak/>
        <w:t>This is a backward-looking review document and provides details of a selection of actual prudential and treasury indicators and actual treasury operations compared to the estimates within the strategy.</w:t>
      </w:r>
    </w:p>
    <w:p w14:paraId="0FF4466F" w14:textId="77777777" w:rsidR="004D09CE" w:rsidRPr="00A04C0D" w:rsidRDefault="004D09CE" w:rsidP="00BA6C7C">
      <w:pPr>
        <w:pStyle w:val="TM1"/>
      </w:pPr>
      <w:r w:rsidRPr="00A04C0D">
        <w:t>Treasury Management Budget</w:t>
      </w:r>
    </w:p>
    <w:p w14:paraId="55765063" w14:textId="54EE4970" w:rsidR="009709E6" w:rsidRDefault="004D09CE" w:rsidP="00EA667E">
      <w:pPr>
        <w:pStyle w:val="TM2"/>
      </w:pPr>
      <w:r w:rsidRPr="005B0195">
        <w:t xml:space="preserve">The table </w:t>
      </w:r>
      <w:r w:rsidRPr="00EA667E">
        <w:t>below</w:t>
      </w:r>
      <w:r w:rsidRPr="005B0195">
        <w:t xml:space="preserve"> provides a breakdown of the treasury management budget.</w:t>
      </w:r>
      <w:r w:rsidR="00D87CA1" w:rsidRPr="005B0195">
        <w:t xml:space="preserve">  </w:t>
      </w:r>
      <w:r w:rsidRPr="005B0195">
        <w:t>M</w:t>
      </w:r>
      <w:r w:rsidR="00E0250E" w:rsidRPr="005B0195">
        <w:t>inimum Revenue Provision (MRP)</w:t>
      </w:r>
      <w:r w:rsidRPr="005B0195">
        <w:t xml:space="preserve"> charges have been calculated in line with the </w:t>
      </w:r>
      <w:r w:rsidR="00E0250E" w:rsidRPr="005B0195">
        <w:t>P</w:t>
      </w:r>
      <w:r w:rsidRPr="005B0195">
        <w:t>olicy at Appendix 3</w:t>
      </w:r>
      <w:r w:rsidR="00E0250E" w:rsidRPr="005B0195">
        <w:t>:</w:t>
      </w:r>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A667E" w:rsidRPr="00EA667E" w14:paraId="530AB727" w14:textId="77777777" w:rsidTr="00EE3D26">
        <w:trPr>
          <w:trHeight w:val="942"/>
        </w:trPr>
        <w:tc>
          <w:tcPr>
            <w:tcW w:w="2580" w:type="dxa"/>
            <w:tcBorders>
              <w:top w:val="single" w:sz="4" w:space="0" w:color="auto"/>
              <w:left w:val="single" w:sz="4" w:space="0" w:color="auto"/>
              <w:bottom w:val="single" w:sz="4" w:space="0" w:color="auto"/>
              <w:right w:val="single" w:sz="4" w:space="0" w:color="auto"/>
            </w:tcBorders>
            <w:shd w:val="clear" w:color="000000" w:fill="C00000"/>
            <w:hideMark/>
          </w:tcPr>
          <w:p w14:paraId="0E1375C6" w14:textId="77777777" w:rsidR="00EA667E" w:rsidRPr="00EA667E" w:rsidRDefault="00EA667E" w:rsidP="00EA667E">
            <w:pP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Treasury Management Budget</w:t>
            </w:r>
          </w:p>
        </w:tc>
        <w:tc>
          <w:tcPr>
            <w:tcW w:w="980" w:type="dxa"/>
            <w:tcBorders>
              <w:top w:val="single" w:sz="4" w:space="0" w:color="auto"/>
              <w:left w:val="nil"/>
              <w:bottom w:val="single" w:sz="4" w:space="0" w:color="auto"/>
              <w:right w:val="single" w:sz="4" w:space="0" w:color="auto"/>
            </w:tcBorders>
            <w:shd w:val="clear" w:color="000000" w:fill="C00000"/>
            <w:hideMark/>
          </w:tcPr>
          <w:p w14:paraId="1B99F22A"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2024-25</w:t>
            </w:r>
            <w:r w:rsidRPr="00EA667E">
              <w:rPr>
                <w:rFonts w:ascii="Calibri" w:eastAsia="Times New Roman" w:hAnsi="Calibri" w:cs="Calibri"/>
                <w:b/>
                <w:bCs/>
                <w:color w:val="FFFFFF"/>
                <w:sz w:val="18"/>
                <w:szCs w:val="18"/>
                <w:lang w:eastAsia="en-GB"/>
              </w:rPr>
              <w:br/>
              <w:t>Forecast</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7BEC08CD"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2025-26</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291A8E9E"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2026-27</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7ADE1DD5"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2027-28</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362B7DCC"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2028-29</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3D85DA0B"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2029-30</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r>
      <w:tr w:rsidR="00EA667E" w:rsidRPr="00EA667E" w14:paraId="2CFAE7A8" w14:textId="77777777" w:rsidTr="00EE3D26">
        <w:trPr>
          <w:trHeight w:val="510"/>
        </w:trPr>
        <w:tc>
          <w:tcPr>
            <w:tcW w:w="2580" w:type="dxa"/>
            <w:tcBorders>
              <w:top w:val="nil"/>
              <w:left w:val="single" w:sz="4" w:space="0" w:color="auto"/>
              <w:bottom w:val="nil"/>
              <w:right w:val="single" w:sz="4" w:space="0" w:color="auto"/>
            </w:tcBorders>
            <w:shd w:val="clear" w:color="000000" w:fill="FFFFFF"/>
            <w:noWrap/>
            <w:vAlign w:val="center"/>
            <w:hideMark/>
          </w:tcPr>
          <w:p w14:paraId="5D21473B"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Interest payable on borrowing</w:t>
            </w:r>
          </w:p>
        </w:tc>
        <w:tc>
          <w:tcPr>
            <w:tcW w:w="980" w:type="dxa"/>
            <w:tcBorders>
              <w:top w:val="nil"/>
              <w:left w:val="nil"/>
              <w:bottom w:val="nil"/>
              <w:right w:val="single" w:sz="4" w:space="0" w:color="auto"/>
            </w:tcBorders>
            <w:shd w:val="clear" w:color="000000" w:fill="FFFFFF"/>
            <w:noWrap/>
            <w:vAlign w:val="center"/>
            <w:hideMark/>
          </w:tcPr>
          <w:p w14:paraId="60B68A22"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59</w:t>
            </w:r>
          </w:p>
        </w:tc>
        <w:tc>
          <w:tcPr>
            <w:tcW w:w="980" w:type="dxa"/>
            <w:tcBorders>
              <w:top w:val="nil"/>
              <w:left w:val="nil"/>
              <w:bottom w:val="nil"/>
              <w:right w:val="single" w:sz="4" w:space="0" w:color="auto"/>
            </w:tcBorders>
            <w:shd w:val="clear" w:color="000000" w:fill="FFFFFF"/>
            <w:noWrap/>
            <w:vAlign w:val="center"/>
            <w:hideMark/>
          </w:tcPr>
          <w:p w14:paraId="55DE232D"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141</w:t>
            </w:r>
          </w:p>
        </w:tc>
        <w:tc>
          <w:tcPr>
            <w:tcW w:w="980" w:type="dxa"/>
            <w:tcBorders>
              <w:top w:val="nil"/>
              <w:left w:val="nil"/>
              <w:bottom w:val="nil"/>
              <w:right w:val="single" w:sz="4" w:space="0" w:color="auto"/>
            </w:tcBorders>
            <w:shd w:val="clear" w:color="000000" w:fill="FFFFFF"/>
            <w:noWrap/>
            <w:vAlign w:val="center"/>
            <w:hideMark/>
          </w:tcPr>
          <w:p w14:paraId="45F8539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417</w:t>
            </w:r>
          </w:p>
        </w:tc>
        <w:tc>
          <w:tcPr>
            <w:tcW w:w="980" w:type="dxa"/>
            <w:tcBorders>
              <w:top w:val="nil"/>
              <w:left w:val="nil"/>
              <w:bottom w:val="nil"/>
              <w:right w:val="single" w:sz="4" w:space="0" w:color="auto"/>
            </w:tcBorders>
            <w:shd w:val="clear" w:color="000000" w:fill="FFFFFF"/>
            <w:noWrap/>
            <w:vAlign w:val="center"/>
            <w:hideMark/>
          </w:tcPr>
          <w:p w14:paraId="62AC4E7A"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586</w:t>
            </w:r>
          </w:p>
        </w:tc>
        <w:tc>
          <w:tcPr>
            <w:tcW w:w="980" w:type="dxa"/>
            <w:tcBorders>
              <w:top w:val="nil"/>
              <w:left w:val="nil"/>
              <w:bottom w:val="nil"/>
              <w:right w:val="single" w:sz="4" w:space="0" w:color="auto"/>
            </w:tcBorders>
            <w:shd w:val="clear" w:color="000000" w:fill="FFFFFF"/>
            <w:noWrap/>
            <w:vAlign w:val="center"/>
            <w:hideMark/>
          </w:tcPr>
          <w:p w14:paraId="074B911D"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881</w:t>
            </w:r>
          </w:p>
        </w:tc>
        <w:tc>
          <w:tcPr>
            <w:tcW w:w="980" w:type="dxa"/>
            <w:tcBorders>
              <w:top w:val="nil"/>
              <w:left w:val="nil"/>
              <w:bottom w:val="nil"/>
              <w:right w:val="single" w:sz="4" w:space="0" w:color="auto"/>
            </w:tcBorders>
            <w:shd w:val="clear" w:color="000000" w:fill="FFFFFF"/>
            <w:noWrap/>
            <w:vAlign w:val="center"/>
            <w:hideMark/>
          </w:tcPr>
          <w:p w14:paraId="790AC37F"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1,052</w:t>
            </w:r>
          </w:p>
        </w:tc>
      </w:tr>
      <w:tr w:rsidR="00EA667E" w:rsidRPr="00EA667E" w14:paraId="09F9A194" w14:textId="77777777" w:rsidTr="00EE3D26">
        <w:trPr>
          <w:trHeight w:val="510"/>
        </w:trPr>
        <w:tc>
          <w:tcPr>
            <w:tcW w:w="2580" w:type="dxa"/>
            <w:tcBorders>
              <w:top w:val="nil"/>
              <w:left w:val="single" w:sz="4" w:space="0" w:color="auto"/>
              <w:bottom w:val="nil"/>
              <w:right w:val="single" w:sz="4" w:space="0" w:color="auto"/>
            </w:tcBorders>
            <w:shd w:val="clear" w:color="000000" w:fill="FFFFFF"/>
            <w:vAlign w:val="center"/>
            <w:hideMark/>
          </w:tcPr>
          <w:p w14:paraId="3095F013"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Minimum Revenue Provision</w:t>
            </w:r>
          </w:p>
        </w:tc>
        <w:tc>
          <w:tcPr>
            <w:tcW w:w="980" w:type="dxa"/>
            <w:tcBorders>
              <w:top w:val="nil"/>
              <w:left w:val="nil"/>
              <w:bottom w:val="nil"/>
              <w:right w:val="single" w:sz="4" w:space="0" w:color="auto"/>
            </w:tcBorders>
            <w:shd w:val="clear" w:color="000000" w:fill="FFFFFF"/>
            <w:noWrap/>
            <w:vAlign w:val="center"/>
            <w:hideMark/>
          </w:tcPr>
          <w:p w14:paraId="0327CCC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259</w:t>
            </w:r>
          </w:p>
        </w:tc>
        <w:tc>
          <w:tcPr>
            <w:tcW w:w="980" w:type="dxa"/>
            <w:tcBorders>
              <w:top w:val="nil"/>
              <w:left w:val="nil"/>
              <w:bottom w:val="nil"/>
              <w:right w:val="single" w:sz="4" w:space="0" w:color="auto"/>
            </w:tcBorders>
            <w:shd w:val="clear" w:color="000000" w:fill="FFFFFF"/>
            <w:noWrap/>
            <w:vAlign w:val="center"/>
            <w:hideMark/>
          </w:tcPr>
          <w:p w14:paraId="28E82A97"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451</w:t>
            </w:r>
          </w:p>
        </w:tc>
        <w:tc>
          <w:tcPr>
            <w:tcW w:w="980" w:type="dxa"/>
            <w:tcBorders>
              <w:top w:val="nil"/>
              <w:left w:val="nil"/>
              <w:bottom w:val="nil"/>
              <w:right w:val="single" w:sz="4" w:space="0" w:color="auto"/>
            </w:tcBorders>
            <w:shd w:val="clear" w:color="000000" w:fill="FFFFFF"/>
            <w:noWrap/>
            <w:vAlign w:val="center"/>
            <w:hideMark/>
          </w:tcPr>
          <w:p w14:paraId="6DB6A817"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599</w:t>
            </w:r>
          </w:p>
        </w:tc>
        <w:tc>
          <w:tcPr>
            <w:tcW w:w="980" w:type="dxa"/>
            <w:tcBorders>
              <w:top w:val="nil"/>
              <w:left w:val="nil"/>
              <w:bottom w:val="nil"/>
              <w:right w:val="single" w:sz="4" w:space="0" w:color="auto"/>
            </w:tcBorders>
            <w:shd w:val="clear" w:color="000000" w:fill="FFFFFF"/>
            <w:noWrap/>
            <w:vAlign w:val="center"/>
            <w:hideMark/>
          </w:tcPr>
          <w:p w14:paraId="135B64E8"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739</w:t>
            </w:r>
          </w:p>
        </w:tc>
        <w:tc>
          <w:tcPr>
            <w:tcW w:w="980" w:type="dxa"/>
            <w:tcBorders>
              <w:top w:val="nil"/>
              <w:left w:val="nil"/>
              <w:bottom w:val="nil"/>
              <w:right w:val="single" w:sz="4" w:space="0" w:color="auto"/>
            </w:tcBorders>
            <w:shd w:val="clear" w:color="000000" w:fill="FFFFFF"/>
            <w:noWrap/>
            <w:vAlign w:val="center"/>
            <w:hideMark/>
          </w:tcPr>
          <w:p w14:paraId="343AD726"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861</w:t>
            </w:r>
          </w:p>
        </w:tc>
        <w:tc>
          <w:tcPr>
            <w:tcW w:w="980" w:type="dxa"/>
            <w:tcBorders>
              <w:top w:val="nil"/>
              <w:left w:val="nil"/>
              <w:bottom w:val="nil"/>
              <w:right w:val="single" w:sz="4" w:space="0" w:color="auto"/>
            </w:tcBorders>
            <w:shd w:val="clear" w:color="000000" w:fill="FFFFFF"/>
            <w:noWrap/>
            <w:vAlign w:val="center"/>
            <w:hideMark/>
          </w:tcPr>
          <w:p w14:paraId="505C8F7D"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936</w:t>
            </w:r>
          </w:p>
        </w:tc>
      </w:tr>
      <w:tr w:rsidR="00EA667E" w:rsidRPr="00EA667E" w14:paraId="07D6DC58" w14:textId="77777777" w:rsidTr="00EE3D26">
        <w:trPr>
          <w:trHeight w:val="510"/>
        </w:trPr>
        <w:tc>
          <w:tcPr>
            <w:tcW w:w="2580" w:type="dxa"/>
            <w:tcBorders>
              <w:top w:val="nil"/>
              <w:left w:val="single" w:sz="4" w:space="0" w:color="auto"/>
              <w:bottom w:val="nil"/>
              <w:right w:val="single" w:sz="4" w:space="0" w:color="auto"/>
            </w:tcBorders>
            <w:shd w:val="clear" w:color="000000" w:fill="FFFFFF"/>
            <w:vAlign w:val="center"/>
            <w:hideMark/>
          </w:tcPr>
          <w:p w14:paraId="48B86536"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Revenue Contribution to Capital Outlay</w:t>
            </w:r>
          </w:p>
        </w:tc>
        <w:tc>
          <w:tcPr>
            <w:tcW w:w="980" w:type="dxa"/>
            <w:tcBorders>
              <w:top w:val="nil"/>
              <w:left w:val="nil"/>
              <w:bottom w:val="nil"/>
              <w:right w:val="single" w:sz="4" w:space="0" w:color="auto"/>
            </w:tcBorders>
            <w:shd w:val="clear" w:color="000000" w:fill="FFFFFF"/>
            <w:noWrap/>
            <w:vAlign w:val="center"/>
            <w:hideMark/>
          </w:tcPr>
          <w:p w14:paraId="650F962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2200C963"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133AA5AC"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4BF26EA2"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2E8B0AB4"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27266AA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r>
      <w:tr w:rsidR="00EA667E" w:rsidRPr="00EA667E" w14:paraId="7A39FB73" w14:textId="77777777" w:rsidTr="00EE3D26">
        <w:trPr>
          <w:trHeight w:val="510"/>
        </w:trPr>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FD49D" w14:textId="77777777" w:rsidR="00EA667E" w:rsidRPr="00EA667E" w:rsidRDefault="00EA667E" w:rsidP="00EA667E">
            <w:pPr>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Total</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381C712A"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618</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362E21D7"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892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22D4F6D2"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1,316</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F0D953A"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1,625</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2722C217"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2,042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B7CB508"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2,288</w:t>
            </w:r>
          </w:p>
        </w:tc>
      </w:tr>
    </w:tbl>
    <w:p w14:paraId="7F53D06E" w14:textId="77777777" w:rsidR="004D09CE" w:rsidRPr="00A26337" w:rsidRDefault="004D09CE" w:rsidP="00D74683">
      <w:pPr>
        <w:pStyle w:val="TM2"/>
      </w:pPr>
      <w:r w:rsidRPr="005B0195">
        <w:rPr>
          <w:bCs w:val="0"/>
        </w:rPr>
        <w:t>Budget estimates will be revised during the year reflect the further development of capital programme plans and other relevant strategies.</w:t>
      </w:r>
    </w:p>
    <w:p w14:paraId="4D70148E" w14:textId="77777777" w:rsidR="004D09CE" w:rsidRPr="005B0195" w:rsidRDefault="004D09CE" w:rsidP="00BA6C7C">
      <w:pPr>
        <w:pStyle w:val="TM1"/>
      </w:pPr>
      <w:r w:rsidRPr="005B0195">
        <w:t>Policy on the use of External Service Providers</w:t>
      </w:r>
      <w:r w:rsidRPr="005B0195">
        <w:tab/>
      </w:r>
    </w:p>
    <w:p w14:paraId="5FD16A85" w14:textId="7BADEBE7" w:rsidR="004D09CE" w:rsidRPr="005B0195" w:rsidRDefault="004D09CE" w:rsidP="00D74683">
      <w:pPr>
        <w:pStyle w:val="TM2"/>
      </w:pPr>
      <w:r w:rsidRPr="005B0195">
        <w:t>The</w:t>
      </w:r>
      <w:r w:rsidR="0064222E" w:rsidRPr="005B0195">
        <w:t xml:space="preserve"> </w:t>
      </w:r>
      <w:r w:rsidR="00BD1B54">
        <w:t>NCFRA</w:t>
      </w:r>
      <w:r w:rsidRPr="005B0195">
        <w:t xml:space="preserve"> recognises that responsibility for treasury management decisions always remains with the organisation.  The</w:t>
      </w:r>
      <w:r w:rsidR="0064222E" w:rsidRPr="005B0195">
        <w:t xml:space="preserve"> </w:t>
      </w:r>
      <w:r w:rsidR="00BD1B54">
        <w:t>NCFRA</w:t>
      </w:r>
      <w:r w:rsidRPr="005B0195">
        <w:t xml:space="preserve"> also recognises there is value in employing an external provider of treasury management services in order to acquire access to specialist skills and advice to support the treasury management function.</w:t>
      </w:r>
    </w:p>
    <w:p w14:paraId="7FF04F79" w14:textId="6E192875" w:rsidR="004D09CE" w:rsidRPr="005B0195" w:rsidRDefault="004D09CE" w:rsidP="00D74683">
      <w:pPr>
        <w:pStyle w:val="TM2"/>
      </w:pPr>
      <w:r w:rsidRPr="005B0195">
        <w:t xml:space="preserve">Treasury Management services are undertaken by the Enabling Services Joint Finance Team and the Treasury Advisor is currently </w:t>
      </w:r>
      <w:r w:rsidR="00BA6C7C">
        <w:t xml:space="preserve">MUFG (previously known as </w:t>
      </w:r>
      <w:r w:rsidRPr="005B0195">
        <w:t>Link Group</w:t>
      </w:r>
      <w:r w:rsidR="00BA6C7C">
        <w:t>)</w:t>
      </w:r>
      <w:r w:rsidRPr="005B0195">
        <w:t>.</w:t>
      </w:r>
    </w:p>
    <w:p w14:paraId="4125C905" w14:textId="77777777" w:rsidR="004D09CE" w:rsidRPr="005B0195" w:rsidRDefault="004D09CE" w:rsidP="00BA6C7C">
      <w:pPr>
        <w:pStyle w:val="TM1"/>
      </w:pPr>
      <w:r w:rsidRPr="005B0195">
        <w:t>Future Developments</w:t>
      </w:r>
    </w:p>
    <w:p w14:paraId="619DAC97" w14:textId="4A80AA7A" w:rsidR="004D09CE" w:rsidRPr="005B0195" w:rsidRDefault="004D09CE" w:rsidP="00D74683">
      <w:pPr>
        <w:pStyle w:val="TM2"/>
        <w:rPr>
          <w:b/>
        </w:rPr>
      </w:pPr>
      <w:r w:rsidRPr="005B0195">
        <w:t xml:space="preserve">Public bodies are having to consider innovative strategies towards improving service provision to their communities.  This approach to innovation also applies to treasury management activities.  The Government has already introduced new statutory powers, and regulatory agencies such as CIPFA are introducing policy changes, which will have an impact on treasury management approaches in the future. </w:t>
      </w:r>
      <w:r w:rsidR="003D739F">
        <w:t xml:space="preserve"> </w:t>
      </w:r>
      <w:r w:rsidRPr="005B0195">
        <w:t>Examples of such changes are:</w:t>
      </w:r>
    </w:p>
    <w:p w14:paraId="78F30CA5" w14:textId="77777777" w:rsidR="004D09CE" w:rsidRPr="005B0195" w:rsidRDefault="004D09CE" w:rsidP="00D74683">
      <w:pPr>
        <w:pStyle w:val="TM2"/>
      </w:pPr>
      <w:r w:rsidRPr="005B0195">
        <w:t>Localism Act</w:t>
      </w:r>
    </w:p>
    <w:p w14:paraId="5AE12BD9" w14:textId="122C2999" w:rsidR="002A5458" w:rsidRDefault="004D09CE" w:rsidP="00D74683">
      <w:pPr>
        <w:pStyle w:val="TM2"/>
        <w:numPr>
          <w:ilvl w:val="0"/>
          <w:numId w:val="0"/>
        </w:numPr>
        <w:ind w:left="709"/>
      </w:pPr>
      <w:r w:rsidRPr="005B0195">
        <w:t>A key element of the Act is the “General Power of Competence”: “A</w:t>
      </w:r>
      <w:r w:rsidR="0064222E" w:rsidRPr="005B0195">
        <w:t xml:space="preserve"> </w:t>
      </w:r>
      <w:r w:rsidR="00997B51">
        <w:t>PFCC</w:t>
      </w:r>
      <w:r w:rsidR="00997B51" w:rsidRPr="005B0195">
        <w:t xml:space="preserve"> </w:t>
      </w:r>
      <w:r w:rsidRPr="005B0195">
        <w:t>has power to do anything that individuals generally may do.”  The Act opens up the possibility that a</w:t>
      </w:r>
      <w:r w:rsidR="0064222E" w:rsidRPr="005B0195">
        <w:t xml:space="preserve"> </w:t>
      </w:r>
      <w:r w:rsidR="00997B51">
        <w:t>PFCC</w:t>
      </w:r>
      <w:r w:rsidR="00997B51" w:rsidRPr="005B0195">
        <w:t xml:space="preserve"> </w:t>
      </w:r>
      <w:r w:rsidRPr="005B0195">
        <w:t>can use derivatives as part of their treasury management operations.</w:t>
      </w:r>
    </w:p>
    <w:p w14:paraId="1F391672" w14:textId="39028629" w:rsidR="004D09CE" w:rsidRPr="00C23F12" w:rsidRDefault="004D09CE" w:rsidP="00D74683">
      <w:pPr>
        <w:pStyle w:val="TM2"/>
        <w:numPr>
          <w:ilvl w:val="0"/>
          <w:numId w:val="0"/>
        </w:numPr>
        <w:ind w:left="709"/>
      </w:pPr>
      <w:r w:rsidRPr="00C23F12">
        <w:lastRenderedPageBreak/>
        <w:t>The</w:t>
      </w:r>
      <w:r w:rsidR="0064222E" w:rsidRPr="00C23F12">
        <w:t xml:space="preserve"> </w:t>
      </w:r>
      <w:r w:rsidR="00997B51">
        <w:t>NCFRA</w:t>
      </w:r>
      <w:r w:rsidRPr="00C23F12">
        <w:t xml:space="preserve"> has no plans to use financial derivatives under the powers contained within this Act.</w:t>
      </w:r>
    </w:p>
    <w:p w14:paraId="6C1EDAAB" w14:textId="77777777" w:rsidR="004D09CE" w:rsidRPr="005B0195" w:rsidRDefault="004D09CE" w:rsidP="00D74683">
      <w:pPr>
        <w:pStyle w:val="TM2"/>
      </w:pPr>
      <w:r w:rsidRPr="005B0195">
        <w:t>Loans to Third Parties</w:t>
      </w:r>
    </w:p>
    <w:p w14:paraId="76B7C85B" w14:textId="30E1B68D" w:rsidR="004D09CE" w:rsidRPr="005B0195" w:rsidRDefault="004D09CE" w:rsidP="00D74683">
      <w:pPr>
        <w:pStyle w:val="TM2"/>
        <w:numPr>
          <w:ilvl w:val="0"/>
          <w:numId w:val="0"/>
        </w:numPr>
        <w:ind w:left="709"/>
      </w:pPr>
      <w:r w:rsidRPr="005B0195">
        <w:t>The</w:t>
      </w:r>
      <w:r w:rsidR="0064222E" w:rsidRPr="005B0195">
        <w:t xml:space="preserve"> </w:t>
      </w:r>
      <w:r w:rsidR="00997B51">
        <w:t>NCFRA</w:t>
      </w:r>
      <w:r w:rsidRPr="005B0195">
        <w:t xml:space="preserve"> may borrow to make grants or loans to third parties for the purpose of capital expenditure.  This will usually be to support local economic development, and may be funded by external borrowing. </w:t>
      </w:r>
    </w:p>
    <w:p w14:paraId="038E3D2E" w14:textId="5E250907" w:rsidR="004D09CE" w:rsidRPr="00C23F12" w:rsidRDefault="004D09CE" w:rsidP="00D74683">
      <w:pPr>
        <w:pStyle w:val="TM2"/>
        <w:numPr>
          <w:ilvl w:val="0"/>
          <w:numId w:val="0"/>
        </w:numPr>
        <w:ind w:left="709"/>
      </w:pPr>
      <w:r w:rsidRPr="00C23F12">
        <w:t>The</w:t>
      </w:r>
      <w:r w:rsidR="0064222E" w:rsidRPr="00C23F12">
        <w:t xml:space="preserve"> </w:t>
      </w:r>
      <w:r w:rsidR="00997B51">
        <w:t>NCFRA</w:t>
      </w:r>
      <w:r w:rsidRPr="00C23F12">
        <w:t xml:space="preserve"> has not lent any funds to third parties and has no plans to do so in the immediate future.</w:t>
      </w:r>
    </w:p>
    <w:p w14:paraId="02CDB367" w14:textId="77777777" w:rsidR="004D09CE" w:rsidRPr="005B0195" w:rsidRDefault="004D09CE" w:rsidP="00D74683">
      <w:pPr>
        <w:pStyle w:val="TM2"/>
      </w:pPr>
      <w:r w:rsidRPr="005B0195">
        <w:t>Proposals to amend the CIPFA Treasury Management and Prudential Codes</w:t>
      </w:r>
    </w:p>
    <w:p w14:paraId="286837E8" w14:textId="77777777" w:rsidR="004D09CE" w:rsidRPr="005B0195" w:rsidRDefault="004D09CE" w:rsidP="00D74683">
      <w:pPr>
        <w:pStyle w:val="TM2"/>
        <w:numPr>
          <w:ilvl w:val="0"/>
          <w:numId w:val="0"/>
        </w:numPr>
        <w:ind w:left="709"/>
      </w:pPr>
      <w:r w:rsidRPr="005B0195">
        <w:t xml:space="preserve">CIPFA conducted a review of the Treasury Management Code of Practice and the Prudential Code.  This review particularly focused on non-treasury investments and especially on the purchase of property with a view to generating income.  Such purchases could involve undertaking external borrowing to raise the cash to finance these purchases, or the use of existing cash balances.  Both actions would affect treasury management.  </w:t>
      </w:r>
    </w:p>
    <w:p w14:paraId="41358FAF" w14:textId="77777777" w:rsidR="004D09CE" w:rsidRPr="005B0195" w:rsidRDefault="004D09CE" w:rsidP="00D74683">
      <w:pPr>
        <w:pStyle w:val="TM2"/>
        <w:numPr>
          <w:ilvl w:val="0"/>
          <w:numId w:val="0"/>
        </w:numPr>
        <w:ind w:left="709"/>
      </w:pPr>
      <w:r w:rsidRPr="005B0195">
        <w:t>The Capital Strategy will cover non-treasury investments to deal with such purchases, their objectives, how they have been appraised, how they have been financed, and what powers were used to undertake these purchases.</w:t>
      </w:r>
    </w:p>
    <w:p w14:paraId="3ED5F33B" w14:textId="77777777" w:rsidR="004D09CE" w:rsidRPr="005B0195" w:rsidRDefault="004D09CE" w:rsidP="00D74683">
      <w:pPr>
        <w:pStyle w:val="TM2"/>
      </w:pPr>
      <w:r w:rsidRPr="005B0195">
        <w:t xml:space="preserve">Impact of International Financial Reporting Standard 9 (IFRS 9) </w:t>
      </w:r>
    </w:p>
    <w:p w14:paraId="1584386B" w14:textId="54C7DC1D" w:rsidR="005B67EE" w:rsidRPr="005B0195" w:rsidRDefault="004D09CE" w:rsidP="00BA6C7C">
      <w:pPr>
        <w:pStyle w:val="TM2"/>
        <w:numPr>
          <w:ilvl w:val="0"/>
          <w:numId w:val="0"/>
        </w:numPr>
        <w:ind w:left="709"/>
      </w:pPr>
      <w:r w:rsidRPr="005B0195">
        <w:t>All public bodies were required to adopt the princip</w:t>
      </w:r>
      <w:r w:rsidR="004463F9">
        <w:t>l</w:t>
      </w:r>
      <w:r w:rsidR="00B70116">
        <w:t>e</w:t>
      </w:r>
      <w:r w:rsidRPr="005B0195">
        <w:t>s of accounting standard IFRS 9 from 1</w:t>
      </w:r>
      <w:r w:rsidRPr="005B0195">
        <w:rPr>
          <w:vertAlign w:val="superscript"/>
        </w:rPr>
        <w:t>st</w:t>
      </w:r>
      <w:r w:rsidRPr="005B0195">
        <w:t xml:space="preserve"> April 2018.  A key element of this standard is a requirement to set aside financial provision within revenue budgets for losses on financial assets based on potential expected losses (i.e. the likelihood of loss across the asset lifetime).  This however does not have a material impact upon the traditional treasury management investments the</w:t>
      </w:r>
      <w:r w:rsidR="0064222E" w:rsidRPr="005B0195">
        <w:t xml:space="preserve"> </w:t>
      </w:r>
      <w:r w:rsidR="00997B51">
        <w:t>NCFRA</w:t>
      </w:r>
      <w:r w:rsidRPr="005B0195">
        <w:t xml:space="preserve"> will undertake.</w:t>
      </w:r>
    </w:p>
    <w:p w14:paraId="4347F417" w14:textId="77777777" w:rsidR="004D09CE" w:rsidRPr="005B0195" w:rsidRDefault="004D09CE" w:rsidP="00BA6C7C">
      <w:pPr>
        <w:pStyle w:val="TM1"/>
      </w:pPr>
      <w:r w:rsidRPr="005B0195">
        <w:t>Training</w:t>
      </w:r>
    </w:p>
    <w:p w14:paraId="47A6B740" w14:textId="4053AD89" w:rsidR="00A60117" w:rsidRDefault="004D09CE" w:rsidP="00D74683">
      <w:pPr>
        <w:pStyle w:val="TM2"/>
      </w:pPr>
      <w:r w:rsidRPr="005B0195">
        <w:t>The</w:t>
      </w:r>
      <w:r w:rsidR="0064222E" w:rsidRPr="005B0195">
        <w:t xml:space="preserve"> </w:t>
      </w:r>
      <w:r w:rsidR="00997B51">
        <w:t>NCFRA</w:t>
      </w:r>
      <w:r w:rsidRPr="005B0195">
        <w:t xml:space="preserve"> needs to ensure appropriate training and knowledge in relation to treasury management activities, for officers engaged in treasury activity and those with oversight responsibilities charged with governance of the treasury management function.  Treasury management training will be considered and delivered as required to facilitate best practices, informed decision making and challenge processes. </w:t>
      </w:r>
    </w:p>
    <w:p w14:paraId="15FED517" w14:textId="03C0E85D" w:rsidR="004D09CE" w:rsidRPr="005B0195" w:rsidRDefault="004D09CE" w:rsidP="00671668">
      <w:pPr>
        <w:rPr>
          <w:rFonts w:ascii="Calibri" w:eastAsia="Times New Roman" w:hAnsi="Calibri" w:cs="Calibri"/>
          <w:b/>
        </w:rPr>
      </w:pPr>
      <w:r w:rsidRPr="005B0195">
        <w:rPr>
          <w:rFonts w:ascii="Calibri" w:eastAsia="Times New Roman" w:hAnsi="Calibri" w:cs="Calibri"/>
          <w:b/>
        </w:rPr>
        <w:t>List of Appendices</w:t>
      </w:r>
    </w:p>
    <w:p w14:paraId="1A9EDD8D" w14:textId="77777777" w:rsidR="00671668" w:rsidRPr="005B0195" w:rsidRDefault="00671668" w:rsidP="00671668">
      <w:pPr>
        <w:rPr>
          <w:rFonts w:ascii="Calibri" w:eastAsia="Times New Roman" w:hAnsi="Calibri" w:cs="Calibri"/>
          <w:b/>
        </w:rPr>
      </w:pPr>
    </w:p>
    <w:p w14:paraId="6C41A10E" w14:textId="77777777" w:rsidR="004D09CE" w:rsidRPr="005B0195" w:rsidRDefault="004D09CE" w:rsidP="004D09CE">
      <w:pPr>
        <w:tabs>
          <w:tab w:val="left" w:pos="2410"/>
        </w:tabs>
        <w:ind w:left="2410" w:hanging="1690"/>
        <w:jc w:val="both"/>
        <w:rPr>
          <w:rFonts w:ascii="Calibri" w:eastAsia="Times New Roman" w:hAnsi="Calibri" w:cs="Calibri"/>
        </w:rPr>
      </w:pPr>
      <w:r w:rsidRPr="005B0195">
        <w:rPr>
          <w:rFonts w:ascii="Calibri" w:eastAsia="Times New Roman" w:hAnsi="Calibri" w:cs="Calibri"/>
        </w:rPr>
        <w:t>Appendix 1:</w:t>
      </w:r>
      <w:r w:rsidRPr="005B0195">
        <w:rPr>
          <w:rFonts w:ascii="Calibri" w:eastAsia="Times New Roman" w:hAnsi="Calibri" w:cs="Calibri"/>
        </w:rPr>
        <w:tab/>
        <w:t>Treasury Management Policy Statement</w:t>
      </w:r>
    </w:p>
    <w:p w14:paraId="2CCC7DCA" w14:textId="77777777" w:rsidR="004D09CE" w:rsidRPr="005B0195" w:rsidRDefault="004D09CE" w:rsidP="004D09CE">
      <w:pPr>
        <w:tabs>
          <w:tab w:val="left" w:pos="2410"/>
        </w:tabs>
        <w:ind w:left="720"/>
        <w:jc w:val="both"/>
        <w:rPr>
          <w:rFonts w:ascii="Calibri" w:eastAsia="Times New Roman" w:hAnsi="Calibri" w:cs="Calibri"/>
        </w:rPr>
      </w:pPr>
      <w:r w:rsidRPr="005B0195">
        <w:rPr>
          <w:rFonts w:ascii="Calibri" w:eastAsia="Times New Roman" w:hAnsi="Calibri" w:cs="Calibri"/>
        </w:rPr>
        <w:t xml:space="preserve">Appendix 2: </w:t>
      </w:r>
      <w:r w:rsidRPr="005B0195">
        <w:rPr>
          <w:rFonts w:ascii="Calibri" w:eastAsia="Times New Roman" w:hAnsi="Calibri" w:cs="Calibri"/>
        </w:rPr>
        <w:tab/>
        <w:t>Prudential &amp; Treasury Indicators</w:t>
      </w:r>
    </w:p>
    <w:p w14:paraId="3C0270D8" w14:textId="77777777" w:rsidR="004D09CE" w:rsidRPr="005B0195" w:rsidRDefault="004D09CE" w:rsidP="004D09CE">
      <w:pPr>
        <w:tabs>
          <w:tab w:val="left" w:pos="2410"/>
        </w:tabs>
        <w:ind w:left="720"/>
        <w:jc w:val="both"/>
        <w:rPr>
          <w:rFonts w:ascii="Calibri" w:eastAsia="Times New Roman" w:hAnsi="Calibri" w:cs="Calibri"/>
        </w:rPr>
      </w:pPr>
      <w:r w:rsidRPr="005B0195">
        <w:rPr>
          <w:rFonts w:ascii="Calibri" w:eastAsia="Times New Roman" w:hAnsi="Calibri" w:cs="Calibri"/>
        </w:rPr>
        <w:t xml:space="preserve">Appendix 3: </w:t>
      </w:r>
      <w:r w:rsidRPr="005B0195">
        <w:rPr>
          <w:rFonts w:ascii="Calibri" w:eastAsia="Times New Roman" w:hAnsi="Calibri" w:cs="Calibri"/>
        </w:rPr>
        <w:tab/>
        <w:t>Minimum Revenue Provision (MRP) Policy Statement</w:t>
      </w:r>
    </w:p>
    <w:p w14:paraId="44AFECBB" w14:textId="77777777" w:rsidR="004D09CE" w:rsidRPr="005B0195" w:rsidRDefault="004D09CE" w:rsidP="004D09CE">
      <w:pPr>
        <w:tabs>
          <w:tab w:val="left" w:pos="2410"/>
        </w:tabs>
        <w:ind w:left="720"/>
        <w:jc w:val="both"/>
        <w:rPr>
          <w:rFonts w:ascii="Calibri" w:eastAsia="Times New Roman" w:hAnsi="Calibri" w:cs="Calibri"/>
        </w:rPr>
      </w:pPr>
      <w:r w:rsidRPr="005B0195">
        <w:rPr>
          <w:rFonts w:ascii="Calibri" w:eastAsia="Times New Roman" w:hAnsi="Calibri" w:cs="Calibri"/>
        </w:rPr>
        <w:t xml:space="preserve">Appendix 4: </w:t>
      </w:r>
      <w:r w:rsidRPr="005B0195">
        <w:rPr>
          <w:rFonts w:ascii="Calibri" w:eastAsia="Times New Roman" w:hAnsi="Calibri" w:cs="Calibri"/>
        </w:rPr>
        <w:tab/>
        <w:t>Annual Investment Strategy</w:t>
      </w:r>
    </w:p>
    <w:p w14:paraId="2C1988BE" w14:textId="77777777" w:rsidR="004D09CE" w:rsidRPr="005B0195" w:rsidRDefault="004D09CE" w:rsidP="004D09CE">
      <w:pPr>
        <w:ind w:left="6480"/>
        <w:jc w:val="right"/>
        <w:rPr>
          <w:rFonts w:ascii="Calibri" w:eastAsia="Times New Roman" w:hAnsi="Calibri" w:cs="Calibri"/>
        </w:rPr>
      </w:pPr>
      <w:r w:rsidRPr="005B0195">
        <w:rPr>
          <w:rFonts w:ascii="Calibri" w:eastAsia="Times New Roman" w:hAnsi="Calibri" w:cs="Calibri"/>
        </w:rPr>
        <w:br w:type="page"/>
      </w:r>
      <w:r w:rsidRPr="005B0195">
        <w:rPr>
          <w:rFonts w:ascii="Calibri" w:eastAsia="Times New Roman" w:hAnsi="Calibri" w:cs="Calibri"/>
        </w:rPr>
        <w:lastRenderedPageBreak/>
        <w:t>APPENDIX 1</w:t>
      </w:r>
    </w:p>
    <w:p w14:paraId="6A9FAD73" w14:textId="77777777" w:rsidR="004D09CE" w:rsidRPr="005B0195" w:rsidRDefault="004D09CE" w:rsidP="004D09CE">
      <w:pPr>
        <w:rPr>
          <w:rFonts w:ascii="Calibri" w:eastAsia="Times New Roman" w:hAnsi="Calibri" w:cs="Calibri"/>
          <w:b/>
        </w:rPr>
      </w:pPr>
      <w:r w:rsidRPr="005B0195">
        <w:rPr>
          <w:rFonts w:ascii="Calibri" w:eastAsia="Times New Roman" w:hAnsi="Calibri" w:cs="Calibri"/>
          <w:b/>
        </w:rPr>
        <w:t>Treasury Management Policy Statement</w:t>
      </w:r>
    </w:p>
    <w:p w14:paraId="0ACDF91C" w14:textId="77777777" w:rsidR="004D09CE" w:rsidRPr="005B0195" w:rsidRDefault="004D09CE" w:rsidP="004D09CE">
      <w:pPr>
        <w:ind w:left="720"/>
        <w:jc w:val="both"/>
        <w:rPr>
          <w:rFonts w:ascii="Calibri" w:eastAsia="Times New Roman" w:hAnsi="Calibri" w:cs="Calibri"/>
        </w:rPr>
      </w:pPr>
    </w:p>
    <w:p w14:paraId="1ADA62F8" w14:textId="155BA130" w:rsidR="004D09CE" w:rsidRPr="005B0195" w:rsidRDefault="004D09CE" w:rsidP="004D09CE">
      <w:pPr>
        <w:jc w:val="both"/>
        <w:rPr>
          <w:rFonts w:ascii="Calibri" w:eastAsia="Times New Roman" w:hAnsi="Calibri" w:cs="Calibri"/>
        </w:rPr>
      </w:pPr>
      <w:r w:rsidRPr="005B0195">
        <w:rPr>
          <w:rFonts w:ascii="Calibri" w:eastAsia="Times New Roman" w:hAnsi="Calibri" w:cs="Calibri"/>
        </w:rPr>
        <w:t xml:space="preserve">Northamptonshire </w:t>
      </w:r>
      <w:r w:rsidR="0083443F" w:rsidRPr="005B0195">
        <w:rPr>
          <w:rFonts w:ascii="Calibri" w:eastAsia="Times New Roman" w:hAnsi="Calibri" w:cs="Calibri"/>
        </w:rPr>
        <w:t xml:space="preserve">Commissioner Fire and Rescue Authority </w:t>
      </w:r>
      <w:r w:rsidR="00A26337">
        <w:rPr>
          <w:rFonts w:ascii="Calibri" w:eastAsia="Times New Roman" w:hAnsi="Calibri" w:cs="Calibri"/>
        </w:rPr>
        <w:t xml:space="preserve">(NCFRA) </w:t>
      </w:r>
      <w:r w:rsidRPr="005B0195">
        <w:rPr>
          <w:rFonts w:ascii="Calibri" w:eastAsia="Times New Roman" w:hAnsi="Calibri" w:cs="Calibri"/>
        </w:rPr>
        <w:t>defines its treasury management activities as:</w:t>
      </w:r>
    </w:p>
    <w:p w14:paraId="4713759F" w14:textId="77777777" w:rsidR="004D09CE" w:rsidRPr="005B0195" w:rsidRDefault="004D09CE" w:rsidP="004D09CE">
      <w:pPr>
        <w:jc w:val="both"/>
        <w:rPr>
          <w:rFonts w:ascii="Calibri" w:eastAsia="Times New Roman" w:hAnsi="Calibri" w:cs="Calibri"/>
        </w:rPr>
      </w:pPr>
    </w:p>
    <w:p w14:paraId="50943113" w14:textId="65353E94" w:rsidR="004D09CE" w:rsidRPr="005B0195" w:rsidRDefault="004D09CE" w:rsidP="004D09CE">
      <w:pPr>
        <w:jc w:val="both"/>
        <w:rPr>
          <w:rFonts w:ascii="Calibri" w:eastAsia="Times New Roman" w:hAnsi="Calibri" w:cs="Calibri"/>
          <w:b/>
          <w:bCs/>
          <w:i/>
          <w:iCs/>
        </w:rPr>
      </w:pPr>
      <w:r w:rsidRPr="005B0195">
        <w:rPr>
          <w:rFonts w:ascii="Calibri" w:eastAsia="Times New Roman" w:hAnsi="Calibri" w:cs="Calibri"/>
          <w:b/>
          <w:bCs/>
          <w:i/>
          <w:iCs/>
        </w:rPr>
        <w:t>The management of the</w:t>
      </w:r>
      <w:r w:rsidR="0064222E" w:rsidRPr="005B0195">
        <w:rPr>
          <w:rFonts w:ascii="Calibri" w:eastAsia="Times New Roman" w:hAnsi="Calibri" w:cs="Calibri"/>
          <w:b/>
          <w:bCs/>
          <w:i/>
          <w:iCs/>
        </w:rPr>
        <w:t xml:space="preserve"> </w:t>
      </w:r>
      <w:r w:rsidR="00997B51">
        <w:rPr>
          <w:rFonts w:ascii="Calibri" w:eastAsia="Times New Roman" w:hAnsi="Calibri" w:cs="Calibri"/>
          <w:b/>
          <w:bCs/>
          <w:i/>
          <w:iCs/>
        </w:rPr>
        <w:t>NCFRA</w:t>
      </w:r>
      <w:r w:rsidRPr="005B0195">
        <w:rPr>
          <w:rFonts w:ascii="Calibri" w:eastAsia="Times New Roman" w:hAnsi="Calibri" w:cs="Calibri"/>
          <w:b/>
          <w:bCs/>
          <w:i/>
          <w:iCs/>
        </w:rPr>
        <w:t>’s investments and cash flows, its banking, money market and capital market transactions; the effective control of the risks associated with those activities; and the pursuit of optimum performance consistent with those risks.</w:t>
      </w:r>
    </w:p>
    <w:p w14:paraId="602B7759" w14:textId="77777777" w:rsidR="004D09CE" w:rsidRPr="005B0195" w:rsidRDefault="004D09CE" w:rsidP="004D09CE">
      <w:pPr>
        <w:jc w:val="both"/>
        <w:rPr>
          <w:rFonts w:ascii="Calibri" w:eastAsia="Times New Roman" w:hAnsi="Calibri" w:cs="Calibri"/>
        </w:rPr>
      </w:pPr>
    </w:p>
    <w:p w14:paraId="7E8E7C2D" w14:textId="421F9EA1" w:rsidR="004D09CE" w:rsidRPr="005B0195" w:rsidRDefault="004D09CE" w:rsidP="004D09CE">
      <w:pPr>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rPr>
        <w:t xml:space="preserve"> regards the successful identification, monitoring</w:t>
      </w:r>
      <w:r w:rsidR="0038122C">
        <w:rPr>
          <w:rFonts w:ascii="Calibri" w:eastAsia="Times New Roman" w:hAnsi="Calibri" w:cs="Calibri"/>
        </w:rPr>
        <w:t>,</w:t>
      </w:r>
      <w:r w:rsidRPr="005B0195">
        <w:rPr>
          <w:rFonts w:ascii="Calibri" w:eastAsia="Times New Roman" w:hAnsi="Calibri" w:cs="Calibri"/>
        </w:rPr>
        <w:t xml:space="preserve"> and control of risk to be the prime criteria by which the effectiveness of its treasury management activities will be measured.  Accordingly, the analysis and reporting of treasury management activities will focus on their risk implications for the organisation, and any financial instruments entered into to manage these risks.</w:t>
      </w:r>
    </w:p>
    <w:p w14:paraId="3B3ECB4D" w14:textId="77777777" w:rsidR="004D09CE" w:rsidRPr="005B0195" w:rsidRDefault="004D09CE" w:rsidP="004D09CE">
      <w:pPr>
        <w:jc w:val="both"/>
        <w:rPr>
          <w:rFonts w:ascii="Calibri" w:eastAsia="Times New Roman" w:hAnsi="Calibri" w:cs="Calibri"/>
        </w:rPr>
      </w:pPr>
    </w:p>
    <w:p w14:paraId="730A13AC" w14:textId="33DCA990" w:rsidR="004D09CE" w:rsidRPr="005B0195" w:rsidRDefault="004D09CE" w:rsidP="004D09CE">
      <w:pPr>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acknowledges that effective treasury management will provide support towards the achievement of its business and service objectives.  It is therefore committed to the princip</w:t>
      </w:r>
      <w:r w:rsidR="004463F9">
        <w:rPr>
          <w:rFonts w:ascii="Calibri" w:eastAsia="Times New Roman" w:hAnsi="Calibri" w:cs="Calibri"/>
        </w:rPr>
        <w:t>l</w:t>
      </w:r>
      <w:r w:rsidR="00B70116">
        <w:rPr>
          <w:rFonts w:ascii="Calibri" w:eastAsia="Times New Roman" w:hAnsi="Calibri" w:cs="Calibri"/>
        </w:rPr>
        <w:t>e</w:t>
      </w:r>
      <w:r w:rsidRPr="005B0195">
        <w:rPr>
          <w:rFonts w:ascii="Calibri" w:eastAsia="Times New Roman" w:hAnsi="Calibri" w:cs="Calibri"/>
        </w:rPr>
        <w:t>s of achieving value for money in treasury management, and to employing suitable comprehensive performance measurement techniques, within the context of effective risk management.</w:t>
      </w:r>
    </w:p>
    <w:p w14:paraId="64A1B15B" w14:textId="77777777" w:rsidR="004D09CE" w:rsidRPr="005B0195" w:rsidRDefault="004D09CE" w:rsidP="004D09CE">
      <w:pPr>
        <w:jc w:val="both"/>
        <w:rPr>
          <w:rFonts w:ascii="Calibri" w:eastAsia="Times New Roman" w:hAnsi="Calibri" w:cs="Calibri"/>
        </w:rPr>
      </w:pPr>
    </w:p>
    <w:p w14:paraId="2A1DE446" w14:textId="77777777" w:rsidR="004D09CE" w:rsidRPr="005B0195" w:rsidRDefault="004D09CE" w:rsidP="004D09CE">
      <w:pPr>
        <w:rPr>
          <w:rFonts w:ascii="Calibri" w:eastAsia="Times New Roman" w:hAnsi="Calibri" w:cs="Calibri"/>
        </w:rPr>
      </w:pPr>
    </w:p>
    <w:p w14:paraId="57CB20B4" w14:textId="77777777" w:rsidR="004D09CE" w:rsidRPr="005B0195" w:rsidRDefault="004D09CE" w:rsidP="004D09CE">
      <w:pPr>
        <w:rPr>
          <w:rFonts w:ascii="Calibri" w:eastAsia="Times New Roman" w:hAnsi="Calibri" w:cs="Calibri"/>
        </w:rPr>
      </w:pPr>
    </w:p>
    <w:p w14:paraId="26B279FA" w14:textId="77777777" w:rsidR="004D09CE" w:rsidRPr="005B0195" w:rsidRDefault="004D09CE" w:rsidP="004D09CE">
      <w:pPr>
        <w:rPr>
          <w:rFonts w:ascii="Calibri" w:eastAsia="Times New Roman" w:hAnsi="Calibri" w:cs="Calibri"/>
          <w:highlight w:val="yellow"/>
        </w:rPr>
      </w:pPr>
    </w:p>
    <w:p w14:paraId="27FE2478" w14:textId="77777777" w:rsidR="004D09CE" w:rsidRPr="005B0195" w:rsidRDefault="004D09CE" w:rsidP="004D09CE">
      <w:pPr>
        <w:rPr>
          <w:rFonts w:ascii="Calibri" w:eastAsia="Times New Roman" w:hAnsi="Calibri" w:cs="Calibri"/>
          <w:highlight w:val="yellow"/>
        </w:rPr>
      </w:pPr>
    </w:p>
    <w:p w14:paraId="5BC9CF5B" w14:textId="77777777" w:rsidR="004D09CE" w:rsidRPr="005B0195" w:rsidRDefault="004D09CE" w:rsidP="004D09CE">
      <w:pPr>
        <w:rPr>
          <w:rFonts w:ascii="Calibri" w:eastAsia="Times New Roman" w:hAnsi="Calibri" w:cs="Calibri"/>
          <w:highlight w:val="yellow"/>
        </w:rPr>
      </w:pPr>
    </w:p>
    <w:p w14:paraId="6824C600" w14:textId="77777777" w:rsidR="004D09CE" w:rsidRPr="005B0195" w:rsidRDefault="004D09CE" w:rsidP="004D09CE">
      <w:pPr>
        <w:rPr>
          <w:rFonts w:ascii="Calibri" w:eastAsia="Times New Roman" w:hAnsi="Calibri" w:cs="Calibri"/>
          <w:highlight w:val="yellow"/>
        </w:rPr>
      </w:pPr>
    </w:p>
    <w:p w14:paraId="65CCD613" w14:textId="77777777" w:rsidR="004D09CE" w:rsidRPr="005B0195" w:rsidRDefault="004D09CE" w:rsidP="004D09CE">
      <w:pPr>
        <w:rPr>
          <w:rFonts w:ascii="Calibri" w:eastAsia="Times New Roman" w:hAnsi="Calibri" w:cs="Calibri"/>
          <w:highlight w:val="yellow"/>
        </w:rPr>
      </w:pPr>
    </w:p>
    <w:p w14:paraId="7E3D7C34" w14:textId="77777777" w:rsidR="004D09CE" w:rsidRPr="005B0195" w:rsidRDefault="004D09CE" w:rsidP="004D09CE">
      <w:pPr>
        <w:rPr>
          <w:rFonts w:ascii="Calibri" w:eastAsia="Times New Roman" w:hAnsi="Calibri" w:cs="Calibri"/>
          <w:highlight w:val="yellow"/>
        </w:rPr>
      </w:pPr>
    </w:p>
    <w:p w14:paraId="17D2C6E9" w14:textId="77777777" w:rsidR="004D09CE" w:rsidRPr="005B0195" w:rsidRDefault="004D09CE" w:rsidP="004D09CE">
      <w:pPr>
        <w:rPr>
          <w:rFonts w:ascii="Calibri" w:eastAsia="Times New Roman" w:hAnsi="Calibri" w:cs="Calibri"/>
          <w:highlight w:val="yellow"/>
        </w:rPr>
      </w:pPr>
    </w:p>
    <w:p w14:paraId="0C25A167" w14:textId="77777777" w:rsidR="004D09CE" w:rsidRPr="005B0195" w:rsidRDefault="004D09CE" w:rsidP="004D09CE">
      <w:pPr>
        <w:rPr>
          <w:rFonts w:ascii="Calibri" w:eastAsia="Times New Roman" w:hAnsi="Calibri" w:cs="Calibri"/>
          <w:highlight w:val="yellow"/>
        </w:rPr>
      </w:pPr>
    </w:p>
    <w:p w14:paraId="1AADAE35" w14:textId="77777777" w:rsidR="004D09CE" w:rsidRPr="005B0195" w:rsidRDefault="004D09CE" w:rsidP="004D09CE">
      <w:pPr>
        <w:rPr>
          <w:rFonts w:ascii="Calibri" w:eastAsia="Times New Roman" w:hAnsi="Calibri" w:cs="Calibri"/>
          <w:highlight w:val="yellow"/>
        </w:rPr>
      </w:pPr>
    </w:p>
    <w:p w14:paraId="1400ED2A" w14:textId="77777777" w:rsidR="004D09CE" w:rsidRPr="005B0195" w:rsidRDefault="004D09CE" w:rsidP="004D09CE">
      <w:pPr>
        <w:rPr>
          <w:rFonts w:ascii="Calibri" w:eastAsia="Times New Roman" w:hAnsi="Calibri" w:cs="Calibri"/>
          <w:highlight w:val="yellow"/>
        </w:rPr>
      </w:pPr>
    </w:p>
    <w:p w14:paraId="029729CC" w14:textId="77777777" w:rsidR="004D09CE" w:rsidRPr="005B0195" w:rsidRDefault="004D09CE" w:rsidP="004D09CE">
      <w:pPr>
        <w:ind w:left="6480"/>
        <w:jc w:val="right"/>
        <w:rPr>
          <w:rFonts w:ascii="Calibri" w:eastAsia="Times New Roman" w:hAnsi="Calibri" w:cs="Calibri"/>
        </w:rPr>
      </w:pPr>
      <w:r w:rsidRPr="005B0195">
        <w:rPr>
          <w:rFonts w:ascii="Calibri" w:eastAsia="Times New Roman" w:hAnsi="Calibri" w:cs="Calibri"/>
          <w:highlight w:val="yellow"/>
        </w:rPr>
        <w:br w:type="page"/>
      </w:r>
    </w:p>
    <w:p w14:paraId="7C2B19CC" w14:textId="77777777" w:rsidR="004D09CE" w:rsidRPr="005B0195" w:rsidRDefault="004D09CE" w:rsidP="004D09CE">
      <w:pPr>
        <w:jc w:val="right"/>
        <w:rPr>
          <w:rFonts w:ascii="Calibri" w:eastAsia="Times New Roman" w:hAnsi="Calibri" w:cs="Calibri"/>
        </w:rPr>
      </w:pPr>
      <w:r w:rsidRPr="005B0195">
        <w:rPr>
          <w:rFonts w:ascii="Calibri" w:eastAsia="Times New Roman" w:hAnsi="Calibri" w:cs="Calibri"/>
        </w:rPr>
        <w:lastRenderedPageBreak/>
        <w:t>APPENDIX 2</w:t>
      </w:r>
    </w:p>
    <w:p w14:paraId="1C89AB23" w14:textId="77777777" w:rsidR="004D09CE" w:rsidRPr="005B0195" w:rsidRDefault="004D09CE" w:rsidP="004D09CE">
      <w:pPr>
        <w:jc w:val="both"/>
        <w:outlineLvl w:val="0"/>
        <w:rPr>
          <w:rFonts w:ascii="Calibri" w:eastAsia="Times New Roman" w:hAnsi="Calibri" w:cs="Calibri"/>
          <w:b/>
        </w:rPr>
      </w:pPr>
      <w:r w:rsidRPr="005B0195">
        <w:rPr>
          <w:rFonts w:ascii="Calibri" w:eastAsia="Times New Roman" w:hAnsi="Calibri" w:cs="Calibri"/>
          <w:b/>
        </w:rPr>
        <w:t>Prudential and Treasury Indicators</w:t>
      </w:r>
    </w:p>
    <w:p w14:paraId="68772A37" w14:textId="77777777" w:rsidR="004D09CE" w:rsidRPr="005B0195" w:rsidRDefault="004D09CE" w:rsidP="004D09CE">
      <w:pPr>
        <w:ind w:left="720"/>
        <w:jc w:val="both"/>
        <w:rPr>
          <w:rFonts w:ascii="Calibri" w:eastAsia="Times New Roman" w:hAnsi="Calibri" w:cs="Calibri"/>
          <w:b/>
        </w:rPr>
      </w:pPr>
    </w:p>
    <w:p w14:paraId="3E9B6B47" w14:textId="77777777" w:rsidR="004D09CE" w:rsidRPr="005B0195" w:rsidRDefault="004D09CE" w:rsidP="005478B9">
      <w:pPr>
        <w:numPr>
          <w:ilvl w:val="0"/>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b/>
        </w:rPr>
        <w:t>The Capital Prudential Indicators</w:t>
      </w:r>
    </w:p>
    <w:p w14:paraId="6B6F60D3" w14:textId="77777777" w:rsidR="004D09CE" w:rsidRPr="005B0195" w:rsidRDefault="004D09CE" w:rsidP="004D09CE">
      <w:pPr>
        <w:jc w:val="both"/>
        <w:rPr>
          <w:rFonts w:ascii="Calibri" w:eastAsia="Times New Roman" w:hAnsi="Calibri" w:cs="Calibri"/>
          <w:b/>
        </w:rPr>
      </w:pPr>
    </w:p>
    <w:p w14:paraId="2AE27D48" w14:textId="3F71A24F" w:rsidR="004D09CE" w:rsidRPr="005B0195" w:rsidRDefault="004D09CE" w:rsidP="004D09CE">
      <w:pPr>
        <w:numPr>
          <w:ilvl w:val="1"/>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capital expenditure plans are the key driver of </w:t>
      </w:r>
      <w:r w:rsidR="000D5ADB">
        <w:rPr>
          <w:rFonts w:ascii="Calibri" w:eastAsia="Times New Roman" w:hAnsi="Calibri" w:cs="Calibri"/>
        </w:rPr>
        <w:t>t</w:t>
      </w:r>
      <w:r w:rsidRPr="005B0195">
        <w:rPr>
          <w:rFonts w:ascii="Calibri" w:eastAsia="Times New Roman" w:hAnsi="Calibri" w:cs="Calibri"/>
        </w:rPr>
        <w:t xml:space="preserve">reasury </w:t>
      </w:r>
      <w:r w:rsidR="000D5ADB">
        <w:rPr>
          <w:rFonts w:ascii="Calibri" w:eastAsia="Times New Roman" w:hAnsi="Calibri" w:cs="Calibri"/>
        </w:rPr>
        <w:t>m</w:t>
      </w:r>
      <w:r w:rsidRPr="005B0195">
        <w:rPr>
          <w:rFonts w:ascii="Calibri" w:eastAsia="Times New Roman" w:hAnsi="Calibri" w:cs="Calibri"/>
        </w:rPr>
        <w:t xml:space="preserve">anagement activity.  The output of the capital expenditure plans </w:t>
      </w:r>
      <w:r w:rsidR="00D4345D" w:rsidRPr="005B0195">
        <w:rPr>
          <w:rFonts w:ascii="Calibri" w:eastAsia="Times New Roman" w:hAnsi="Calibri" w:cs="Calibri"/>
        </w:rPr>
        <w:t>is</w:t>
      </w:r>
      <w:r w:rsidRPr="005B0195">
        <w:rPr>
          <w:rFonts w:ascii="Calibri" w:eastAsia="Times New Roman" w:hAnsi="Calibri" w:cs="Calibri"/>
        </w:rPr>
        <w:t xml:space="preserve"> reflected in prudential indicators, which are designed to assist overview and confirm capital expenditure plans.</w:t>
      </w:r>
    </w:p>
    <w:p w14:paraId="4DED0C18" w14:textId="77777777" w:rsidR="004D09CE" w:rsidRPr="005B0195" w:rsidRDefault="004D09CE" w:rsidP="004D09CE">
      <w:pPr>
        <w:tabs>
          <w:tab w:val="num" w:pos="960"/>
        </w:tabs>
        <w:jc w:val="both"/>
        <w:rPr>
          <w:rFonts w:ascii="Calibri" w:eastAsia="Times New Roman" w:hAnsi="Calibri" w:cs="Calibri"/>
        </w:rPr>
      </w:pPr>
    </w:p>
    <w:p w14:paraId="19F5E5DD" w14:textId="3B7BFAD5" w:rsidR="004D09CE" w:rsidRPr="005B0195" w:rsidRDefault="004D09CE" w:rsidP="004D09CE">
      <w:pPr>
        <w:ind w:left="720"/>
        <w:jc w:val="both"/>
        <w:rPr>
          <w:rFonts w:ascii="Calibri" w:eastAsia="Times New Roman" w:hAnsi="Calibri" w:cs="Calibri"/>
          <w:b/>
        </w:rPr>
      </w:pPr>
      <w:r w:rsidRPr="005B0195">
        <w:rPr>
          <w:rFonts w:ascii="Calibri" w:eastAsia="Times New Roman" w:hAnsi="Calibri" w:cs="Calibri"/>
          <w:b/>
        </w:rPr>
        <w:t>Capital Expenditure</w:t>
      </w:r>
      <w:r w:rsidR="003B367F" w:rsidRPr="005B0195">
        <w:rPr>
          <w:rFonts w:ascii="Calibri" w:eastAsia="Times New Roman" w:hAnsi="Calibri" w:cs="Calibri"/>
          <w:b/>
        </w:rPr>
        <w:t xml:space="preserve"> and Borrowing Need</w:t>
      </w:r>
    </w:p>
    <w:p w14:paraId="09800D68" w14:textId="77777777" w:rsidR="004D09CE" w:rsidRPr="005B0195" w:rsidRDefault="004D09CE" w:rsidP="004D09CE">
      <w:pPr>
        <w:ind w:left="720"/>
        <w:jc w:val="both"/>
        <w:rPr>
          <w:rFonts w:ascii="Calibri" w:eastAsia="Times New Roman" w:hAnsi="Calibri" w:cs="Calibri"/>
          <w:b/>
          <w:highlight w:val="yellow"/>
        </w:rPr>
      </w:pPr>
    </w:p>
    <w:p w14:paraId="7323C8D8" w14:textId="4C2A829D" w:rsidR="004D09CE" w:rsidRPr="005B0195" w:rsidRDefault="004D09CE" w:rsidP="003B367F">
      <w:pPr>
        <w:numPr>
          <w:ilvl w:val="1"/>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rPr>
        <w:t>This prudential indicator shows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capital expenditure plans</w:t>
      </w:r>
      <w:r w:rsidR="003B367F" w:rsidRPr="005B0195">
        <w:rPr>
          <w:rFonts w:ascii="Calibri" w:eastAsia="Times New Roman" w:hAnsi="Calibri" w:cs="Calibri"/>
        </w:rPr>
        <w:t xml:space="preserve"> and capital financing requirement as described in the body of the Strategy and summarised in Table 1 (Para 3.3 above).</w:t>
      </w:r>
    </w:p>
    <w:p w14:paraId="53E1064A" w14:textId="77777777" w:rsidR="003B367F" w:rsidRPr="005B0195" w:rsidRDefault="003B367F" w:rsidP="003B367F">
      <w:pPr>
        <w:ind w:left="720"/>
        <w:jc w:val="both"/>
        <w:rPr>
          <w:rFonts w:ascii="Calibri" w:eastAsia="Times New Roman" w:hAnsi="Calibri" w:cs="Calibri"/>
          <w:b/>
        </w:rPr>
      </w:pPr>
    </w:p>
    <w:p w14:paraId="3EDCFB22" w14:textId="77777777" w:rsidR="004D09CE" w:rsidRPr="005B0195" w:rsidRDefault="004D09CE" w:rsidP="004D09CE">
      <w:pPr>
        <w:ind w:left="720"/>
        <w:jc w:val="both"/>
        <w:rPr>
          <w:rFonts w:ascii="Calibri" w:eastAsia="Times New Roman" w:hAnsi="Calibri" w:cs="Calibri"/>
        </w:rPr>
      </w:pPr>
      <w:r w:rsidRPr="005B0195">
        <w:rPr>
          <w:rFonts w:ascii="Calibri" w:eastAsia="Times New Roman" w:hAnsi="Calibri" w:cs="Calibri"/>
          <w:b/>
        </w:rPr>
        <w:t>The Operational Boundary</w:t>
      </w:r>
    </w:p>
    <w:p w14:paraId="3E9B1A26" w14:textId="77777777" w:rsidR="004D09CE" w:rsidRPr="005B0195" w:rsidRDefault="004D09CE" w:rsidP="004D09CE">
      <w:pPr>
        <w:ind w:left="720"/>
        <w:jc w:val="both"/>
        <w:rPr>
          <w:rFonts w:ascii="Calibri" w:eastAsia="Times New Roman" w:hAnsi="Calibri" w:cs="Calibri"/>
        </w:rPr>
      </w:pPr>
    </w:p>
    <w:p w14:paraId="0EB8B924" w14:textId="15E1A179" w:rsidR="009261C7"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This is the limit beyond which external borrowing is not normally expected to exceed.  All things being equal, this could be a similar figure to the </w:t>
      </w:r>
      <w:proofErr w:type="gramStart"/>
      <w:r w:rsidRPr="005B0195">
        <w:rPr>
          <w:rFonts w:ascii="Calibri" w:eastAsia="Times New Roman" w:hAnsi="Calibri" w:cs="Calibri"/>
        </w:rPr>
        <w:t>CFR, but</w:t>
      </w:r>
      <w:proofErr w:type="gramEnd"/>
      <w:r w:rsidRPr="005B0195">
        <w:rPr>
          <w:rFonts w:ascii="Calibri" w:eastAsia="Times New Roman" w:hAnsi="Calibri" w:cs="Calibri"/>
        </w:rPr>
        <w:t xml:space="preserve"> may be lower or higher depending on the levels of actual borrowing undertaken as impacted by the </w:t>
      </w:r>
      <w:r w:rsidRPr="00DC2E17">
        <w:rPr>
          <w:rFonts w:ascii="Calibri" w:eastAsia="Times New Roman" w:hAnsi="Calibri" w:cs="Calibri"/>
        </w:rPr>
        <w:t>level of current and future cash resources and the shape of the interest rate yield curve.</w:t>
      </w:r>
    </w:p>
    <w:p w14:paraId="4B34A7CB" w14:textId="77777777" w:rsidR="00E5679B" w:rsidRDefault="00E5679B" w:rsidP="00EE3D26">
      <w:pPr>
        <w:tabs>
          <w:tab w:val="num" w:pos="1000"/>
        </w:tabs>
        <w:ind w:left="720"/>
        <w:jc w:val="both"/>
        <w:rPr>
          <w:rFonts w:ascii="Calibri" w:eastAsia="Times New Roman" w:hAnsi="Calibri" w:cs="Calibri"/>
        </w:rPr>
      </w:pPr>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5679B" w:rsidRPr="00E5679B" w14:paraId="2D0AC22B" w14:textId="77777777" w:rsidTr="00EE3D26">
        <w:trPr>
          <w:trHeight w:val="942"/>
        </w:trPr>
        <w:tc>
          <w:tcPr>
            <w:tcW w:w="2580" w:type="dxa"/>
            <w:tcBorders>
              <w:top w:val="single" w:sz="4" w:space="0" w:color="auto"/>
              <w:left w:val="single" w:sz="4" w:space="0" w:color="auto"/>
              <w:bottom w:val="nil"/>
              <w:right w:val="single" w:sz="4" w:space="0" w:color="auto"/>
            </w:tcBorders>
            <w:shd w:val="clear" w:color="000000" w:fill="C00000"/>
            <w:hideMark/>
          </w:tcPr>
          <w:p w14:paraId="151B1237" w14:textId="77777777" w:rsidR="00E5679B" w:rsidRPr="00E5679B" w:rsidRDefault="00E5679B" w:rsidP="00E5679B">
            <w:pP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Operational Boundary</w:t>
            </w:r>
          </w:p>
        </w:tc>
        <w:tc>
          <w:tcPr>
            <w:tcW w:w="980" w:type="dxa"/>
            <w:tcBorders>
              <w:top w:val="single" w:sz="4" w:space="0" w:color="auto"/>
              <w:left w:val="nil"/>
              <w:bottom w:val="nil"/>
              <w:right w:val="single" w:sz="4" w:space="0" w:color="auto"/>
            </w:tcBorders>
            <w:shd w:val="clear" w:color="000000" w:fill="C00000"/>
            <w:hideMark/>
          </w:tcPr>
          <w:p w14:paraId="4A9688CB"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2024-25</w:t>
            </w:r>
            <w:r w:rsidRPr="00E5679B">
              <w:rPr>
                <w:rFonts w:ascii="Calibri" w:eastAsia="Times New Roman" w:hAnsi="Calibri" w:cs="Calibri"/>
                <w:b/>
                <w:bCs/>
                <w:color w:val="FFFFFF"/>
                <w:sz w:val="18"/>
                <w:szCs w:val="18"/>
                <w:lang w:eastAsia="en-GB"/>
              </w:rPr>
              <w:br/>
              <w:t>Forecast</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0C0AB229"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2025-26</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1617D47"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2026-27</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640FD0FA"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2027-28</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4DD0EBE6"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2028-29</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62F6B1AA"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2029-30</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r>
      <w:tr w:rsidR="00E5679B" w:rsidRPr="00E5679B" w14:paraId="148AD602" w14:textId="77777777" w:rsidTr="00EE3D26">
        <w:trPr>
          <w:trHeight w:val="507"/>
        </w:trPr>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7A552" w14:textId="77777777" w:rsidR="00E5679B" w:rsidRPr="00E5679B" w:rsidRDefault="00E5679B" w:rsidP="00E5679B">
            <w:pPr>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 xml:space="preserve">Total Borrowing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61DE905"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9,000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481416D"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12,000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DB7DFEA"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28,000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121614BD"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29,000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4264C88"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36,000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C52EE3F"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43,000</w:t>
            </w:r>
          </w:p>
        </w:tc>
      </w:tr>
    </w:tbl>
    <w:p w14:paraId="03862167" w14:textId="77777777" w:rsidR="005B67EE" w:rsidRPr="00DC2E17" w:rsidRDefault="005B67EE" w:rsidP="005B67EE">
      <w:pPr>
        <w:tabs>
          <w:tab w:val="num" w:pos="1000"/>
        </w:tabs>
        <w:ind w:left="720"/>
        <w:jc w:val="both"/>
        <w:rPr>
          <w:rFonts w:ascii="Calibri" w:eastAsia="Times New Roman" w:hAnsi="Calibri" w:cs="Calibri"/>
        </w:rPr>
      </w:pPr>
    </w:p>
    <w:p w14:paraId="6CC78782" w14:textId="545BD625" w:rsidR="004D09CE" w:rsidRPr="005B0195" w:rsidRDefault="00D75E47"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The Operational Boundary is calculated here by round</w:t>
      </w:r>
      <w:r w:rsidR="002A5458">
        <w:rPr>
          <w:rFonts w:ascii="Calibri" w:eastAsia="Times New Roman" w:hAnsi="Calibri" w:cs="Calibri"/>
        </w:rPr>
        <w:t>ing</w:t>
      </w:r>
      <w:r w:rsidRPr="005B0195">
        <w:rPr>
          <w:rFonts w:ascii="Calibri" w:eastAsia="Times New Roman" w:hAnsi="Calibri" w:cs="Calibri"/>
        </w:rPr>
        <w:t xml:space="preserve"> the CFR for each year up to the nearest £1m.  This allows nominal flexibility to account for price variations on capital investment.</w:t>
      </w:r>
    </w:p>
    <w:p w14:paraId="3DA686A7" w14:textId="77777777" w:rsidR="004D09CE" w:rsidRPr="005B0195" w:rsidRDefault="004D09CE" w:rsidP="004D09CE">
      <w:pPr>
        <w:jc w:val="both"/>
        <w:rPr>
          <w:rFonts w:ascii="Calibri" w:eastAsia="Times New Roman" w:hAnsi="Calibri" w:cs="Calibri"/>
          <w:b/>
        </w:rPr>
      </w:pPr>
    </w:p>
    <w:p w14:paraId="38889B65" w14:textId="77777777" w:rsidR="004D09CE" w:rsidRPr="005B0195" w:rsidRDefault="004D09CE" w:rsidP="004D09CE">
      <w:pPr>
        <w:ind w:left="720"/>
        <w:jc w:val="both"/>
        <w:rPr>
          <w:rFonts w:ascii="Calibri" w:eastAsia="Times New Roman" w:hAnsi="Calibri" w:cs="Calibri"/>
        </w:rPr>
      </w:pPr>
      <w:r w:rsidRPr="005B0195">
        <w:rPr>
          <w:rFonts w:ascii="Calibri" w:eastAsia="Times New Roman" w:hAnsi="Calibri" w:cs="Calibri"/>
          <w:b/>
        </w:rPr>
        <w:t>The Authorised Limit for external borrowing</w:t>
      </w:r>
    </w:p>
    <w:p w14:paraId="6BBE4CA7" w14:textId="77777777" w:rsidR="004D09CE" w:rsidRPr="005B0195" w:rsidRDefault="004D09CE" w:rsidP="004D09CE">
      <w:pPr>
        <w:ind w:left="720"/>
        <w:jc w:val="both"/>
        <w:rPr>
          <w:rFonts w:ascii="Calibri" w:eastAsia="Times New Roman" w:hAnsi="Calibri" w:cs="Calibri"/>
        </w:rPr>
      </w:pPr>
    </w:p>
    <w:p w14:paraId="7E8F9022" w14:textId="623335B6"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A further key prudential indicator represents a control on the maximum level of borrowing. </w:t>
      </w:r>
      <w:r w:rsidR="00520C7D" w:rsidRPr="005B0195">
        <w:rPr>
          <w:rFonts w:ascii="Calibri" w:eastAsia="Times New Roman" w:hAnsi="Calibri" w:cs="Calibri"/>
        </w:rPr>
        <w:t xml:space="preserve"> </w:t>
      </w:r>
      <w:r w:rsidRPr="005B0195">
        <w:rPr>
          <w:rFonts w:ascii="Calibri" w:eastAsia="Times New Roman" w:hAnsi="Calibri" w:cs="Calibri"/>
        </w:rPr>
        <w:t>This represents a limit beyond which external borrowing is prohibited, and this limit needs to be set or revised in line with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w:t>
      </w:r>
      <w:r w:rsidRPr="005B0195">
        <w:rPr>
          <w:rFonts w:ascii="Calibri" w:eastAsia="Times New Roman" w:hAnsi="Calibri" w:cs="Calibri"/>
          <w:bCs/>
          <w:iCs/>
        </w:rPr>
        <w:t>Corporate Governance Framework</w:t>
      </w:r>
      <w:r w:rsidRPr="005B0195">
        <w:rPr>
          <w:rFonts w:ascii="Calibri" w:eastAsia="Times New Roman" w:hAnsi="Calibri" w:cs="Calibri"/>
        </w:rPr>
        <w:t xml:space="preserve">. </w:t>
      </w:r>
      <w:r w:rsidR="00520C7D" w:rsidRPr="005B0195">
        <w:rPr>
          <w:rFonts w:ascii="Calibri" w:eastAsia="Times New Roman" w:hAnsi="Calibri" w:cs="Calibri"/>
        </w:rPr>
        <w:t xml:space="preserve"> </w:t>
      </w:r>
      <w:r w:rsidRPr="005B0195">
        <w:rPr>
          <w:rFonts w:ascii="Calibri" w:eastAsia="Times New Roman" w:hAnsi="Calibri" w:cs="Calibri"/>
        </w:rPr>
        <w:t>It reflects the level of external borrowing which, while not desired, could be afforded in the short term, but is not sustainable in the longer term.</w:t>
      </w:r>
    </w:p>
    <w:p w14:paraId="64997717" w14:textId="77777777" w:rsidR="004D09CE" w:rsidRPr="005B0195" w:rsidRDefault="004D09CE" w:rsidP="004D09CE">
      <w:pPr>
        <w:ind w:left="720"/>
        <w:jc w:val="both"/>
        <w:rPr>
          <w:rFonts w:ascii="Calibri" w:eastAsia="Times New Roman" w:hAnsi="Calibri" w:cs="Calibri"/>
        </w:rPr>
      </w:pPr>
    </w:p>
    <w:p w14:paraId="6E7A883E" w14:textId="3899CA49" w:rsidR="004D09CE" w:rsidRPr="005B0195" w:rsidRDefault="004D09CE" w:rsidP="00EE3D26">
      <w:pPr>
        <w:numPr>
          <w:ilvl w:val="0"/>
          <w:numId w:val="5"/>
        </w:numPr>
        <w:ind w:left="1134" w:hanging="425"/>
        <w:jc w:val="both"/>
        <w:rPr>
          <w:rFonts w:ascii="Calibri" w:eastAsia="Times New Roman" w:hAnsi="Calibri" w:cs="Calibri"/>
          <w:iCs/>
        </w:rPr>
      </w:pPr>
      <w:r w:rsidRPr="005B0195">
        <w:rPr>
          <w:rFonts w:ascii="Calibri" w:eastAsia="Times New Roman" w:hAnsi="Calibri" w:cs="Calibri"/>
          <w:iCs/>
        </w:rPr>
        <w:t>This is the statutory limit determined under section 3 (1) of the Local Government Act 2003.</w:t>
      </w:r>
    </w:p>
    <w:p w14:paraId="6A006799" w14:textId="61A07303" w:rsidR="004D09CE" w:rsidRPr="00EE3D26" w:rsidRDefault="004D09CE">
      <w:pPr>
        <w:numPr>
          <w:ilvl w:val="0"/>
          <w:numId w:val="5"/>
        </w:numPr>
        <w:ind w:left="1134" w:hanging="425"/>
        <w:jc w:val="both"/>
        <w:rPr>
          <w:rFonts w:ascii="Calibri" w:eastAsia="Times New Roman" w:hAnsi="Calibri" w:cs="Calibri"/>
          <w:b/>
        </w:rPr>
      </w:pPr>
      <w:r w:rsidRPr="00DC2E17">
        <w:rPr>
          <w:rFonts w:ascii="Calibri" w:eastAsia="Times New Roman" w:hAnsi="Calibri" w:cs="Calibri"/>
          <w:iCs/>
        </w:rPr>
        <w:t>The</w:t>
      </w:r>
      <w:r w:rsidR="0064222E" w:rsidRPr="00DC2E17">
        <w:rPr>
          <w:rFonts w:ascii="Calibri" w:eastAsia="Times New Roman" w:hAnsi="Calibri" w:cs="Calibri"/>
          <w:iCs/>
        </w:rPr>
        <w:t xml:space="preserve"> </w:t>
      </w:r>
      <w:r w:rsidR="00997B51">
        <w:rPr>
          <w:rFonts w:ascii="Calibri" w:eastAsia="Times New Roman" w:hAnsi="Calibri" w:cs="Calibri"/>
          <w:iCs/>
        </w:rPr>
        <w:t>NCFRA</w:t>
      </w:r>
      <w:r w:rsidRPr="00DC2E17">
        <w:rPr>
          <w:rFonts w:ascii="Calibri" w:eastAsia="Times New Roman" w:hAnsi="Calibri" w:cs="Calibri"/>
          <w:iCs/>
        </w:rPr>
        <w:t xml:space="preserve"> is</w:t>
      </w:r>
      <w:r w:rsidRPr="005B0195">
        <w:rPr>
          <w:rFonts w:ascii="Calibri" w:eastAsia="Times New Roman" w:hAnsi="Calibri" w:cs="Calibri"/>
          <w:iCs/>
        </w:rPr>
        <w:t xml:space="preserve"> asked to approve the following Authorised Limit:</w:t>
      </w:r>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5679B" w:rsidRPr="00E5679B" w14:paraId="167A5049" w14:textId="77777777" w:rsidTr="00EE3D26">
        <w:trPr>
          <w:trHeight w:val="900"/>
        </w:trPr>
        <w:tc>
          <w:tcPr>
            <w:tcW w:w="2580" w:type="dxa"/>
            <w:tcBorders>
              <w:top w:val="single" w:sz="4" w:space="0" w:color="auto"/>
              <w:left w:val="single" w:sz="4" w:space="0" w:color="auto"/>
              <w:bottom w:val="nil"/>
              <w:right w:val="single" w:sz="4" w:space="0" w:color="auto"/>
            </w:tcBorders>
            <w:shd w:val="clear" w:color="000000" w:fill="C00000"/>
            <w:hideMark/>
          </w:tcPr>
          <w:p w14:paraId="28B74C98" w14:textId="77777777" w:rsidR="00E5679B" w:rsidRPr="00E5679B" w:rsidRDefault="00E5679B" w:rsidP="00E5679B">
            <w:pP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lastRenderedPageBreak/>
              <w:t>Authorised Limit</w:t>
            </w:r>
          </w:p>
        </w:tc>
        <w:tc>
          <w:tcPr>
            <w:tcW w:w="980" w:type="dxa"/>
            <w:tcBorders>
              <w:top w:val="single" w:sz="4" w:space="0" w:color="auto"/>
              <w:left w:val="nil"/>
              <w:bottom w:val="nil"/>
              <w:right w:val="single" w:sz="4" w:space="0" w:color="auto"/>
            </w:tcBorders>
            <w:shd w:val="clear" w:color="000000" w:fill="C00000"/>
            <w:hideMark/>
          </w:tcPr>
          <w:p w14:paraId="1B022E4D"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2024-25</w:t>
            </w:r>
            <w:r w:rsidRPr="00E5679B">
              <w:rPr>
                <w:rFonts w:ascii="Calibri" w:eastAsia="Times New Roman" w:hAnsi="Calibri" w:cs="Calibri"/>
                <w:b/>
                <w:bCs/>
                <w:color w:val="FFFFFF"/>
                <w:sz w:val="18"/>
                <w:szCs w:val="18"/>
                <w:lang w:eastAsia="en-GB"/>
              </w:rPr>
              <w:br/>
              <w:t>Forecast</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3DB6F399"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2025-26</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2EAC1431"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2026-27</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A8F6CF3"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2027-28</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0B537541"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2028-29</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BC60353"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2029-30</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r>
      <w:tr w:rsidR="00E5679B" w:rsidRPr="00E5679B" w14:paraId="25066D11" w14:textId="77777777" w:rsidTr="00EE3D26">
        <w:trPr>
          <w:trHeight w:val="507"/>
        </w:trPr>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BEC8" w14:textId="77777777" w:rsidR="00E5679B" w:rsidRPr="00E5679B" w:rsidRDefault="00E5679B" w:rsidP="00E5679B">
            <w:pPr>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 xml:space="preserve">Total Borrowing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19B1FCB0"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9,900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C37B37E"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13,200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FEDD485"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30,800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1FED3CC"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31,900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68101F02"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39,600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D829121"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47,300</w:t>
            </w:r>
          </w:p>
        </w:tc>
      </w:tr>
    </w:tbl>
    <w:p w14:paraId="4D1AA1FB" w14:textId="77777777" w:rsidR="00E5679B" w:rsidRPr="005B0195" w:rsidRDefault="00E5679B" w:rsidP="00EE3D26">
      <w:pPr>
        <w:ind w:left="709"/>
        <w:jc w:val="both"/>
        <w:rPr>
          <w:rFonts w:ascii="Calibri" w:eastAsia="Times New Roman" w:hAnsi="Calibri" w:cs="Calibri"/>
          <w:b/>
        </w:rPr>
      </w:pPr>
    </w:p>
    <w:p w14:paraId="7A9DB0C2" w14:textId="77777777" w:rsidR="00DC4645" w:rsidRPr="000736E1" w:rsidRDefault="00DC4645" w:rsidP="00DC4645">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 rising trend of the Authorised Limit reflects that of the CFR and subsequently the Operational Boundary.  The level set is at a </w:t>
      </w:r>
      <w:r>
        <w:rPr>
          <w:rFonts w:ascii="Calibri" w:eastAsia="Times New Roman" w:hAnsi="Calibri" w:cs="Calibri"/>
        </w:rPr>
        <w:t>10</w:t>
      </w:r>
      <w:r w:rsidRPr="000736E1">
        <w:rPr>
          <w:rFonts w:ascii="Calibri" w:eastAsia="Times New Roman" w:hAnsi="Calibri" w:cs="Calibri"/>
        </w:rPr>
        <w:t xml:space="preserve">% margin above the Operational Boundary, providing additional headroom for further short-term borrowing should it be required for cashflow </w:t>
      </w:r>
      <w:r>
        <w:rPr>
          <w:rFonts w:ascii="Calibri" w:eastAsia="Times New Roman" w:hAnsi="Calibri" w:cs="Calibri"/>
        </w:rPr>
        <w:t>purposes and changes to short term estimates</w:t>
      </w:r>
      <w:r w:rsidRPr="000736E1">
        <w:rPr>
          <w:rFonts w:ascii="Calibri" w:eastAsia="Times New Roman" w:hAnsi="Calibri" w:cs="Calibri"/>
        </w:rPr>
        <w:t>, before the legal limit is reached.</w:t>
      </w:r>
    </w:p>
    <w:p w14:paraId="570BAE7E" w14:textId="77777777" w:rsidR="004D09CE" w:rsidRPr="005B0195" w:rsidRDefault="004D09CE" w:rsidP="004D09CE">
      <w:pPr>
        <w:jc w:val="both"/>
        <w:rPr>
          <w:rFonts w:ascii="Calibri" w:eastAsia="Times New Roman" w:hAnsi="Calibri" w:cs="Calibri"/>
        </w:rPr>
      </w:pPr>
    </w:p>
    <w:p w14:paraId="7631FECC" w14:textId="77777777" w:rsidR="004D09CE" w:rsidRPr="005B0195" w:rsidRDefault="004D09CE" w:rsidP="004D09CE">
      <w:pPr>
        <w:numPr>
          <w:ilvl w:val="0"/>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b/>
        </w:rPr>
        <w:t>Treasury Management Limits on Activity</w:t>
      </w:r>
    </w:p>
    <w:p w14:paraId="7708CEF1" w14:textId="77777777" w:rsidR="004D09CE" w:rsidRPr="005B0195" w:rsidRDefault="004D09CE" w:rsidP="004D09CE">
      <w:pPr>
        <w:jc w:val="both"/>
        <w:rPr>
          <w:rFonts w:ascii="Calibri" w:eastAsia="Times New Roman" w:hAnsi="Calibri" w:cs="Calibri"/>
        </w:rPr>
      </w:pPr>
    </w:p>
    <w:p w14:paraId="27F7F70D" w14:textId="364A7569"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There are four debt and investment related treasury activity limits. </w:t>
      </w:r>
      <w:r w:rsidR="00520C7D" w:rsidRPr="005B0195">
        <w:rPr>
          <w:rFonts w:ascii="Calibri" w:eastAsia="Times New Roman" w:hAnsi="Calibri" w:cs="Calibri"/>
        </w:rPr>
        <w:t xml:space="preserve"> </w:t>
      </w:r>
      <w:r w:rsidRPr="005B0195">
        <w:rPr>
          <w:rFonts w:ascii="Calibri" w:eastAsia="Times New Roman" w:hAnsi="Calibri" w:cs="Calibri"/>
        </w:rPr>
        <w:t xml:space="preserve">The purpose of these </w:t>
      </w:r>
      <w:r w:rsidR="005478B9" w:rsidRPr="005B0195">
        <w:rPr>
          <w:rFonts w:ascii="Calibri" w:eastAsia="Times New Roman" w:hAnsi="Calibri" w:cs="Calibri"/>
        </w:rPr>
        <w:t>is</w:t>
      </w:r>
      <w:r w:rsidRPr="005B0195">
        <w:rPr>
          <w:rFonts w:ascii="Calibri" w:eastAsia="Times New Roman" w:hAnsi="Calibri" w:cs="Calibri"/>
        </w:rPr>
        <w:t xml:space="preserve"> to contain the activity of the treasury function within certain limits, thereby managing risk and reducing the impact of any adverse movement in interest rates. </w:t>
      </w:r>
      <w:r w:rsidR="00520C7D" w:rsidRPr="005B0195">
        <w:rPr>
          <w:rFonts w:ascii="Calibri" w:eastAsia="Times New Roman" w:hAnsi="Calibri" w:cs="Calibri"/>
        </w:rPr>
        <w:t xml:space="preserve"> </w:t>
      </w:r>
      <w:r w:rsidRPr="005B0195">
        <w:rPr>
          <w:rFonts w:ascii="Calibri" w:eastAsia="Times New Roman" w:hAnsi="Calibri" w:cs="Calibri"/>
          <w:iCs/>
        </w:rPr>
        <w:t xml:space="preserve">However, if these are set to be too </w:t>
      </w:r>
      <w:r w:rsidR="005B7FCC" w:rsidRPr="005B0195">
        <w:rPr>
          <w:rFonts w:ascii="Calibri" w:eastAsia="Times New Roman" w:hAnsi="Calibri" w:cs="Calibri"/>
          <w:iCs/>
        </w:rPr>
        <w:t>restrictive,</w:t>
      </w:r>
      <w:r w:rsidRPr="005B0195">
        <w:rPr>
          <w:rFonts w:ascii="Calibri" w:eastAsia="Times New Roman" w:hAnsi="Calibri" w:cs="Calibri"/>
          <w:iCs/>
        </w:rPr>
        <w:t xml:space="preserve"> they will impair the opportunities to reduce costs or improve performance. </w:t>
      </w:r>
      <w:r w:rsidR="00520C7D" w:rsidRPr="005B0195">
        <w:rPr>
          <w:rFonts w:ascii="Calibri" w:eastAsia="Times New Roman" w:hAnsi="Calibri" w:cs="Calibri"/>
          <w:iCs/>
        </w:rPr>
        <w:t xml:space="preserve"> </w:t>
      </w:r>
      <w:r w:rsidRPr="005B0195">
        <w:rPr>
          <w:rFonts w:ascii="Calibri" w:eastAsia="Times New Roman" w:hAnsi="Calibri" w:cs="Calibri"/>
        </w:rPr>
        <w:t>The indicators for debt are:</w:t>
      </w:r>
    </w:p>
    <w:p w14:paraId="6ECD7F2B" w14:textId="77777777" w:rsidR="004D09CE" w:rsidRPr="005B0195" w:rsidRDefault="004D09CE" w:rsidP="004D09CE">
      <w:pPr>
        <w:ind w:left="720"/>
        <w:jc w:val="both"/>
        <w:rPr>
          <w:rFonts w:ascii="Calibri" w:eastAsia="Times New Roman" w:hAnsi="Calibri" w:cs="Calibri"/>
        </w:rPr>
      </w:pPr>
    </w:p>
    <w:p w14:paraId="5C947F78" w14:textId="0D10B660" w:rsidR="004D09CE" w:rsidRPr="005B0195" w:rsidRDefault="004D09CE" w:rsidP="00EE3D26">
      <w:pPr>
        <w:numPr>
          <w:ilvl w:val="0"/>
          <w:numId w:val="5"/>
        </w:numPr>
        <w:tabs>
          <w:tab w:val="clear" w:pos="1440"/>
          <w:tab w:val="left" w:pos="1134"/>
        </w:tabs>
        <w:ind w:left="993" w:hanging="284"/>
        <w:jc w:val="both"/>
        <w:rPr>
          <w:rFonts w:ascii="Calibri" w:eastAsia="Times New Roman" w:hAnsi="Calibri" w:cs="Calibri"/>
          <w:iCs/>
        </w:rPr>
      </w:pPr>
      <w:r w:rsidRPr="005B0195">
        <w:rPr>
          <w:rFonts w:ascii="Calibri" w:eastAsia="Times New Roman" w:hAnsi="Calibri" w:cs="Calibri"/>
          <w:b/>
          <w:iCs/>
        </w:rPr>
        <w:t>Upper limits on variable interest rate exposure;</w:t>
      </w:r>
      <w:r w:rsidRPr="005B0195">
        <w:rPr>
          <w:rFonts w:ascii="Calibri" w:eastAsia="Times New Roman" w:hAnsi="Calibri" w:cs="Calibri"/>
          <w:iCs/>
        </w:rPr>
        <w:t xml:space="preserve"> this identifies a maximum limit for variable interest rates based upon the debt position net of investments</w:t>
      </w:r>
      <w:r w:rsidR="00D4345D">
        <w:rPr>
          <w:rFonts w:ascii="Calibri" w:eastAsia="Times New Roman" w:hAnsi="Calibri" w:cs="Calibri"/>
          <w:iCs/>
        </w:rPr>
        <w:t>.</w:t>
      </w:r>
    </w:p>
    <w:p w14:paraId="47EAF955" w14:textId="55314090" w:rsidR="004D09CE" w:rsidRPr="005B0195" w:rsidRDefault="004D09CE" w:rsidP="00EE3D26">
      <w:pPr>
        <w:numPr>
          <w:ilvl w:val="0"/>
          <w:numId w:val="5"/>
        </w:numPr>
        <w:tabs>
          <w:tab w:val="clear" w:pos="1440"/>
          <w:tab w:val="left" w:pos="1134"/>
        </w:tabs>
        <w:ind w:left="993" w:hanging="284"/>
        <w:jc w:val="both"/>
        <w:rPr>
          <w:rFonts w:ascii="Calibri" w:eastAsia="Times New Roman" w:hAnsi="Calibri" w:cs="Calibri"/>
          <w:iCs/>
        </w:rPr>
      </w:pPr>
      <w:r w:rsidRPr="005B0195">
        <w:rPr>
          <w:rFonts w:ascii="Calibri" w:eastAsia="Times New Roman" w:hAnsi="Calibri" w:cs="Calibri"/>
          <w:b/>
          <w:iCs/>
        </w:rPr>
        <w:t>Upper limits on fixed interest rate exposure;</w:t>
      </w:r>
      <w:r w:rsidRPr="005B0195">
        <w:rPr>
          <w:rFonts w:ascii="Calibri" w:eastAsia="Times New Roman" w:hAnsi="Calibri" w:cs="Calibri"/>
          <w:iCs/>
        </w:rPr>
        <w:t xml:space="preserve"> this is similar to the previous indicator and covers a maximum limit on fixed interest rates</w:t>
      </w:r>
      <w:r w:rsidR="00D4345D">
        <w:rPr>
          <w:rFonts w:ascii="Calibri" w:eastAsia="Times New Roman" w:hAnsi="Calibri" w:cs="Calibri"/>
          <w:iCs/>
        </w:rPr>
        <w:t>.</w:t>
      </w:r>
    </w:p>
    <w:p w14:paraId="1C6C0A72" w14:textId="4846D17E" w:rsidR="004D09CE" w:rsidRPr="005B0195" w:rsidRDefault="004D09CE" w:rsidP="00EE3D26">
      <w:pPr>
        <w:numPr>
          <w:ilvl w:val="0"/>
          <w:numId w:val="5"/>
        </w:numPr>
        <w:tabs>
          <w:tab w:val="clear" w:pos="1440"/>
          <w:tab w:val="left" w:pos="1134"/>
        </w:tabs>
        <w:ind w:left="993" w:hanging="284"/>
        <w:jc w:val="both"/>
        <w:rPr>
          <w:rFonts w:ascii="Calibri" w:eastAsia="Times New Roman" w:hAnsi="Calibri" w:cs="Calibri"/>
          <w:iCs/>
        </w:rPr>
      </w:pPr>
      <w:r w:rsidRPr="005B0195">
        <w:rPr>
          <w:rFonts w:ascii="Calibri" w:eastAsia="Times New Roman" w:hAnsi="Calibri" w:cs="Calibri"/>
          <w:b/>
          <w:iCs/>
        </w:rPr>
        <w:t>Maturity structure of borrowing;</w:t>
      </w:r>
      <w:r w:rsidRPr="005B0195">
        <w:rPr>
          <w:rFonts w:ascii="Calibri" w:eastAsia="Times New Roman" w:hAnsi="Calibri" w:cs="Calibri"/>
          <w:iCs/>
        </w:rPr>
        <w:t xml:space="preserve"> these gross limits are set to reduce the</w:t>
      </w:r>
      <w:r w:rsidR="0064222E" w:rsidRPr="005B0195">
        <w:rPr>
          <w:rFonts w:ascii="Calibri" w:eastAsia="Times New Roman" w:hAnsi="Calibri" w:cs="Calibri"/>
          <w:iCs/>
        </w:rPr>
        <w:t xml:space="preserve"> </w:t>
      </w:r>
      <w:r w:rsidR="00997B51">
        <w:rPr>
          <w:rFonts w:ascii="Calibri" w:eastAsia="Times New Roman" w:hAnsi="Calibri" w:cs="Calibri"/>
          <w:iCs/>
        </w:rPr>
        <w:t>NCFRA</w:t>
      </w:r>
      <w:r w:rsidRPr="005B0195">
        <w:rPr>
          <w:rFonts w:ascii="Calibri" w:eastAsia="Times New Roman" w:hAnsi="Calibri" w:cs="Calibri"/>
          <w:iCs/>
        </w:rPr>
        <w:t xml:space="preserve">’s exposure to </w:t>
      </w:r>
      <w:r w:rsidR="005B7FCC" w:rsidRPr="005B0195">
        <w:rPr>
          <w:rFonts w:ascii="Calibri" w:eastAsia="Times New Roman" w:hAnsi="Calibri" w:cs="Calibri"/>
          <w:iCs/>
        </w:rPr>
        <w:t>large, fixed</w:t>
      </w:r>
      <w:r w:rsidRPr="005B0195">
        <w:rPr>
          <w:rFonts w:ascii="Calibri" w:eastAsia="Times New Roman" w:hAnsi="Calibri" w:cs="Calibri"/>
          <w:iCs/>
        </w:rPr>
        <w:t xml:space="preserve"> rate sums falling due for refinancing, and are required for upper and lower limits</w:t>
      </w:r>
      <w:r w:rsidR="00D4345D">
        <w:rPr>
          <w:rFonts w:ascii="Calibri" w:eastAsia="Times New Roman" w:hAnsi="Calibri" w:cs="Calibri"/>
          <w:iCs/>
        </w:rPr>
        <w:t>.</w:t>
      </w:r>
    </w:p>
    <w:p w14:paraId="77D985B6" w14:textId="77777777" w:rsidR="004D09CE" w:rsidRPr="005B0195" w:rsidRDefault="004D09CE" w:rsidP="004D09CE">
      <w:pPr>
        <w:ind w:left="720"/>
        <w:jc w:val="both"/>
        <w:rPr>
          <w:rFonts w:ascii="Calibri" w:eastAsia="Times New Roman" w:hAnsi="Calibri" w:cs="Calibri"/>
        </w:rPr>
      </w:pPr>
    </w:p>
    <w:p w14:paraId="6EEB9033" w14:textId="14CA297A"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 interest rate exposure is calculated as a percentage of net debt. </w:t>
      </w:r>
      <w:r w:rsidR="00520C7D" w:rsidRPr="005B0195">
        <w:rPr>
          <w:rFonts w:ascii="Calibri" w:eastAsia="Times New Roman" w:hAnsi="Calibri" w:cs="Calibri"/>
        </w:rPr>
        <w:t xml:space="preserve"> </w:t>
      </w:r>
      <w:r w:rsidRPr="005B0195">
        <w:rPr>
          <w:rFonts w:ascii="Calibri" w:eastAsia="Times New Roman" w:hAnsi="Calibri" w:cs="Calibri"/>
        </w:rPr>
        <w:t>Due to the mathematical calculation, exposures could be greater than 100% or below zero (</w:t>
      </w:r>
      <w:proofErr w:type="spellStart"/>
      <w:r w:rsidRPr="005B0195">
        <w:rPr>
          <w:rFonts w:ascii="Calibri" w:eastAsia="Times New Roman" w:hAnsi="Calibri" w:cs="Calibri"/>
        </w:rPr>
        <w:t>ie</w:t>
      </w:r>
      <w:proofErr w:type="spellEnd"/>
      <w:r w:rsidRPr="005B0195">
        <w:rPr>
          <w:rFonts w:ascii="Calibri" w:eastAsia="Times New Roman" w:hAnsi="Calibri" w:cs="Calibri"/>
        </w:rPr>
        <w:t xml:space="preserve">. negative) depending on the component parts of the formula. </w:t>
      </w:r>
      <w:r w:rsidR="00520C7D" w:rsidRPr="005B0195">
        <w:rPr>
          <w:rFonts w:ascii="Calibri" w:eastAsia="Times New Roman" w:hAnsi="Calibri" w:cs="Calibri"/>
        </w:rPr>
        <w:t xml:space="preserve"> </w:t>
      </w:r>
      <w:r w:rsidRPr="005B0195">
        <w:rPr>
          <w:rFonts w:ascii="Calibri" w:eastAsia="Times New Roman" w:hAnsi="Calibri" w:cs="Calibri"/>
        </w:rPr>
        <w:t>The formula is shown below:</w:t>
      </w:r>
    </w:p>
    <w:p w14:paraId="5E07E2BF" w14:textId="77777777" w:rsidR="004D09CE" w:rsidRPr="005B0195" w:rsidRDefault="004D09CE" w:rsidP="004D09CE">
      <w:pPr>
        <w:ind w:left="720"/>
        <w:jc w:val="both"/>
        <w:rPr>
          <w:rFonts w:ascii="Calibri" w:eastAsia="Times New Roman" w:hAnsi="Calibri" w:cs="Calibri"/>
        </w:rPr>
      </w:pPr>
    </w:p>
    <w:p w14:paraId="6F929AB7" w14:textId="77777777" w:rsidR="004D09CE" w:rsidRPr="005B0195" w:rsidRDefault="004D09CE" w:rsidP="004D09CE">
      <w:pPr>
        <w:spacing w:after="120"/>
        <w:ind w:left="720"/>
        <w:jc w:val="both"/>
        <w:rPr>
          <w:rFonts w:ascii="Calibri" w:eastAsia="Times New Roman" w:hAnsi="Calibri" w:cs="Calibri"/>
        </w:rPr>
      </w:pPr>
      <w:r w:rsidRPr="005B0195">
        <w:rPr>
          <w:rFonts w:ascii="Calibri" w:eastAsia="Times New Roman" w:hAnsi="Calibri" w:cs="Calibri"/>
        </w:rPr>
        <w:t>Fixed rate calculation:</w:t>
      </w:r>
    </w:p>
    <w:p w14:paraId="66465CCF" w14:textId="77777777" w:rsidR="004D09CE" w:rsidRPr="005B0195" w:rsidRDefault="004D09CE" w:rsidP="004D09CE">
      <w:pPr>
        <w:ind w:left="720" w:firstLine="720"/>
        <w:jc w:val="both"/>
        <w:rPr>
          <w:rFonts w:ascii="Calibri" w:eastAsia="Times New Roman" w:hAnsi="Calibri" w:cs="Calibri"/>
          <w:u w:val="single"/>
        </w:rPr>
      </w:pPr>
      <w:r w:rsidRPr="005B0195">
        <w:rPr>
          <w:rFonts w:ascii="Calibri" w:eastAsia="Times New Roman" w:hAnsi="Calibri" w:cs="Calibri"/>
          <w:u w:val="single"/>
        </w:rPr>
        <w:t>(Fixed rate borrowing – Fixed rate investments)</w:t>
      </w:r>
    </w:p>
    <w:p w14:paraId="346354A1" w14:textId="77777777" w:rsidR="004D09CE" w:rsidRPr="005B0195" w:rsidRDefault="004D09CE" w:rsidP="004D09CE">
      <w:pPr>
        <w:ind w:left="720" w:firstLine="720"/>
        <w:jc w:val="both"/>
        <w:rPr>
          <w:rFonts w:ascii="Calibri" w:eastAsia="Times New Roman" w:hAnsi="Calibri" w:cs="Calibri"/>
        </w:rPr>
      </w:pPr>
      <w:r w:rsidRPr="005B0195">
        <w:rPr>
          <w:rFonts w:ascii="Calibri" w:eastAsia="Times New Roman" w:hAnsi="Calibri" w:cs="Calibri"/>
        </w:rPr>
        <w:t xml:space="preserve">        Total borrowing – Total investments</w:t>
      </w:r>
    </w:p>
    <w:p w14:paraId="61B27FC0" w14:textId="77777777" w:rsidR="004D09CE" w:rsidRPr="005B0195" w:rsidRDefault="004D09CE" w:rsidP="004D09CE">
      <w:pPr>
        <w:jc w:val="both"/>
        <w:rPr>
          <w:rFonts w:ascii="Calibri" w:eastAsia="Times New Roman" w:hAnsi="Calibri" w:cs="Calibri"/>
        </w:rPr>
      </w:pPr>
    </w:p>
    <w:p w14:paraId="17DBCBBC" w14:textId="77777777" w:rsidR="004D09CE" w:rsidRPr="005B0195" w:rsidRDefault="004D09CE" w:rsidP="004D09CE">
      <w:pPr>
        <w:spacing w:after="120"/>
        <w:ind w:left="720"/>
        <w:jc w:val="both"/>
        <w:rPr>
          <w:rFonts w:ascii="Calibri" w:eastAsia="Times New Roman" w:hAnsi="Calibri" w:cs="Calibri"/>
        </w:rPr>
      </w:pPr>
      <w:r w:rsidRPr="005B0195">
        <w:rPr>
          <w:rFonts w:ascii="Calibri" w:eastAsia="Times New Roman" w:hAnsi="Calibri" w:cs="Calibri"/>
        </w:rPr>
        <w:t>Variable rate calculation:</w:t>
      </w:r>
    </w:p>
    <w:p w14:paraId="66239CBF" w14:textId="507E6852" w:rsidR="004D09CE" w:rsidRPr="005B0195" w:rsidRDefault="004D09CE" w:rsidP="004D09CE">
      <w:pPr>
        <w:ind w:left="720"/>
        <w:jc w:val="both"/>
        <w:rPr>
          <w:rFonts w:ascii="Calibri" w:eastAsia="Times New Roman" w:hAnsi="Calibri" w:cs="Calibri"/>
          <w:u w:val="single"/>
        </w:rPr>
      </w:pPr>
      <w:r w:rsidRPr="005B0195">
        <w:rPr>
          <w:rFonts w:ascii="Calibri" w:eastAsia="Times New Roman" w:hAnsi="Calibri" w:cs="Calibri"/>
        </w:rPr>
        <w:tab/>
      </w:r>
      <w:r w:rsidRPr="005B0195">
        <w:rPr>
          <w:rFonts w:ascii="Calibri" w:eastAsia="Times New Roman" w:hAnsi="Calibri" w:cs="Calibri"/>
          <w:u w:val="single"/>
        </w:rPr>
        <w:t xml:space="preserve">(Variable rate borrowing – </w:t>
      </w:r>
      <w:r w:rsidR="00520C7D" w:rsidRPr="005B0195">
        <w:rPr>
          <w:rFonts w:ascii="Calibri" w:eastAsia="Times New Roman" w:hAnsi="Calibri" w:cs="Calibri"/>
          <w:u w:val="single"/>
        </w:rPr>
        <w:t>V</w:t>
      </w:r>
      <w:r w:rsidRPr="005B0195">
        <w:rPr>
          <w:rFonts w:ascii="Calibri" w:eastAsia="Times New Roman" w:hAnsi="Calibri" w:cs="Calibri"/>
          <w:u w:val="single"/>
        </w:rPr>
        <w:t>ariable rate investments)</w:t>
      </w:r>
    </w:p>
    <w:p w14:paraId="7F414717" w14:textId="1110A54C" w:rsidR="004D09CE" w:rsidRDefault="004D09CE" w:rsidP="004D09CE">
      <w:pPr>
        <w:ind w:left="720"/>
        <w:jc w:val="both"/>
        <w:rPr>
          <w:rFonts w:ascii="Calibri" w:eastAsia="Times New Roman" w:hAnsi="Calibri" w:cs="Calibri"/>
        </w:rPr>
      </w:pPr>
      <w:r w:rsidRPr="005B0195">
        <w:rPr>
          <w:rFonts w:ascii="Calibri" w:eastAsia="Times New Roman" w:hAnsi="Calibri" w:cs="Calibri"/>
        </w:rPr>
        <w:tab/>
        <w:t xml:space="preserve">           Total </w:t>
      </w:r>
      <w:r w:rsidRPr="00DC2E17">
        <w:rPr>
          <w:rFonts w:ascii="Calibri" w:eastAsia="Times New Roman" w:hAnsi="Calibri" w:cs="Calibri"/>
        </w:rPr>
        <w:t>borrowing – Total investments</w:t>
      </w:r>
    </w:p>
    <w:p w14:paraId="2CAB28C7" w14:textId="77777777" w:rsidR="00E5679B" w:rsidRDefault="00E5679B" w:rsidP="004D09CE">
      <w:pPr>
        <w:ind w:left="720"/>
        <w:jc w:val="both"/>
        <w:rPr>
          <w:rFonts w:ascii="Calibri" w:eastAsia="Times New Roman" w:hAnsi="Calibri" w:cs="Calibri"/>
        </w:rPr>
      </w:pPr>
    </w:p>
    <w:p w14:paraId="38D14309" w14:textId="77777777" w:rsidR="00E5679B" w:rsidRDefault="00E5679B" w:rsidP="004D09CE">
      <w:pPr>
        <w:ind w:left="720"/>
        <w:jc w:val="both"/>
        <w:rPr>
          <w:rFonts w:ascii="Calibri" w:eastAsia="Times New Roman" w:hAnsi="Calibri" w:cs="Calibri"/>
        </w:rPr>
      </w:pPr>
    </w:p>
    <w:p w14:paraId="781E444E" w14:textId="77777777" w:rsidR="00E5679B" w:rsidRDefault="00E5679B" w:rsidP="004D09CE">
      <w:pPr>
        <w:ind w:left="720"/>
        <w:jc w:val="both"/>
        <w:rPr>
          <w:rFonts w:ascii="Calibri" w:eastAsia="Times New Roman" w:hAnsi="Calibri" w:cs="Calibri"/>
        </w:rPr>
      </w:pPr>
    </w:p>
    <w:p w14:paraId="5AF52220" w14:textId="77777777" w:rsidR="00E5679B" w:rsidRDefault="00E5679B" w:rsidP="004D09CE">
      <w:pPr>
        <w:ind w:left="720"/>
        <w:jc w:val="both"/>
        <w:rPr>
          <w:rFonts w:ascii="Calibri" w:eastAsia="Times New Roman" w:hAnsi="Calibri" w:cs="Calibri"/>
        </w:rPr>
      </w:pPr>
    </w:p>
    <w:p w14:paraId="06237D94" w14:textId="77777777" w:rsidR="00A255EE" w:rsidRDefault="00A255EE" w:rsidP="004D09CE">
      <w:pPr>
        <w:ind w:left="720"/>
        <w:jc w:val="both"/>
        <w:rPr>
          <w:rFonts w:ascii="Calibri" w:eastAsia="Times New Roman" w:hAnsi="Calibri" w:cs="Calibri"/>
        </w:rPr>
      </w:pPr>
    </w:p>
    <w:tbl>
      <w:tblPr>
        <w:tblW w:w="8072" w:type="dxa"/>
        <w:tblInd w:w="830" w:type="dxa"/>
        <w:tblLook w:val="04A0" w:firstRow="1" w:lastRow="0" w:firstColumn="1" w:lastColumn="0" w:noHBand="0" w:noVBand="1"/>
      </w:tblPr>
      <w:tblGrid>
        <w:gridCol w:w="2383"/>
        <w:gridCol w:w="849"/>
        <w:gridCol w:w="968"/>
        <w:gridCol w:w="968"/>
        <w:gridCol w:w="968"/>
        <w:gridCol w:w="968"/>
        <w:gridCol w:w="968"/>
      </w:tblGrid>
      <w:tr w:rsidR="005B67EE" w:rsidRPr="005B67EE" w14:paraId="18EB7BC5" w14:textId="77777777" w:rsidTr="005B67EE">
        <w:trPr>
          <w:trHeight w:val="675"/>
        </w:trPr>
        <w:tc>
          <w:tcPr>
            <w:tcW w:w="2953" w:type="dxa"/>
            <w:tcBorders>
              <w:top w:val="single" w:sz="4" w:space="0" w:color="auto"/>
              <w:left w:val="single" w:sz="4" w:space="0" w:color="auto"/>
              <w:bottom w:val="nil"/>
              <w:right w:val="single" w:sz="4" w:space="0" w:color="auto"/>
            </w:tcBorders>
            <w:shd w:val="clear" w:color="000000" w:fill="C00000"/>
            <w:hideMark/>
          </w:tcPr>
          <w:p w14:paraId="495FC436"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lastRenderedPageBreak/>
              <w:t>Interest rate Exposures</w:t>
            </w:r>
          </w:p>
        </w:tc>
        <w:tc>
          <w:tcPr>
            <w:tcW w:w="764" w:type="dxa"/>
            <w:tcBorders>
              <w:top w:val="single" w:sz="4" w:space="0" w:color="auto"/>
              <w:left w:val="nil"/>
              <w:bottom w:val="nil"/>
              <w:right w:val="single" w:sz="4" w:space="0" w:color="auto"/>
            </w:tcBorders>
            <w:shd w:val="clear" w:color="000000" w:fill="C00000"/>
            <w:hideMark/>
          </w:tcPr>
          <w:p w14:paraId="79F72B72"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2024-25</w:t>
            </w:r>
            <w:r w:rsidRPr="005B67EE">
              <w:rPr>
                <w:rFonts w:ascii="Calibri" w:eastAsia="Times New Roman" w:hAnsi="Calibri" w:cs="Calibri"/>
                <w:b/>
                <w:bCs/>
                <w:color w:val="FFFFFF"/>
                <w:sz w:val="18"/>
                <w:szCs w:val="18"/>
                <w:lang w:eastAsia="en-GB"/>
              </w:rPr>
              <w:br/>
              <w:t>Forecast</w:t>
            </w:r>
            <w:r w:rsidRPr="005B67EE">
              <w:rPr>
                <w:rFonts w:ascii="Calibri" w:eastAsia="Times New Roman" w:hAnsi="Calibri" w:cs="Calibri"/>
                <w:b/>
                <w:bCs/>
                <w:color w:val="FFFFFF"/>
                <w:sz w:val="18"/>
                <w:szCs w:val="18"/>
                <w:lang w:eastAsia="en-GB"/>
              </w:rPr>
              <w:br/>
              <w:t>£'000</w:t>
            </w:r>
          </w:p>
        </w:tc>
        <w:tc>
          <w:tcPr>
            <w:tcW w:w="871" w:type="dxa"/>
            <w:tcBorders>
              <w:top w:val="single" w:sz="4" w:space="0" w:color="auto"/>
              <w:left w:val="nil"/>
              <w:bottom w:val="nil"/>
              <w:right w:val="single" w:sz="4" w:space="0" w:color="auto"/>
            </w:tcBorders>
            <w:shd w:val="clear" w:color="000000" w:fill="C00000"/>
            <w:hideMark/>
          </w:tcPr>
          <w:p w14:paraId="1A4AC0D5"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2025-26</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871" w:type="dxa"/>
            <w:tcBorders>
              <w:top w:val="single" w:sz="4" w:space="0" w:color="auto"/>
              <w:left w:val="nil"/>
              <w:bottom w:val="nil"/>
              <w:right w:val="single" w:sz="4" w:space="0" w:color="auto"/>
            </w:tcBorders>
            <w:shd w:val="clear" w:color="000000" w:fill="C00000"/>
            <w:hideMark/>
          </w:tcPr>
          <w:p w14:paraId="40D46E24"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2026-27</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871" w:type="dxa"/>
            <w:tcBorders>
              <w:top w:val="single" w:sz="4" w:space="0" w:color="auto"/>
              <w:left w:val="nil"/>
              <w:bottom w:val="nil"/>
              <w:right w:val="single" w:sz="4" w:space="0" w:color="auto"/>
            </w:tcBorders>
            <w:shd w:val="clear" w:color="000000" w:fill="C00000"/>
            <w:hideMark/>
          </w:tcPr>
          <w:p w14:paraId="30922ED9"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2027-28</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871" w:type="dxa"/>
            <w:tcBorders>
              <w:top w:val="single" w:sz="4" w:space="0" w:color="auto"/>
              <w:left w:val="nil"/>
              <w:bottom w:val="nil"/>
              <w:right w:val="single" w:sz="4" w:space="0" w:color="auto"/>
            </w:tcBorders>
            <w:shd w:val="clear" w:color="000000" w:fill="C00000"/>
            <w:hideMark/>
          </w:tcPr>
          <w:p w14:paraId="731C1784"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2028-29</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871" w:type="dxa"/>
            <w:tcBorders>
              <w:top w:val="single" w:sz="4" w:space="0" w:color="auto"/>
              <w:left w:val="nil"/>
              <w:bottom w:val="nil"/>
              <w:right w:val="single" w:sz="4" w:space="0" w:color="auto"/>
            </w:tcBorders>
            <w:shd w:val="clear" w:color="000000" w:fill="C00000"/>
            <w:hideMark/>
          </w:tcPr>
          <w:p w14:paraId="17BF173F"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2029-30</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r>
      <w:tr w:rsidR="005B67EE" w:rsidRPr="005B67EE" w14:paraId="46891F7D" w14:textId="77777777" w:rsidTr="00EE3D26">
        <w:trPr>
          <w:trHeight w:val="50"/>
        </w:trPr>
        <w:tc>
          <w:tcPr>
            <w:tcW w:w="2953" w:type="dxa"/>
            <w:tcBorders>
              <w:top w:val="single" w:sz="4" w:space="0" w:color="auto"/>
              <w:left w:val="single" w:sz="4" w:space="0" w:color="auto"/>
              <w:bottom w:val="nil"/>
              <w:right w:val="single" w:sz="4" w:space="0" w:color="auto"/>
            </w:tcBorders>
            <w:shd w:val="clear" w:color="000000" w:fill="FFFFFF"/>
            <w:vAlign w:val="center"/>
            <w:hideMark/>
          </w:tcPr>
          <w:p w14:paraId="1CF7EAAB" w14:textId="77777777" w:rsidR="005B67EE" w:rsidRPr="005B67EE" w:rsidRDefault="005B67EE" w:rsidP="005B67EE">
            <w:pPr>
              <w:rPr>
                <w:rFonts w:ascii="Calibri" w:eastAsia="Times New Roman" w:hAnsi="Calibri" w:cs="Calibri"/>
                <w:b/>
                <w:bCs/>
                <w:sz w:val="18"/>
                <w:szCs w:val="18"/>
                <w:lang w:eastAsia="en-GB"/>
              </w:rPr>
            </w:pPr>
            <w:r w:rsidRPr="005B67EE">
              <w:rPr>
                <w:rFonts w:ascii="Calibri" w:eastAsia="Times New Roman" w:hAnsi="Calibri" w:cs="Calibri"/>
                <w:b/>
                <w:bCs/>
                <w:sz w:val="18"/>
                <w:szCs w:val="18"/>
                <w:lang w:eastAsia="en-GB"/>
              </w:rPr>
              <w:t> </w:t>
            </w:r>
          </w:p>
        </w:tc>
        <w:tc>
          <w:tcPr>
            <w:tcW w:w="764" w:type="dxa"/>
            <w:tcBorders>
              <w:top w:val="single" w:sz="4" w:space="0" w:color="auto"/>
              <w:left w:val="nil"/>
              <w:bottom w:val="single" w:sz="4" w:space="0" w:color="auto"/>
              <w:right w:val="single" w:sz="4" w:space="0" w:color="auto"/>
            </w:tcBorders>
            <w:shd w:val="clear" w:color="000000" w:fill="FFFFFF"/>
            <w:noWrap/>
            <w:vAlign w:val="center"/>
            <w:hideMark/>
          </w:tcPr>
          <w:p w14:paraId="6DF25B24"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14:paraId="059F56B0"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14:paraId="4CCD52E9"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14:paraId="7BF29E97"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14:paraId="25BB00EA"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14:paraId="121EE6CE"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r>
      <w:tr w:rsidR="005B67EE" w:rsidRPr="005B67EE" w14:paraId="5D5DB6F6" w14:textId="77777777" w:rsidTr="00EE3D26">
        <w:trPr>
          <w:trHeight w:val="284"/>
        </w:trPr>
        <w:tc>
          <w:tcPr>
            <w:tcW w:w="2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9D029"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Limits on fixed interest rates based on net debt</w:t>
            </w:r>
          </w:p>
        </w:tc>
        <w:tc>
          <w:tcPr>
            <w:tcW w:w="764" w:type="dxa"/>
            <w:tcBorders>
              <w:top w:val="nil"/>
              <w:left w:val="nil"/>
              <w:bottom w:val="single" w:sz="4" w:space="0" w:color="auto"/>
              <w:right w:val="single" w:sz="4" w:space="0" w:color="auto"/>
            </w:tcBorders>
            <w:shd w:val="clear" w:color="000000" w:fill="FFFFFF"/>
            <w:noWrap/>
            <w:vAlign w:val="center"/>
            <w:hideMark/>
          </w:tcPr>
          <w:p w14:paraId="63036EE3"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871" w:type="dxa"/>
            <w:tcBorders>
              <w:top w:val="nil"/>
              <w:left w:val="nil"/>
              <w:bottom w:val="single" w:sz="4" w:space="0" w:color="auto"/>
              <w:right w:val="single" w:sz="4" w:space="0" w:color="auto"/>
            </w:tcBorders>
            <w:shd w:val="clear" w:color="000000" w:fill="FFFFFF"/>
            <w:noWrap/>
            <w:vAlign w:val="center"/>
            <w:hideMark/>
          </w:tcPr>
          <w:p w14:paraId="15C1EAEF"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871" w:type="dxa"/>
            <w:tcBorders>
              <w:top w:val="nil"/>
              <w:left w:val="nil"/>
              <w:bottom w:val="single" w:sz="4" w:space="0" w:color="auto"/>
              <w:right w:val="single" w:sz="4" w:space="0" w:color="auto"/>
            </w:tcBorders>
            <w:shd w:val="clear" w:color="000000" w:fill="FFFFFF"/>
            <w:noWrap/>
            <w:vAlign w:val="center"/>
            <w:hideMark/>
          </w:tcPr>
          <w:p w14:paraId="4B5E9EF3"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871" w:type="dxa"/>
            <w:tcBorders>
              <w:top w:val="nil"/>
              <w:left w:val="nil"/>
              <w:bottom w:val="single" w:sz="4" w:space="0" w:color="auto"/>
              <w:right w:val="single" w:sz="4" w:space="0" w:color="auto"/>
            </w:tcBorders>
            <w:shd w:val="clear" w:color="000000" w:fill="FFFFFF"/>
            <w:noWrap/>
            <w:vAlign w:val="center"/>
            <w:hideMark/>
          </w:tcPr>
          <w:p w14:paraId="0804BF1A"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871" w:type="dxa"/>
            <w:tcBorders>
              <w:top w:val="nil"/>
              <w:left w:val="nil"/>
              <w:bottom w:val="single" w:sz="4" w:space="0" w:color="auto"/>
              <w:right w:val="single" w:sz="4" w:space="0" w:color="auto"/>
            </w:tcBorders>
            <w:shd w:val="clear" w:color="000000" w:fill="FFFFFF"/>
            <w:noWrap/>
            <w:vAlign w:val="center"/>
            <w:hideMark/>
          </w:tcPr>
          <w:p w14:paraId="3923EE5C"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871" w:type="dxa"/>
            <w:tcBorders>
              <w:top w:val="nil"/>
              <w:left w:val="nil"/>
              <w:bottom w:val="single" w:sz="4" w:space="0" w:color="auto"/>
              <w:right w:val="single" w:sz="4" w:space="0" w:color="auto"/>
            </w:tcBorders>
            <w:shd w:val="clear" w:color="000000" w:fill="FFFFFF"/>
            <w:noWrap/>
            <w:vAlign w:val="center"/>
            <w:hideMark/>
          </w:tcPr>
          <w:p w14:paraId="327C15D1"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r>
      <w:tr w:rsidR="005B67EE" w:rsidRPr="005B67EE" w14:paraId="16253A56" w14:textId="77777777" w:rsidTr="00EE3D26">
        <w:trPr>
          <w:trHeight w:val="132"/>
        </w:trPr>
        <w:tc>
          <w:tcPr>
            <w:tcW w:w="2953" w:type="dxa"/>
            <w:tcBorders>
              <w:top w:val="nil"/>
              <w:left w:val="single" w:sz="4" w:space="0" w:color="auto"/>
              <w:bottom w:val="single" w:sz="4" w:space="0" w:color="auto"/>
              <w:right w:val="single" w:sz="4" w:space="0" w:color="auto"/>
            </w:tcBorders>
            <w:shd w:val="clear" w:color="000000" w:fill="FFFFFF"/>
            <w:vAlign w:val="center"/>
            <w:hideMark/>
          </w:tcPr>
          <w:p w14:paraId="6F40D282" w14:textId="77777777" w:rsidR="005B67EE" w:rsidRPr="005B67EE" w:rsidRDefault="005B67EE" w:rsidP="005B67EE">
            <w:pP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Limits on variable interest rates based on net debt</w:t>
            </w:r>
          </w:p>
        </w:tc>
        <w:tc>
          <w:tcPr>
            <w:tcW w:w="764" w:type="dxa"/>
            <w:tcBorders>
              <w:top w:val="nil"/>
              <w:left w:val="nil"/>
              <w:bottom w:val="single" w:sz="4" w:space="0" w:color="auto"/>
              <w:right w:val="single" w:sz="4" w:space="0" w:color="auto"/>
            </w:tcBorders>
            <w:shd w:val="clear" w:color="000000" w:fill="FFFFFF"/>
            <w:vAlign w:val="center"/>
            <w:hideMark/>
          </w:tcPr>
          <w:p w14:paraId="24D8A895"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871" w:type="dxa"/>
            <w:tcBorders>
              <w:top w:val="nil"/>
              <w:left w:val="nil"/>
              <w:bottom w:val="single" w:sz="4" w:space="0" w:color="auto"/>
              <w:right w:val="single" w:sz="4" w:space="0" w:color="auto"/>
            </w:tcBorders>
            <w:shd w:val="clear" w:color="000000" w:fill="FFFFFF"/>
            <w:vAlign w:val="center"/>
            <w:hideMark/>
          </w:tcPr>
          <w:p w14:paraId="26C83093"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871" w:type="dxa"/>
            <w:tcBorders>
              <w:top w:val="nil"/>
              <w:left w:val="nil"/>
              <w:bottom w:val="single" w:sz="4" w:space="0" w:color="auto"/>
              <w:right w:val="single" w:sz="4" w:space="0" w:color="auto"/>
            </w:tcBorders>
            <w:shd w:val="clear" w:color="000000" w:fill="FFFFFF"/>
            <w:vAlign w:val="center"/>
            <w:hideMark/>
          </w:tcPr>
          <w:p w14:paraId="68FC4613"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871" w:type="dxa"/>
            <w:tcBorders>
              <w:top w:val="nil"/>
              <w:left w:val="nil"/>
              <w:bottom w:val="single" w:sz="4" w:space="0" w:color="auto"/>
              <w:right w:val="single" w:sz="4" w:space="0" w:color="auto"/>
            </w:tcBorders>
            <w:shd w:val="clear" w:color="000000" w:fill="FFFFFF"/>
            <w:vAlign w:val="center"/>
            <w:hideMark/>
          </w:tcPr>
          <w:p w14:paraId="31193C77"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871" w:type="dxa"/>
            <w:tcBorders>
              <w:top w:val="nil"/>
              <w:left w:val="nil"/>
              <w:bottom w:val="single" w:sz="4" w:space="0" w:color="auto"/>
              <w:right w:val="single" w:sz="4" w:space="0" w:color="auto"/>
            </w:tcBorders>
            <w:shd w:val="clear" w:color="000000" w:fill="FFFFFF"/>
            <w:vAlign w:val="center"/>
            <w:hideMark/>
          </w:tcPr>
          <w:p w14:paraId="30317AD9"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871" w:type="dxa"/>
            <w:tcBorders>
              <w:top w:val="nil"/>
              <w:left w:val="nil"/>
              <w:bottom w:val="single" w:sz="4" w:space="0" w:color="auto"/>
              <w:right w:val="single" w:sz="4" w:space="0" w:color="auto"/>
            </w:tcBorders>
            <w:shd w:val="clear" w:color="000000" w:fill="FFFFFF"/>
            <w:vAlign w:val="center"/>
            <w:hideMark/>
          </w:tcPr>
          <w:p w14:paraId="75429399"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r>
    </w:tbl>
    <w:p w14:paraId="7119A11F" w14:textId="3836C460" w:rsidR="004D09CE" w:rsidRDefault="004D09CE" w:rsidP="004D09CE">
      <w:pPr>
        <w:jc w:val="both"/>
        <w:rPr>
          <w:rFonts w:ascii="Calibri" w:eastAsia="Times New Roman" w:hAnsi="Calibri" w:cs="Calibri"/>
          <w:sz w:val="18"/>
          <w:szCs w:val="18"/>
        </w:rPr>
      </w:pPr>
    </w:p>
    <w:p w14:paraId="7F471FC3" w14:textId="35D8F905"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 indicators above therefore allow for a maximum 100% of borrowing to be undertaken on a fixed interest rate basis, but a maximum of 50% on a variable interest rate basis. </w:t>
      </w:r>
      <w:r w:rsidR="00520C7D" w:rsidRPr="005B0195">
        <w:rPr>
          <w:rFonts w:ascii="Calibri" w:eastAsia="Times New Roman" w:hAnsi="Calibri" w:cs="Calibri"/>
        </w:rPr>
        <w:t xml:space="preserve"> </w:t>
      </w:r>
      <w:r w:rsidRPr="005B0195">
        <w:rPr>
          <w:rFonts w:ascii="Calibri" w:eastAsia="Times New Roman" w:hAnsi="Calibri" w:cs="Calibri"/>
        </w:rPr>
        <w:t>This allows flexibility to utilise variable rate instruments for up to half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borrowing requirement where prudent to do so, whilst limiting the variable interest rate risk against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revenue budget.</w:t>
      </w:r>
    </w:p>
    <w:p w14:paraId="669A85A2" w14:textId="77777777" w:rsidR="004D09CE" w:rsidRPr="00C23F12" w:rsidRDefault="004D09CE" w:rsidP="004D09CE">
      <w:pPr>
        <w:ind w:left="720"/>
        <w:jc w:val="both"/>
        <w:rPr>
          <w:rFonts w:ascii="Calibri" w:eastAsia="Times New Roman" w:hAnsi="Calibri" w:cs="Calibri"/>
          <w:sz w:val="18"/>
          <w:szCs w:val="18"/>
        </w:rPr>
      </w:pPr>
    </w:p>
    <w:p w14:paraId="1B64CBD7" w14:textId="31002016" w:rsidR="005B7FCC" w:rsidRDefault="004D09CE" w:rsidP="00C23F12">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The maturity structure of borrowing indicator represents the borrowing falling due in each period expressed as a percentage of total borrowing.</w:t>
      </w:r>
      <w:r w:rsidR="00D75E47" w:rsidRPr="005B0195">
        <w:rPr>
          <w:rFonts w:ascii="Calibri" w:eastAsia="Times New Roman" w:hAnsi="Calibri" w:cs="Calibri"/>
        </w:rPr>
        <w:t xml:space="preserve">  </w:t>
      </w:r>
      <w:r w:rsidRPr="005B0195">
        <w:rPr>
          <w:rFonts w:ascii="Calibri" w:eastAsia="Times New Roman" w:hAnsi="Calibri" w:cs="Calibri"/>
        </w:rPr>
        <w:t>These gross limits are set to manage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exposure to sums falling due for refinancing or repayment.</w:t>
      </w:r>
    </w:p>
    <w:p w14:paraId="5E9D4F25" w14:textId="77777777" w:rsidR="005B67EE" w:rsidRDefault="005B67EE" w:rsidP="005B67EE">
      <w:pPr>
        <w:pStyle w:val="ListParagraph"/>
        <w:rPr>
          <w:rFonts w:ascii="Calibri" w:eastAsia="Times New Roman" w:hAnsi="Calibri" w:cs="Calibri"/>
        </w:rPr>
      </w:pPr>
    </w:p>
    <w:tbl>
      <w:tblPr>
        <w:tblW w:w="7386" w:type="dxa"/>
        <w:tblInd w:w="846" w:type="dxa"/>
        <w:tblLook w:val="04A0" w:firstRow="1" w:lastRow="0" w:firstColumn="1" w:lastColumn="0" w:noHBand="0" w:noVBand="1"/>
      </w:tblPr>
      <w:tblGrid>
        <w:gridCol w:w="3842"/>
        <w:gridCol w:w="1559"/>
        <w:gridCol w:w="1985"/>
      </w:tblGrid>
      <w:tr w:rsidR="005B67EE" w:rsidRPr="005B67EE" w14:paraId="039F4EB0" w14:textId="77777777" w:rsidTr="00EE3D26">
        <w:trPr>
          <w:trHeight w:val="240"/>
        </w:trPr>
        <w:tc>
          <w:tcPr>
            <w:tcW w:w="7386" w:type="dxa"/>
            <w:gridSpan w:val="3"/>
            <w:tcBorders>
              <w:top w:val="single" w:sz="4" w:space="0" w:color="auto"/>
              <w:left w:val="single" w:sz="4" w:space="0" w:color="auto"/>
              <w:bottom w:val="single" w:sz="4" w:space="0" w:color="auto"/>
              <w:right w:val="single" w:sz="4" w:space="0" w:color="000000"/>
            </w:tcBorders>
            <w:shd w:val="clear" w:color="000000" w:fill="C00000"/>
            <w:hideMark/>
          </w:tcPr>
          <w:p w14:paraId="4815B3CB" w14:textId="77777777" w:rsidR="005B67EE" w:rsidRPr="005B67EE" w:rsidRDefault="005B67EE" w:rsidP="005B67EE">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Maturity Structure of Borrowing</w:t>
            </w:r>
          </w:p>
        </w:tc>
      </w:tr>
      <w:tr w:rsidR="005B67EE" w:rsidRPr="005B67EE" w14:paraId="5489BD7D"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119A648C"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B100195"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 xml:space="preserve">Lower </w:t>
            </w:r>
          </w:p>
        </w:tc>
        <w:tc>
          <w:tcPr>
            <w:tcW w:w="1985" w:type="dxa"/>
            <w:tcBorders>
              <w:top w:val="nil"/>
              <w:left w:val="nil"/>
              <w:bottom w:val="single" w:sz="4" w:space="0" w:color="auto"/>
              <w:right w:val="single" w:sz="4" w:space="0" w:color="auto"/>
            </w:tcBorders>
            <w:shd w:val="clear" w:color="000000" w:fill="FFFFFF"/>
            <w:noWrap/>
            <w:vAlign w:val="center"/>
            <w:hideMark/>
          </w:tcPr>
          <w:p w14:paraId="6019B035"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r>
      <w:tr w:rsidR="005B67EE" w:rsidRPr="005B67EE" w14:paraId="1227A11A"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43375541"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Under 12 months</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CE6738"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0%</w:t>
            </w:r>
          </w:p>
        </w:tc>
        <w:tc>
          <w:tcPr>
            <w:tcW w:w="1985" w:type="dxa"/>
            <w:tcBorders>
              <w:top w:val="nil"/>
              <w:left w:val="nil"/>
              <w:bottom w:val="single" w:sz="4" w:space="0" w:color="auto"/>
              <w:right w:val="single" w:sz="4" w:space="0" w:color="auto"/>
            </w:tcBorders>
            <w:shd w:val="clear" w:color="000000" w:fill="FFFFFF"/>
            <w:noWrap/>
            <w:vAlign w:val="center"/>
            <w:hideMark/>
          </w:tcPr>
          <w:p w14:paraId="555AA98E"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75%</w:t>
            </w:r>
          </w:p>
        </w:tc>
      </w:tr>
      <w:tr w:rsidR="005B67EE" w:rsidRPr="005B67EE" w14:paraId="4D7A680C"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155C273B"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12 months to 2 years</w:t>
            </w:r>
          </w:p>
        </w:tc>
        <w:tc>
          <w:tcPr>
            <w:tcW w:w="1559" w:type="dxa"/>
            <w:vMerge/>
            <w:tcBorders>
              <w:top w:val="nil"/>
              <w:left w:val="single" w:sz="4" w:space="0" w:color="auto"/>
              <w:bottom w:val="single" w:sz="4" w:space="0" w:color="000000"/>
              <w:right w:val="single" w:sz="4" w:space="0" w:color="auto"/>
            </w:tcBorders>
            <w:vAlign w:val="center"/>
            <w:hideMark/>
          </w:tcPr>
          <w:p w14:paraId="0B59D289"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0FEE8BEB"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75%</w:t>
            </w:r>
          </w:p>
        </w:tc>
      </w:tr>
      <w:tr w:rsidR="005B67EE" w:rsidRPr="005B67EE" w14:paraId="0269B6E0"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6BF67E9B"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2 years to 5 years</w:t>
            </w:r>
          </w:p>
        </w:tc>
        <w:tc>
          <w:tcPr>
            <w:tcW w:w="1559" w:type="dxa"/>
            <w:vMerge/>
            <w:tcBorders>
              <w:top w:val="nil"/>
              <w:left w:val="single" w:sz="4" w:space="0" w:color="auto"/>
              <w:bottom w:val="single" w:sz="4" w:space="0" w:color="000000"/>
              <w:right w:val="single" w:sz="4" w:space="0" w:color="auto"/>
            </w:tcBorders>
            <w:vAlign w:val="center"/>
            <w:hideMark/>
          </w:tcPr>
          <w:p w14:paraId="6A63EFE0"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16F6500D"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80%</w:t>
            </w:r>
          </w:p>
        </w:tc>
      </w:tr>
      <w:tr w:rsidR="005B67EE" w:rsidRPr="005B67EE" w14:paraId="07EA9DF5"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2C997309"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5 years to 10 years</w:t>
            </w:r>
          </w:p>
        </w:tc>
        <w:tc>
          <w:tcPr>
            <w:tcW w:w="1559" w:type="dxa"/>
            <w:vMerge/>
            <w:tcBorders>
              <w:top w:val="nil"/>
              <w:left w:val="single" w:sz="4" w:space="0" w:color="auto"/>
              <w:bottom w:val="single" w:sz="4" w:space="0" w:color="000000"/>
              <w:right w:val="single" w:sz="4" w:space="0" w:color="auto"/>
            </w:tcBorders>
            <w:vAlign w:val="center"/>
            <w:hideMark/>
          </w:tcPr>
          <w:p w14:paraId="15DEFAF0"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264D8B6D"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80%</w:t>
            </w:r>
          </w:p>
        </w:tc>
      </w:tr>
      <w:tr w:rsidR="005B67EE" w:rsidRPr="005B67EE" w14:paraId="56E2B2F5"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4EBA6CCF"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 years and above</w:t>
            </w:r>
          </w:p>
        </w:tc>
        <w:tc>
          <w:tcPr>
            <w:tcW w:w="1559" w:type="dxa"/>
            <w:vMerge/>
            <w:tcBorders>
              <w:top w:val="nil"/>
              <w:left w:val="single" w:sz="4" w:space="0" w:color="auto"/>
              <w:bottom w:val="single" w:sz="4" w:space="0" w:color="000000"/>
              <w:right w:val="single" w:sz="4" w:space="0" w:color="auto"/>
            </w:tcBorders>
            <w:vAlign w:val="center"/>
            <w:hideMark/>
          </w:tcPr>
          <w:p w14:paraId="60ED32DD"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06C5372F"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r>
    </w:tbl>
    <w:p w14:paraId="65EBC72F" w14:textId="77777777" w:rsidR="00DC4645" w:rsidRPr="00C23F12" w:rsidRDefault="00DC4645" w:rsidP="005B67EE">
      <w:pPr>
        <w:rPr>
          <w:rFonts w:ascii="Calibri" w:eastAsia="Times New Roman" w:hAnsi="Calibri" w:cs="Calibri"/>
          <w:sz w:val="18"/>
          <w:szCs w:val="18"/>
        </w:rPr>
      </w:pPr>
    </w:p>
    <w:p w14:paraId="3C858BA6" w14:textId="5D8740EE" w:rsidR="007E64A4" w:rsidRDefault="007E64A4">
      <w:pPr>
        <w:numPr>
          <w:ilvl w:val="1"/>
          <w:numId w:val="1"/>
        </w:numPr>
        <w:ind w:left="709" w:hanging="709"/>
        <w:jc w:val="both"/>
        <w:rPr>
          <w:rFonts w:ascii="Calibri" w:eastAsia="Times New Roman" w:hAnsi="Calibri" w:cs="Calibri"/>
        </w:rPr>
      </w:pPr>
      <w:r>
        <w:rPr>
          <w:rFonts w:ascii="Calibri" w:eastAsia="Times New Roman" w:hAnsi="Calibri" w:cs="Calibri"/>
        </w:rPr>
        <w:t xml:space="preserve">The </w:t>
      </w:r>
      <w:r w:rsidR="002D2305">
        <w:rPr>
          <w:rFonts w:ascii="Calibri" w:eastAsia="Times New Roman" w:hAnsi="Calibri" w:cs="Calibri"/>
        </w:rPr>
        <w:t xml:space="preserve">type </w:t>
      </w:r>
      <w:r w:rsidR="002D2305" w:rsidRPr="00DC2E17">
        <w:rPr>
          <w:rFonts w:ascii="Calibri" w:eastAsia="Times New Roman" w:hAnsi="Calibri" w:cs="Calibri"/>
        </w:rPr>
        <w:t xml:space="preserve">of the </w:t>
      </w:r>
      <w:r w:rsidRPr="00E5679B">
        <w:rPr>
          <w:rFonts w:ascii="Calibri" w:eastAsia="Times New Roman" w:hAnsi="Calibri" w:cs="Calibri"/>
        </w:rPr>
        <w:t>current £3.</w:t>
      </w:r>
      <w:r w:rsidR="00A26337" w:rsidRPr="00E5679B">
        <w:rPr>
          <w:rFonts w:ascii="Calibri" w:eastAsia="Times New Roman" w:hAnsi="Calibri" w:cs="Calibri"/>
        </w:rPr>
        <w:t>0</w:t>
      </w:r>
      <w:r w:rsidR="00A26337" w:rsidRPr="00EE3D26">
        <w:rPr>
          <w:rFonts w:ascii="Calibri" w:eastAsia="Times New Roman" w:hAnsi="Calibri" w:cs="Calibri"/>
        </w:rPr>
        <w:t>22</w:t>
      </w:r>
      <w:r w:rsidR="00A26337" w:rsidRPr="00E5679B">
        <w:rPr>
          <w:rFonts w:ascii="Calibri" w:eastAsia="Times New Roman" w:hAnsi="Calibri" w:cs="Calibri"/>
        </w:rPr>
        <w:t>m</w:t>
      </w:r>
      <w:r w:rsidR="00811F4B" w:rsidRPr="00E5679B">
        <w:rPr>
          <w:rFonts w:ascii="Calibri" w:eastAsia="Times New Roman" w:hAnsi="Calibri" w:cs="Calibri"/>
        </w:rPr>
        <w:t>*</w:t>
      </w:r>
      <w:r w:rsidR="00A26337" w:rsidRPr="00E5679B">
        <w:rPr>
          <w:rFonts w:ascii="Calibri" w:eastAsia="Times New Roman" w:hAnsi="Calibri" w:cs="Calibri"/>
        </w:rPr>
        <w:t xml:space="preserve"> </w:t>
      </w:r>
      <w:r w:rsidRPr="00E5679B">
        <w:rPr>
          <w:rFonts w:ascii="Calibri" w:eastAsia="Times New Roman" w:hAnsi="Calibri" w:cs="Calibri"/>
        </w:rPr>
        <w:t>PWLB loan</w:t>
      </w:r>
      <w:r>
        <w:rPr>
          <w:rFonts w:ascii="Calibri" w:eastAsia="Times New Roman" w:hAnsi="Calibri" w:cs="Calibri"/>
        </w:rPr>
        <w:t xml:space="preserve"> is a</w:t>
      </w:r>
      <w:r w:rsidR="001A2480">
        <w:rPr>
          <w:rFonts w:ascii="Calibri" w:eastAsia="Times New Roman" w:hAnsi="Calibri" w:cs="Calibri"/>
        </w:rPr>
        <w:t xml:space="preserve"> 40 year</w:t>
      </w:r>
      <w:r w:rsidR="000D5ADB">
        <w:rPr>
          <w:rFonts w:ascii="Calibri" w:eastAsia="Times New Roman" w:hAnsi="Calibri" w:cs="Calibri"/>
        </w:rPr>
        <w:t xml:space="preserve"> </w:t>
      </w:r>
      <w:r>
        <w:rPr>
          <w:rFonts w:ascii="Calibri" w:eastAsia="Times New Roman" w:hAnsi="Calibri" w:cs="Calibri"/>
        </w:rPr>
        <w:t>EIP (Equal Instalments of Princip</w:t>
      </w:r>
      <w:r w:rsidR="00B70116">
        <w:rPr>
          <w:rFonts w:ascii="Calibri" w:eastAsia="Times New Roman" w:hAnsi="Calibri" w:cs="Calibri"/>
        </w:rPr>
        <w:t>al</w:t>
      </w:r>
      <w:r>
        <w:rPr>
          <w:rFonts w:ascii="Calibri" w:eastAsia="Times New Roman" w:hAnsi="Calibri" w:cs="Calibri"/>
        </w:rPr>
        <w:t xml:space="preserve">), meaning that the </w:t>
      </w:r>
      <w:r w:rsidRPr="00C23F12">
        <w:rPr>
          <w:rFonts w:ascii="Calibri" w:eastAsia="Times New Roman" w:hAnsi="Calibri" w:cs="Calibri"/>
        </w:rPr>
        <w:t>principal is paid throughout the loan rather than at the end of the loan term.</w:t>
      </w:r>
      <w:r w:rsidR="001A2480">
        <w:rPr>
          <w:rFonts w:ascii="Calibri" w:eastAsia="Times New Roman" w:hAnsi="Calibri" w:cs="Calibri"/>
        </w:rPr>
        <w:t xml:space="preserve">  The loan matures in 2048.</w:t>
      </w:r>
    </w:p>
    <w:p w14:paraId="25C8A1EF" w14:textId="7E26B5E9" w:rsidR="00811F4B" w:rsidRPr="00EE3D26" w:rsidRDefault="00811F4B" w:rsidP="00EE3D26">
      <w:pPr>
        <w:ind w:left="709"/>
        <w:jc w:val="both"/>
        <w:rPr>
          <w:rFonts w:ascii="Calibri" w:eastAsia="Times New Roman" w:hAnsi="Calibri" w:cs="Calibri"/>
          <w:sz w:val="18"/>
          <w:szCs w:val="18"/>
        </w:rPr>
      </w:pPr>
      <w:r w:rsidRPr="00EE3D26">
        <w:rPr>
          <w:rFonts w:ascii="Calibri" w:eastAsia="Times New Roman" w:hAnsi="Calibri" w:cs="Calibri"/>
          <w:sz w:val="18"/>
          <w:szCs w:val="18"/>
        </w:rPr>
        <w:t xml:space="preserve">* as at Dec 2024 and does not include fourth quarter debt </w:t>
      </w:r>
      <w:r>
        <w:rPr>
          <w:rFonts w:ascii="Calibri" w:eastAsia="Times New Roman" w:hAnsi="Calibri" w:cs="Calibri"/>
          <w:sz w:val="18"/>
          <w:szCs w:val="18"/>
        </w:rPr>
        <w:t xml:space="preserve">EIP </w:t>
      </w:r>
      <w:r w:rsidRPr="00EE3D26">
        <w:rPr>
          <w:rFonts w:ascii="Calibri" w:eastAsia="Times New Roman" w:hAnsi="Calibri" w:cs="Calibri"/>
          <w:sz w:val="18"/>
          <w:szCs w:val="18"/>
        </w:rPr>
        <w:t>repayment</w:t>
      </w:r>
      <w:r>
        <w:rPr>
          <w:rFonts w:ascii="Calibri" w:eastAsia="Times New Roman" w:hAnsi="Calibri" w:cs="Calibri"/>
          <w:sz w:val="18"/>
          <w:szCs w:val="18"/>
        </w:rPr>
        <w:t xml:space="preserve"> of existing debt.</w:t>
      </w:r>
    </w:p>
    <w:p w14:paraId="41F46CE8" w14:textId="77777777" w:rsidR="004D09CE" w:rsidRPr="00C23F12" w:rsidRDefault="004D09CE" w:rsidP="004D09CE">
      <w:pPr>
        <w:jc w:val="both"/>
        <w:rPr>
          <w:rFonts w:ascii="Calibri" w:eastAsia="Times New Roman" w:hAnsi="Calibri" w:cs="Calibri"/>
          <w:sz w:val="18"/>
          <w:szCs w:val="18"/>
        </w:rPr>
      </w:pPr>
    </w:p>
    <w:p w14:paraId="24ABDA22" w14:textId="2D722D34" w:rsidR="00B61EC7" w:rsidRDefault="004D09CE" w:rsidP="00B61EC7">
      <w:pPr>
        <w:numPr>
          <w:ilvl w:val="1"/>
          <w:numId w:val="1"/>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does not expect to hold any investments that exceed 365 days but may do so in the future if it holds sufficient cash balances and such investments assist in the prudent management of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financial affairs.</w:t>
      </w:r>
    </w:p>
    <w:p w14:paraId="2E644342" w14:textId="77777777" w:rsidR="0002496D" w:rsidRDefault="0002496D" w:rsidP="0002496D">
      <w:pPr>
        <w:ind w:left="709"/>
        <w:jc w:val="both"/>
        <w:rPr>
          <w:rFonts w:ascii="Calibri" w:eastAsia="Times New Roman" w:hAnsi="Calibri" w:cs="Calibri"/>
        </w:rPr>
      </w:pPr>
    </w:p>
    <w:p w14:paraId="08E8378C" w14:textId="77777777" w:rsidR="0002496D" w:rsidRDefault="0002496D" w:rsidP="0002496D">
      <w:pPr>
        <w:ind w:left="709"/>
        <w:jc w:val="both"/>
        <w:rPr>
          <w:rFonts w:ascii="Calibri" w:eastAsia="Times New Roman" w:hAnsi="Calibri" w:cs="Calibri"/>
        </w:rPr>
      </w:pPr>
    </w:p>
    <w:p w14:paraId="6D3DA3BE" w14:textId="77777777" w:rsidR="0002496D" w:rsidRDefault="0002496D" w:rsidP="0002496D">
      <w:pPr>
        <w:ind w:left="709"/>
        <w:jc w:val="both"/>
        <w:rPr>
          <w:rFonts w:ascii="Calibri" w:eastAsia="Times New Roman" w:hAnsi="Calibri" w:cs="Calibri"/>
        </w:rPr>
      </w:pPr>
    </w:p>
    <w:p w14:paraId="7FF8EAF1" w14:textId="77777777" w:rsidR="0002496D" w:rsidRDefault="0002496D" w:rsidP="0002496D">
      <w:pPr>
        <w:ind w:left="709"/>
        <w:jc w:val="both"/>
        <w:rPr>
          <w:rFonts w:ascii="Calibri" w:eastAsia="Times New Roman" w:hAnsi="Calibri" w:cs="Calibri"/>
        </w:rPr>
      </w:pPr>
    </w:p>
    <w:p w14:paraId="1A504E92" w14:textId="77777777" w:rsidR="0002496D" w:rsidRDefault="0002496D" w:rsidP="0002496D">
      <w:pPr>
        <w:ind w:left="709"/>
        <w:jc w:val="both"/>
        <w:rPr>
          <w:rFonts w:ascii="Calibri" w:eastAsia="Times New Roman" w:hAnsi="Calibri" w:cs="Calibri"/>
        </w:rPr>
      </w:pPr>
    </w:p>
    <w:p w14:paraId="407ED6C4" w14:textId="77777777" w:rsidR="0002496D" w:rsidRDefault="0002496D" w:rsidP="0002496D">
      <w:pPr>
        <w:ind w:left="709"/>
        <w:jc w:val="both"/>
        <w:rPr>
          <w:rFonts w:ascii="Calibri" w:eastAsia="Times New Roman" w:hAnsi="Calibri" w:cs="Calibri"/>
        </w:rPr>
      </w:pPr>
    </w:p>
    <w:p w14:paraId="319439F8" w14:textId="77777777" w:rsidR="0002496D" w:rsidRDefault="0002496D" w:rsidP="0002496D">
      <w:pPr>
        <w:ind w:left="709"/>
        <w:jc w:val="both"/>
        <w:rPr>
          <w:rFonts w:ascii="Calibri" w:eastAsia="Times New Roman" w:hAnsi="Calibri" w:cs="Calibri"/>
        </w:rPr>
      </w:pPr>
    </w:p>
    <w:p w14:paraId="48387D8B" w14:textId="77777777" w:rsidR="0002496D" w:rsidRDefault="0002496D" w:rsidP="0002496D">
      <w:pPr>
        <w:ind w:left="709"/>
        <w:jc w:val="both"/>
        <w:rPr>
          <w:rFonts w:ascii="Calibri" w:eastAsia="Times New Roman" w:hAnsi="Calibri" w:cs="Calibri"/>
        </w:rPr>
      </w:pPr>
    </w:p>
    <w:p w14:paraId="225FA952" w14:textId="77777777" w:rsidR="0002496D" w:rsidRDefault="0002496D" w:rsidP="0002496D">
      <w:pPr>
        <w:ind w:left="709"/>
        <w:jc w:val="both"/>
        <w:rPr>
          <w:rFonts w:ascii="Calibri" w:eastAsia="Times New Roman" w:hAnsi="Calibri" w:cs="Calibri"/>
        </w:rPr>
      </w:pPr>
    </w:p>
    <w:p w14:paraId="5F87DA9F" w14:textId="77777777" w:rsidR="0002496D" w:rsidRDefault="0002496D" w:rsidP="0002496D">
      <w:pPr>
        <w:ind w:left="709"/>
        <w:jc w:val="both"/>
        <w:rPr>
          <w:rFonts w:ascii="Calibri" w:eastAsia="Times New Roman" w:hAnsi="Calibri" w:cs="Calibri"/>
        </w:rPr>
      </w:pPr>
    </w:p>
    <w:p w14:paraId="5C790BD9" w14:textId="77777777" w:rsidR="0002496D" w:rsidRDefault="0002496D" w:rsidP="0002496D">
      <w:pPr>
        <w:ind w:left="709"/>
        <w:jc w:val="both"/>
        <w:rPr>
          <w:rFonts w:ascii="Calibri" w:eastAsia="Times New Roman" w:hAnsi="Calibri" w:cs="Calibri"/>
        </w:rPr>
      </w:pPr>
    </w:p>
    <w:p w14:paraId="67A0F468" w14:textId="77777777" w:rsidR="0002496D" w:rsidRDefault="0002496D" w:rsidP="0002496D">
      <w:pPr>
        <w:ind w:left="709"/>
        <w:jc w:val="both"/>
        <w:rPr>
          <w:rFonts w:ascii="Calibri" w:eastAsia="Times New Roman" w:hAnsi="Calibri" w:cs="Calibri"/>
        </w:rPr>
      </w:pPr>
    </w:p>
    <w:p w14:paraId="6F2DD61D" w14:textId="77777777" w:rsidR="0002496D" w:rsidRDefault="0002496D" w:rsidP="0002496D">
      <w:pPr>
        <w:ind w:left="709"/>
        <w:jc w:val="both"/>
        <w:rPr>
          <w:rFonts w:ascii="Calibri" w:eastAsia="Times New Roman" w:hAnsi="Calibri" w:cs="Calibri"/>
        </w:rPr>
      </w:pPr>
    </w:p>
    <w:p w14:paraId="4EC36AF1" w14:textId="77777777" w:rsidR="0002496D" w:rsidRDefault="0002496D" w:rsidP="0002496D">
      <w:pPr>
        <w:ind w:left="709"/>
        <w:jc w:val="both"/>
        <w:rPr>
          <w:rFonts w:ascii="Calibri" w:eastAsia="Times New Roman" w:hAnsi="Calibri" w:cs="Calibri"/>
        </w:rPr>
      </w:pPr>
    </w:p>
    <w:p w14:paraId="74BE11CC" w14:textId="77777777" w:rsidR="0002496D" w:rsidRPr="00B61EC7" w:rsidRDefault="0002496D" w:rsidP="0002496D">
      <w:pPr>
        <w:ind w:left="709"/>
        <w:jc w:val="both"/>
        <w:rPr>
          <w:rFonts w:ascii="Calibri" w:eastAsia="Times New Roman" w:hAnsi="Calibri" w:cs="Calibri"/>
        </w:rPr>
      </w:pPr>
    </w:p>
    <w:p w14:paraId="60582EEF" w14:textId="77777777" w:rsidR="00B70116" w:rsidRPr="00C23F12" w:rsidRDefault="00B70116" w:rsidP="00B70116">
      <w:pPr>
        <w:ind w:left="709"/>
        <w:jc w:val="both"/>
        <w:rPr>
          <w:rFonts w:ascii="Calibri" w:eastAsia="Times New Roman" w:hAnsi="Calibri" w:cs="Calibri"/>
          <w:sz w:val="18"/>
          <w:szCs w:val="18"/>
        </w:rPr>
      </w:pPr>
    </w:p>
    <w:p w14:paraId="7617AAE3" w14:textId="0503C300" w:rsidR="00B70116" w:rsidRPr="00B70116" w:rsidRDefault="00B70116" w:rsidP="00B70116">
      <w:pPr>
        <w:ind w:left="709"/>
        <w:jc w:val="both"/>
        <w:rPr>
          <w:rFonts w:ascii="Calibri" w:eastAsia="Times New Roman" w:hAnsi="Calibri" w:cs="Calibri"/>
          <w:b/>
          <w:bCs/>
        </w:rPr>
      </w:pPr>
      <w:r w:rsidRPr="00B70116">
        <w:rPr>
          <w:rFonts w:ascii="Calibri" w:eastAsia="Times New Roman" w:hAnsi="Calibri" w:cs="Calibri"/>
          <w:b/>
          <w:bCs/>
        </w:rPr>
        <w:lastRenderedPageBreak/>
        <w:t>Liability Benchmark</w:t>
      </w:r>
    </w:p>
    <w:p w14:paraId="7C5C8647" w14:textId="77777777" w:rsidR="00B70116" w:rsidRPr="00C23F12" w:rsidRDefault="00B70116" w:rsidP="00B70116">
      <w:pPr>
        <w:ind w:left="709"/>
        <w:jc w:val="both"/>
        <w:rPr>
          <w:rFonts w:ascii="Calibri" w:eastAsia="Times New Roman" w:hAnsi="Calibri" w:cs="Calibri"/>
          <w:sz w:val="18"/>
          <w:szCs w:val="18"/>
        </w:rPr>
      </w:pPr>
    </w:p>
    <w:p w14:paraId="208AD12D" w14:textId="103CF5B7" w:rsidR="007B66C2" w:rsidRPr="00F17D95" w:rsidRDefault="00062A5F" w:rsidP="00C23F12">
      <w:pPr>
        <w:numPr>
          <w:ilvl w:val="1"/>
          <w:numId w:val="1"/>
        </w:numPr>
        <w:ind w:left="709" w:hanging="709"/>
        <w:jc w:val="both"/>
        <w:rPr>
          <w:rFonts w:ascii="Calibri" w:eastAsia="Times New Roman" w:hAnsi="Calibri" w:cs="Calibri"/>
        </w:rPr>
      </w:pPr>
      <w:r w:rsidRPr="00F17D95">
        <w:rPr>
          <w:rFonts w:ascii="Calibri" w:eastAsia="Times New Roman" w:hAnsi="Calibri" w:cs="Calibri"/>
        </w:rPr>
        <w:t>The PFCC is required to provide a comparison of the existing loan portfolio against the committed borrowing needs.</w:t>
      </w:r>
      <w:r w:rsidR="007B66C2" w:rsidRPr="00F17D95">
        <w:rPr>
          <w:rFonts w:ascii="Calibri" w:eastAsia="Times New Roman" w:hAnsi="Calibri" w:cs="Calibri"/>
        </w:rPr>
        <w:t xml:space="preserve"> </w:t>
      </w:r>
      <w:r w:rsidRPr="00F17D95">
        <w:rPr>
          <w:rFonts w:ascii="Calibri" w:eastAsia="Times New Roman" w:hAnsi="Calibri" w:cs="Calibri"/>
        </w:rPr>
        <w:t xml:space="preserve"> This is to provide evidence that it has a strong grasp of both its existing debt maturity profile and how MRP / LFR (Loan Fund Repayment) and other cash flows affect the future debt requirement.</w:t>
      </w:r>
    </w:p>
    <w:p w14:paraId="1D88EEC2" w14:textId="3CF1B17E" w:rsidR="00062A5F" w:rsidRPr="00EE3D26" w:rsidRDefault="00062A5F" w:rsidP="00FB181B">
      <w:pPr>
        <w:ind w:left="709"/>
        <w:rPr>
          <w:noProof/>
          <w:sz w:val="4"/>
          <w:szCs w:val="4"/>
        </w:rPr>
      </w:pPr>
    </w:p>
    <w:p w14:paraId="05C9CA99" w14:textId="164B6004" w:rsidR="00F17D95" w:rsidRDefault="0002496D" w:rsidP="00EE3D26">
      <w:pPr>
        <w:ind w:left="284" w:firstLine="11"/>
        <w:rPr>
          <w:rFonts w:ascii="Calibri" w:eastAsia="Times New Roman" w:hAnsi="Calibri" w:cs="Calibri"/>
        </w:rPr>
      </w:pPr>
      <w:r>
        <w:rPr>
          <w:rFonts w:ascii="Calibri" w:eastAsia="Times New Roman" w:hAnsi="Calibri" w:cs="Calibri"/>
          <w:noProof/>
        </w:rPr>
        <w:drawing>
          <wp:inline distT="0" distB="0" distL="0" distR="0" wp14:anchorId="01EFE6B0" wp14:editId="5951A4DF">
            <wp:extent cx="3981450" cy="2648402"/>
            <wp:effectExtent l="0" t="0" r="0" b="0"/>
            <wp:docPr id="1579740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370" cy="2649679"/>
                    </a:xfrm>
                    <a:prstGeom prst="rect">
                      <a:avLst/>
                    </a:prstGeom>
                    <a:noFill/>
                  </pic:spPr>
                </pic:pic>
              </a:graphicData>
            </a:graphic>
          </wp:inline>
        </w:drawing>
      </w:r>
    </w:p>
    <w:p w14:paraId="43CA891B" w14:textId="77777777" w:rsidR="00062A5F" w:rsidRDefault="00062A5F" w:rsidP="00062A5F">
      <w:pPr>
        <w:ind w:left="709"/>
        <w:jc w:val="both"/>
        <w:rPr>
          <w:rFonts w:ascii="Calibri" w:eastAsia="Times New Roman" w:hAnsi="Calibri" w:cs="Calibri"/>
        </w:rPr>
      </w:pPr>
    </w:p>
    <w:p w14:paraId="04F765B7" w14:textId="351C30B4" w:rsidR="00D4345D" w:rsidRPr="009A5EC9" w:rsidRDefault="00062A5F" w:rsidP="00C23F12">
      <w:pPr>
        <w:numPr>
          <w:ilvl w:val="1"/>
          <w:numId w:val="1"/>
        </w:numPr>
        <w:ind w:left="709" w:hanging="709"/>
        <w:jc w:val="both"/>
        <w:rPr>
          <w:rFonts w:ascii="Calibri" w:eastAsia="Times New Roman" w:hAnsi="Calibri" w:cs="Calibri"/>
        </w:rPr>
      </w:pPr>
      <w:r w:rsidRPr="009A5EC9">
        <w:rPr>
          <w:rFonts w:ascii="Calibri" w:eastAsia="Times New Roman" w:hAnsi="Calibri" w:cs="Calibri"/>
          <w:noProof/>
        </w:rPr>
        <w:t>Currently</w:t>
      </w:r>
      <w:r w:rsidR="007B66C2" w:rsidRPr="009A5EC9">
        <w:rPr>
          <w:rFonts w:ascii="Calibri" w:eastAsia="Times New Roman" w:hAnsi="Calibri" w:cs="Calibri"/>
        </w:rPr>
        <w:t xml:space="preserve">, </w:t>
      </w:r>
      <w:r w:rsidRPr="009A5EC9">
        <w:rPr>
          <w:rFonts w:ascii="Calibri" w:eastAsia="Times New Roman" w:hAnsi="Calibri" w:cs="Calibri"/>
        </w:rPr>
        <w:t xml:space="preserve">the </w:t>
      </w:r>
      <w:r w:rsidR="000D5ADB">
        <w:rPr>
          <w:rFonts w:ascii="Calibri" w:eastAsia="Times New Roman" w:hAnsi="Calibri" w:cs="Calibri"/>
        </w:rPr>
        <w:t xml:space="preserve">only </w:t>
      </w:r>
      <w:r w:rsidR="00FB181B" w:rsidRPr="009A5EC9">
        <w:rPr>
          <w:rFonts w:ascii="Calibri" w:eastAsia="Times New Roman" w:hAnsi="Calibri" w:cs="Calibri"/>
        </w:rPr>
        <w:t>NCFRA</w:t>
      </w:r>
      <w:r w:rsidRPr="009A5EC9">
        <w:rPr>
          <w:rFonts w:ascii="Calibri" w:eastAsia="Times New Roman" w:hAnsi="Calibri" w:cs="Calibri"/>
        </w:rPr>
        <w:t xml:space="preserve"> loan </w:t>
      </w:r>
      <w:r w:rsidR="000D5ADB">
        <w:rPr>
          <w:rFonts w:ascii="Calibri" w:eastAsia="Times New Roman" w:hAnsi="Calibri" w:cs="Calibri"/>
        </w:rPr>
        <w:t>is</w:t>
      </w:r>
      <w:r w:rsidRPr="009A5EC9">
        <w:rPr>
          <w:rFonts w:ascii="Calibri" w:eastAsia="Times New Roman" w:hAnsi="Calibri" w:cs="Calibri"/>
        </w:rPr>
        <w:t xml:space="preserve"> held with PWLB</w:t>
      </w:r>
      <w:r w:rsidR="007B66C2" w:rsidRPr="009A5EC9">
        <w:rPr>
          <w:rFonts w:ascii="Calibri" w:eastAsia="Times New Roman" w:hAnsi="Calibri" w:cs="Calibri"/>
        </w:rPr>
        <w:t>.</w:t>
      </w:r>
      <w:r w:rsidRPr="009A5EC9">
        <w:rPr>
          <w:rFonts w:ascii="Calibri" w:eastAsia="Times New Roman" w:hAnsi="Calibri" w:cs="Calibri"/>
        </w:rPr>
        <w:t xml:space="preserve"> </w:t>
      </w:r>
      <w:r w:rsidR="007B66C2" w:rsidRPr="009A5EC9">
        <w:rPr>
          <w:rFonts w:ascii="Calibri" w:eastAsia="Times New Roman" w:hAnsi="Calibri" w:cs="Calibri"/>
        </w:rPr>
        <w:t xml:space="preserve"> T</w:t>
      </w:r>
      <w:r w:rsidRPr="009A5EC9">
        <w:rPr>
          <w:rFonts w:ascii="Calibri" w:eastAsia="Times New Roman" w:hAnsi="Calibri" w:cs="Calibri"/>
        </w:rPr>
        <w:t xml:space="preserve">he graph </w:t>
      </w:r>
      <w:r w:rsidR="007B66C2" w:rsidRPr="009A5EC9">
        <w:rPr>
          <w:rFonts w:ascii="Calibri" w:eastAsia="Times New Roman" w:hAnsi="Calibri" w:cs="Calibri"/>
        </w:rPr>
        <w:t>show</w:t>
      </w:r>
      <w:r w:rsidRPr="009A5EC9">
        <w:rPr>
          <w:rFonts w:ascii="Calibri" w:eastAsia="Times New Roman" w:hAnsi="Calibri" w:cs="Calibri"/>
        </w:rPr>
        <w:t>s the current outstanding loan</w:t>
      </w:r>
      <w:r w:rsidR="00B70116" w:rsidRPr="009A5EC9">
        <w:rPr>
          <w:rFonts w:ascii="Calibri" w:eastAsia="Times New Roman" w:hAnsi="Calibri" w:cs="Calibri"/>
        </w:rPr>
        <w:t xml:space="preserve"> and</w:t>
      </w:r>
      <w:r w:rsidRPr="009A5EC9">
        <w:rPr>
          <w:rFonts w:ascii="Calibri" w:eastAsia="Times New Roman" w:hAnsi="Calibri" w:cs="Calibri"/>
        </w:rPr>
        <w:t xml:space="preserve"> the forecasted CFR loan requirement</w:t>
      </w:r>
      <w:r w:rsidR="004463F9" w:rsidRPr="009A5EC9">
        <w:rPr>
          <w:rFonts w:ascii="Calibri" w:eastAsia="Times New Roman" w:hAnsi="Calibri" w:cs="Calibri"/>
        </w:rPr>
        <w:t xml:space="preserve"> </w:t>
      </w:r>
      <w:r w:rsidR="00B70116" w:rsidRPr="009A5EC9">
        <w:rPr>
          <w:rFonts w:ascii="Calibri" w:eastAsia="Times New Roman" w:hAnsi="Calibri" w:cs="Calibri"/>
        </w:rPr>
        <w:t>to deliver</w:t>
      </w:r>
      <w:r w:rsidR="004463F9" w:rsidRPr="009A5EC9">
        <w:rPr>
          <w:rFonts w:ascii="Calibri" w:eastAsia="Times New Roman" w:hAnsi="Calibri" w:cs="Calibri"/>
        </w:rPr>
        <w:t xml:space="preserve"> the Capital Programme</w:t>
      </w:r>
      <w:r w:rsidRPr="009A5EC9">
        <w:rPr>
          <w:rFonts w:ascii="Calibri" w:eastAsia="Times New Roman" w:hAnsi="Calibri" w:cs="Calibri"/>
        </w:rPr>
        <w:t xml:space="preserve">.  The </w:t>
      </w:r>
      <w:r w:rsidR="00A26337">
        <w:rPr>
          <w:rFonts w:ascii="Calibri" w:eastAsia="Times New Roman" w:hAnsi="Calibri" w:cs="Calibri"/>
        </w:rPr>
        <w:t xml:space="preserve">decline in </w:t>
      </w:r>
      <w:r w:rsidRPr="009A5EC9">
        <w:rPr>
          <w:rFonts w:ascii="Calibri" w:eastAsia="Times New Roman" w:hAnsi="Calibri" w:cs="Calibri"/>
        </w:rPr>
        <w:t xml:space="preserve">in the Liability </w:t>
      </w:r>
      <w:r w:rsidR="002066A4" w:rsidRPr="009A5EC9">
        <w:rPr>
          <w:rFonts w:ascii="Calibri" w:eastAsia="Times New Roman" w:hAnsi="Calibri" w:cs="Calibri"/>
        </w:rPr>
        <w:t>B</w:t>
      </w:r>
      <w:r w:rsidRPr="009A5EC9">
        <w:rPr>
          <w:rFonts w:ascii="Calibri" w:eastAsia="Times New Roman" w:hAnsi="Calibri" w:cs="Calibri"/>
        </w:rPr>
        <w:t>enchmark</w:t>
      </w:r>
      <w:r w:rsidR="004463F9" w:rsidRPr="009A5EC9">
        <w:rPr>
          <w:rFonts w:ascii="Calibri" w:eastAsia="Times New Roman" w:hAnsi="Calibri" w:cs="Calibri"/>
        </w:rPr>
        <w:t xml:space="preserve"> </w:t>
      </w:r>
      <w:r w:rsidR="00A26337">
        <w:rPr>
          <w:rFonts w:ascii="Calibri" w:eastAsia="Times New Roman" w:hAnsi="Calibri" w:cs="Calibri"/>
        </w:rPr>
        <w:t>through to 31</w:t>
      </w:r>
      <w:r w:rsidR="00A26337" w:rsidRPr="00EE3D26">
        <w:rPr>
          <w:rFonts w:ascii="Calibri" w:eastAsia="Times New Roman" w:hAnsi="Calibri" w:cs="Calibri"/>
          <w:vertAlign w:val="superscript"/>
        </w:rPr>
        <w:t>st</w:t>
      </w:r>
      <w:r w:rsidR="00A26337">
        <w:rPr>
          <w:rFonts w:ascii="Calibri" w:eastAsia="Times New Roman" w:hAnsi="Calibri" w:cs="Calibri"/>
        </w:rPr>
        <w:t xml:space="preserve"> March 2025 </w:t>
      </w:r>
      <w:r w:rsidR="004463F9" w:rsidRPr="009A5EC9">
        <w:rPr>
          <w:rFonts w:ascii="Calibri" w:eastAsia="Times New Roman" w:hAnsi="Calibri" w:cs="Calibri"/>
        </w:rPr>
        <w:t>(gross loans requirement)</w:t>
      </w:r>
      <w:r w:rsidRPr="009A5EC9">
        <w:rPr>
          <w:rFonts w:ascii="Calibri" w:eastAsia="Times New Roman" w:hAnsi="Calibri" w:cs="Calibri"/>
        </w:rPr>
        <w:t xml:space="preserve"> </w:t>
      </w:r>
      <w:r w:rsidR="005F307C" w:rsidRPr="009A5EC9">
        <w:rPr>
          <w:rFonts w:ascii="Calibri" w:eastAsia="Times New Roman" w:hAnsi="Calibri" w:cs="Calibri"/>
        </w:rPr>
        <w:t xml:space="preserve">is due to </w:t>
      </w:r>
      <w:r w:rsidR="00A26337">
        <w:rPr>
          <w:rFonts w:ascii="Calibri" w:eastAsia="Times New Roman" w:hAnsi="Calibri" w:cs="Calibri"/>
        </w:rPr>
        <w:t xml:space="preserve">slippage and delays in the </w:t>
      </w:r>
      <w:r w:rsidR="004463F9" w:rsidRPr="009A5EC9">
        <w:rPr>
          <w:rFonts w:ascii="Calibri" w:eastAsia="Times New Roman" w:hAnsi="Calibri" w:cs="Calibri"/>
        </w:rPr>
        <w:t>Estates Strategy.</w:t>
      </w:r>
      <w:r w:rsidR="00B70116" w:rsidRPr="009A5EC9">
        <w:rPr>
          <w:rFonts w:ascii="Calibri" w:eastAsia="Times New Roman" w:hAnsi="Calibri" w:cs="Calibri"/>
        </w:rPr>
        <w:t xml:space="preserve"> </w:t>
      </w:r>
      <w:r w:rsidR="00F0306E" w:rsidRPr="009A5EC9">
        <w:rPr>
          <w:rFonts w:ascii="Calibri" w:eastAsia="Times New Roman" w:hAnsi="Calibri" w:cs="Calibri"/>
        </w:rPr>
        <w:t xml:space="preserve"> The </w:t>
      </w:r>
      <w:r w:rsidR="00A26337">
        <w:rPr>
          <w:rFonts w:ascii="Calibri" w:eastAsia="Times New Roman" w:hAnsi="Calibri" w:cs="Calibri"/>
        </w:rPr>
        <w:t>increase through 2025/26 is the result of replanning those programmes</w:t>
      </w:r>
      <w:r w:rsidR="00F0306E" w:rsidRPr="009A5EC9">
        <w:rPr>
          <w:rFonts w:ascii="Calibri" w:eastAsia="Times New Roman" w:hAnsi="Calibri" w:cs="Calibri"/>
        </w:rPr>
        <w:t>.</w:t>
      </w:r>
    </w:p>
    <w:p w14:paraId="23FF4B39" w14:textId="77777777" w:rsidR="005F307C" w:rsidRPr="009A5EC9" w:rsidRDefault="005F307C" w:rsidP="00D4345D">
      <w:pPr>
        <w:ind w:left="709"/>
        <w:jc w:val="both"/>
        <w:rPr>
          <w:rFonts w:ascii="Calibri" w:eastAsia="Times New Roman" w:hAnsi="Calibri" w:cs="Calibri"/>
        </w:rPr>
      </w:pPr>
    </w:p>
    <w:p w14:paraId="2E7FED9A" w14:textId="01C83209" w:rsidR="004D09CE" w:rsidRPr="005B0195" w:rsidRDefault="004D09CE" w:rsidP="00B70116">
      <w:pPr>
        <w:ind w:firstLine="709"/>
        <w:rPr>
          <w:rFonts w:ascii="Calibri" w:eastAsia="Times New Roman" w:hAnsi="Calibri" w:cs="Calibri"/>
          <w:b/>
          <w:noProof/>
        </w:rPr>
      </w:pPr>
      <w:r w:rsidRPr="009A5EC9">
        <w:rPr>
          <w:rFonts w:ascii="Calibri" w:eastAsia="Times New Roman" w:hAnsi="Calibri" w:cs="Calibri"/>
          <w:b/>
          <w:noProof/>
        </w:rPr>
        <w:t>Affordability Prudential Indicator</w:t>
      </w:r>
    </w:p>
    <w:p w14:paraId="7CCAE5F6" w14:textId="77777777" w:rsidR="004D09CE" w:rsidRPr="00EE04F9" w:rsidRDefault="004D09CE" w:rsidP="004D09CE">
      <w:pPr>
        <w:ind w:left="720"/>
        <w:jc w:val="both"/>
        <w:rPr>
          <w:rFonts w:ascii="Calibri" w:eastAsia="Times New Roman" w:hAnsi="Calibri" w:cs="Calibri"/>
          <w:b/>
          <w:noProof/>
          <w:sz w:val="20"/>
          <w:szCs w:val="20"/>
        </w:rPr>
      </w:pPr>
    </w:p>
    <w:p w14:paraId="0EE51757" w14:textId="66050A3E" w:rsidR="004D09CE" w:rsidRPr="005B0195" w:rsidRDefault="004D09CE" w:rsidP="004D09CE">
      <w:pPr>
        <w:numPr>
          <w:ilvl w:val="1"/>
          <w:numId w:val="1"/>
        </w:numPr>
        <w:ind w:left="709" w:hanging="709"/>
        <w:jc w:val="both"/>
        <w:rPr>
          <w:rFonts w:ascii="Calibri" w:eastAsia="Times New Roman" w:hAnsi="Calibri" w:cs="Calibri"/>
          <w:bCs/>
          <w:noProof/>
        </w:rPr>
      </w:pPr>
      <w:r w:rsidRPr="005B0195">
        <w:rPr>
          <w:rFonts w:ascii="Calibri" w:eastAsia="Times New Roman" w:hAnsi="Calibri" w:cs="Calibri"/>
          <w:noProof/>
        </w:rPr>
        <w:t xml:space="preserve">The previous sections cover the overall capital and control of borrowing prudential indicators, but within this framework is an indicator required to assess the affordability of the capital investment plans. </w:t>
      </w:r>
      <w:r w:rsidR="00520C7D" w:rsidRPr="005B0195">
        <w:rPr>
          <w:rFonts w:ascii="Calibri" w:eastAsia="Times New Roman" w:hAnsi="Calibri" w:cs="Calibri"/>
          <w:noProof/>
        </w:rPr>
        <w:t xml:space="preserve"> </w:t>
      </w:r>
      <w:r w:rsidRPr="005B0195">
        <w:rPr>
          <w:rFonts w:ascii="Calibri" w:eastAsia="Times New Roman" w:hAnsi="Calibri" w:cs="Calibri"/>
          <w:noProof/>
        </w:rPr>
        <w:t>This provides an indication of the impact of the capital investment plans on the</w:t>
      </w:r>
      <w:r w:rsidR="0064222E" w:rsidRPr="005B0195">
        <w:rPr>
          <w:rFonts w:ascii="Calibri" w:eastAsia="Times New Roman" w:hAnsi="Calibri" w:cs="Calibri"/>
          <w:noProof/>
        </w:rPr>
        <w:t xml:space="preserve"> </w:t>
      </w:r>
      <w:r w:rsidR="00997B51">
        <w:rPr>
          <w:rFonts w:ascii="Calibri" w:eastAsia="Times New Roman" w:hAnsi="Calibri" w:cs="Calibri"/>
          <w:noProof/>
        </w:rPr>
        <w:t>NCFRA</w:t>
      </w:r>
      <w:r w:rsidRPr="005B0195">
        <w:rPr>
          <w:rFonts w:ascii="Calibri" w:eastAsia="Times New Roman" w:hAnsi="Calibri" w:cs="Calibri"/>
          <w:noProof/>
        </w:rPr>
        <w:t>’s overall finances.</w:t>
      </w:r>
    </w:p>
    <w:p w14:paraId="05BD1995" w14:textId="77777777" w:rsidR="004D09CE" w:rsidRPr="00EE04F9" w:rsidRDefault="004D09CE" w:rsidP="004D09CE">
      <w:pPr>
        <w:ind w:left="709"/>
        <w:jc w:val="both"/>
        <w:rPr>
          <w:rFonts w:ascii="Calibri" w:eastAsia="Times New Roman" w:hAnsi="Calibri" w:cs="Calibri"/>
          <w:bCs/>
          <w:noProof/>
          <w:sz w:val="20"/>
          <w:szCs w:val="20"/>
        </w:rPr>
      </w:pPr>
    </w:p>
    <w:p w14:paraId="428B2CB7" w14:textId="6A66D8DE" w:rsidR="004D09CE" w:rsidRPr="005B0195" w:rsidRDefault="004D09CE" w:rsidP="004D09CE">
      <w:pPr>
        <w:numPr>
          <w:ilvl w:val="1"/>
          <w:numId w:val="1"/>
        </w:numPr>
        <w:ind w:left="709" w:hanging="709"/>
        <w:jc w:val="both"/>
        <w:rPr>
          <w:rFonts w:ascii="Calibri" w:eastAsia="Times New Roman" w:hAnsi="Calibri" w:cs="Calibri"/>
          <w:bCs/>
          <w:noProof/>
        </w:rPr>
      </w:pPr>
      <w:r w:rsidRPr="005B0195">
        <w:rPr>
          <w:rFonts w:ascii="Calibri" w:eastAsia="Times New Roman" w:hAnsi="Calibri" w:cs="Calibri"/>
          <w:bCs/>
          <w:noProof/>
        </w:rPr>
        <w:t>The</w:t>
      </w:r>
      <w:r w:rsidR="0064222E" w:rsidRPr="005B0195">
        <w:rPr>
          <w:rFonts w:ascii="Calibri" w:eastAsia="Times New Roman" w:hAnsi="Calibri" w:cs="Calibri"/>
          <w:bCs/>
          <w:noProof/>
        </w:rPr>
        <w:t xml:space="preserve"> </w:t>
      </w:r>
      <w:r w:rsidR="00997B51">
        <w:rPr>
          <w:rFonts w:ascii="Calibri" w:eastAsia="Times New Roman" w:hAnsi="Calibri" w:cs="Calibri"/>
          <w:bCs/>
          <w:noProof/>
        </w:rPr>
        <w:t>NCFRA</w:t>
      </w:r>
      <w:r w:rsidRPr="005B0195">
        <w:rPr>
          <w:rFonts w:ascii="Calibri" w:eastAsia="Times New Roman" w:hAnsi="Calibri" w:cs="Calibri"/>
          <w:bCs/>
          <w:noProof/>
        </w:rPr>
        <w:t xml:space="preserve"> is asked to approve the actual and estimates of financing costs to net revenue stream. </w:t>
      </w:r>
      <w:r w:rsidR="00520C7D" w:rsidRPr="005B0195">
        <w:rPr>
          <w:rFonts w:ascii="Calibri" w:eastAsia="Times New Roman" w:hAnsi="Calibri" w:cs="Calibri"/>
          <w:bCs/>
          <w:noProof/>
        </w:rPr>
        <w:t xml:space="preserve"> </w:t>
      </w:r>
      <w:r w:rsidRPr="005B0195">
        <w:rPr>
          <w:rFonts w:ascii="Calibri" w:eastAsia="Times New Roman" w:hAnsi="Calibri" w:cs="Calibri"/>
          <w:noProof/>
        </w:rPr>
        <w:t xml:space="preserve">This indicator identifies the trend in the cost of capital (borrowing and other long term obligation costs net of investment income) against net revenue stream. </w:t>
      </w:r>
      <w:r w:rsidR="00520C7D" w:rsidRPr="005B0195">
        <w:rPr>
          <w:rFonts w:ascii="Calibri" w:eastAsia="Times New Roman" w:hAnsi="Calibri" w:cs="Calibri"/>
          <w:noProof/>
        </w:rPr>
        <w:t xml:space="preserve"> </w:t>
      </w:r>
      <w:r w:rsidRPr="005B0195">
        <w:rPr>
          <w:rFonts w:ascii="Calibri" w:eastAsia="Times New Roman" w:hAnsi="Calibri" w:cs="Calibri"/>
          <w:noProof/>
        </w:rPr>
        <w:t>The estimates of financing costs include current commitments.</w:t>
      </w:r>
    </w:p>
    <w:p w14:paraId="703F3C2C" w14:textId="77777777" w:rsidR="004D09CE" w:rsidRPr="00EE04F9" w:rsidRDefault="004D09CE" w:rsidP="004D09CE">
      <w:pPr>
        <w:ind w:left="709"/>
        <w:jc w:val="both"/>
        <w:rPr>
          <w:rFonts w:ascii="Calibri" w:eastAsia="Times New Roman" w:hAnsi="Calibri" w:cs="Calibri"/>
          <w:bCs/>
          <w:noProof/>
          <w:sz w:val="20"/>
          <w:szCs w:val="20"/>
        </w:rPr>
      </w:pPr>
    </w:p>
    <w:p w14:paraId="3C7394F7" w14:textId="069AAF84" w:rsidR="00A51A19" w:rsidRPr="005F483A" w:rsidRDefault="004D09CE" w:rsidP="00D4345D">
      <w:pPr>
        <w:numPr>
          <w:ilvl w:val="1"/>
          <w:numId w:val="1"/>
        </w:numPr>
        <w:ind w:left="709" w:hanging="709"/>
        <w:jc w:val="both"/>
        <w:rPr>
          <w:rFonts w:ascii="Calibri" w:eastAsia="Times New Roman" w:hAnsi="Calibri" w:cs="Calibri"/>
          <w:bCs/>
          <w:noProof/>
        </w:rPr>
      </w:pPr>
      <w:r w:rsidRPr="005B0195">
        <w:rPr>
          <w:rFonts w:ascii="Calibri" w:eastAsia="Times New Roman" w:hAnsi="Calibri" w:cs="Calibri"/>
          <w:noProof/>
        </w:rPr>
        <w:t xml:space="preserve">This is calculated as the estimated net financing costs for the year divided by the amounts to be met from government grants and </w:t>
      </w:r>
      <w:r w:rsidRPr="0017314E">
        <w:rPr>
          <w:rFonts w:ascii="Calibri" w:eastAsia="Times New Roman" w:hAnsi="Calibri" w:cs="Calibri"/>
          <w:noProof/>
        </w:rPr>
        <w:t>local taxpayers</w:t>
      </w:r>
      <w:r w:rsidR="002066A4">
        <w:rPr>
          <w:rFonts w:ascii="Calibri" w:eastAsia="Times New Roman" w:hAnsi="Calibri" w:cs="Calibri"/>
          <w:noProof/>
        </w:rPr>
        <w:t>:</w:t>
      </w:r>
    </w:p>
    <w:p w14:paraId="19ED206C" w14:textId="77777777" w:rsidR="005F483A" w:rsidRDefault="005F483A" w:rsidP="00EE3D26">
      <w:pPr>
        <w:pStyle w:val="ListParagraph"/>
        <w:rPr>
          <w:rFonts w:ascii="Calibri" w:eastAsia="Times New Roman" w:hAnsi="Calibri" w:cs="Calibri"/>
          <w:bCs/>
          <w:noProof/>
        </w:rPr>
      </w:pPr>
    </w:p>
    <w:tbl>
      <w:tblPr>
        <w:tblW w:w="8680" w:type="dxa"/>
        <w:jc w:val="center"/>
        <w:tblLayout w:type="fixed"/>
        <w:tblLook w:val="04A0" w:firstRow="1" w:lastRow="0" w:firstColumn="1" w:lastColumn="0" w:noHBand="0" w:noVBand="1"/>
      </w:tblPr>
      <w:tblGrid>
        <w:gridCol w:w="2500"/>
        <w:gridCol w:w="1030"/>
        <w:gridCol w:w="1030"/>
        <w:gridCol w:w="1030"/>
        <w:gridCol w:w="1030"/>
        <w:gridCol w:w="1030"/>
        <w:gridCol w:w="1030"/>
      </w:tblGrid>
      <w:tr w:rsidR="005F483A" w:rsidRPr="005F483A" w14:paraId="14792DBA" w14:textId="77777777" w:rsidTr="00EE3D26">
        <w:trPr>
          <w:trHeight w:val="814"/>
          <w:jc w:val="center"/>
        </w:trPr>
        <w:tc>
          <w:tcPr>
            <w:tcW w:w="2500" w:type="dxa"/>
            <w:tcBorders>
              <w:top w:val="single" w:sz="4" w:space="0" w:color="auto"/>
              <w:left w:val="single" w:sz="4" w:space="0" w:color="auto"/>
              <w:bottom w:val="nil"/>
              <w:right w:val="single" w:sz="4" w:space="0" w:color="auto"/>
            </w:tcBorders>
            <w:shd w:val="clear" w:color="000000" w:fill="C00000"/>
            <w:hideMark/>
          </w:tcPr>
          <w:p w14:paraId="3049CA45" w14:textId="77777777" w:rsidR="005F483A" w:rsidRPr="005F483A" w:rsidRDefault="005F483A" w:rsidP="005F483A">
            <w:pP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 </w:t>
            </w:r>
          </w:p>
        </w:tc>
        <w:tc>
          <w:tcPr>
            <w:tcW w:w="1030" w:type="dxa"/>
            <w:tcBorders>
              <w:top w:val="single" w:sz="4" w:space="0" w:color="auto"/>
              <w:left w:val="nil"/>
              <w:bottom w:val="nil"/>
              <w:right w:val="single" w:sz="4" w:space="0" w:color="auto"/>
            </w:tcBorders>
            <w:shd w:val="clear" w:color="000000" w:fill="C00000"/>
            <w:hideMark/>
          </w:tcPr>
          <w:p w14:paraId="19E19921"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2024-25</w:t>
            </w:r>
            <w:r w:rsidRPr="005F483A">
              <w:rPr>
                <w:rFonts w:ascii="Calibri" w:eastAsia="Times New Roman" w:hAnsi="Calibri" w:cs="Calibri"/>
                <w:b/>
                <w:bCs/>
                <w:color w:val="FFFFFF"/>
                <w:sz w:val="18"/>
                <w:szCs w:val="18"/>
                <w:lang w:eastAsia="en-GB"/>
              </w:rPr>
              <w:br/>
              <w:t>Forecast</w:t>
            </w:r>
            <w:r w:rsidRPr="005F483A">
              <w:rPr>
                <w:rFonts w:ascii="Calibri" w:eastAsia="Times New Roman" w:hAnsi="Calibri" w:cs="Calibri"/>
                <w:b/>
                <w:bCs/>
                <w:color w:val="FFFFFF"/>
                <w:sz w:val="18"/>
                <w:szCs w:val="18"/>
                <w:lang w:eastAsia="en-GB"/>
              </w:rPr>
              <w:br/>
              <w:t>£'000</w:t>
            </w:r>
          </w:p>
        </w:tc>
        <w:tc>
          <w:tcPr>
            <w:tcW w:w="1030" w:type="dxa"/>
            <w:tcBorders>
              <w:top w:val="single" w:sz="4" w:space="0" w:color="auto"/>
              <w:left w:val="nil"/>
              <w:bottom w:val="nil"/>
              <w:right w:val="single" w:sz="4" w:space="0" w:color="auto"/>
            </w:tcBorders>
            <w:shd w:val="clear" w:color="000000" w:fill="C00000"/>
            <w:hideMark/>
          </w:tcPr>
          <w:p w14:paraId="7EBC3537"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2025-26</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30" w:type="dxa"/>
            <w:tcBorders>
              <w:top w:val="single" w:sz="4" w:space="0" w:color="auto"/>
              <w:left w:val="nil"/>
              <w:bottom w:val="nil"/>
              <w:right w:val="single" w:sz="4" w:space="0" w:color="auto"/>
            </w:tcBorders>
            <w:shd w:val="clear" w:color="000000" w:fill="C00000"/>
            <w:hideMark/>
          </w:tcPr>
          <w:p w14:paraId="155281F5"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2026-27</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30" w:type="dxa"/>
            <w:tcBorders>
              <w:top w:val="single" w:sz="4" w:space="0" w:color="auto"/>
              <w:left w:val="nil"/>
              <w:bottom w:val="nil"/>
              <w:right w:val="single" w:sz="4" w:space="0" w:color="auto"/>
            </w:tcBorders>
            <w:shd w:val="clear" w:color="000000" w:fill="C00000"/>
            <w:hideMark/>
          </w:tcPr>
          <w:p w14:paraId="19505AF7"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2027-28</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30" w:type="dxa"/>
            <w:tcBorders>
              <w:top w:val="single" w:sz="4" w:space="0" w:color="auto"/>
              <w:left w:val="nil"/>
              <w:bottom w:val="nil"/>
              <w:right w:val="single" w:sz="4" w:space="0" w:color="auto"/>
            </w:tcBorders>
            <w:shd w:val="clear" w:color="000000" w:fill="C00000"/>
            <w:hideMark/>
          </w:tcPr>
          <w:p w14:paraId="3ABE69BB"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2028-29</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30" w:type="dxa"/>
            <w:tcBorders>
              <w:top w:val="single" w:sz="4" w:space="0" w:color="auto"/>
              <w:left w:val="nil"/>
              <w:bottom w:val="nil"/>
              <w:right w:val="single" w:sz="4" w:space="0" w:color="auto"/>
            </w:tcBorders>
            <w:shd w:val="clear" w:color="000000" w:fill="C00000"/>
            <w:hideMark/>
          </w:tcPr>
          <w:p w14:paraId="35EB0705"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2029-30</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r>
      <w:tr w:rsidR="005F483A" w:rsidRPr="005F483A" w14:paraId="1F792F9F" w14:textId="77777777" w:rsidTr="00EE3D26">
        <w:trPr>
          <w:trHeight w:val="495"/>
          <w:jc w:val="center"/>
        </w:trPr>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BE30F" w14:textId="77777777" w:rsidR="005F483A" w:rsidRPr="005F483A" w:rsidRDefault="005F483A" w:rsidP="005F483A">
            <w:pP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Financing costs to net revenue stream</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14:paraId="19A2698E"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2%</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14:paraId="06B81B6C"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3%</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14:paraId="60009F80"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4%</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14:paraId="12F3E438"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5%</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14:paraId="3186EF58"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6%</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14:paraId="2098C2E3"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6%</w:t>
            </w:r>
          </w:p>
        </w:tc>
      </w:tr>
    </w:tbl>
    <w:p w14:paraId="71A0E454" w14:textId="77777777" w:rsidR="004D09CE" w:rsidRPr="005B0195" w:rsidRDefault="004D09CE" w:rsidP="004D09CE">
      <w:pPr>
        <w:jc w:val="right"/>
        <w:rPr>
          <w:rFonts w:ascii="Calibri" w:eastAsia="Times New Roman" w:hAnsi="Calibri" w:cs="Calibri"/>
          <w:bCs/>
        </w:rPr>
      </w:pPr>
      <w:r w:rsidRPr="005B0195">
        <w:rPr>
          <w:rFonts w:ascii="Calibri" w:eastAsia="Times New Roman" w:hAnsi="Calibri" w:cs="Calibri"/>
          <w:bCs/>
          <w:highlight w:val="yellow"/>
        </w:rPr>
        <w:br w:type="page"/>
      </w:r>
      <w:r w:rsidRPr="005B0195">
        <w:rPr>
          <w:rFonts w:ascii="Calibri" w:eastAsia="Times New Roman" w:hAnsi="Calibri" w:cs="Calibri"/>
          <w:bCs/>
        </w:rPr>
        <w:lastRenderedPageBreak/>
        <w:t>APPENDIX 3</w:t>
      </w:r>
    </w:p>
    <w:p w14:paraId="4464695F" w14:textId="77777777" w:rsidR="004D09CE" w:rsidRPr="005B0195" w:rsidRDefault="004D09CE" w:rsidP="004D09CE">
      <w:pPr>
        <w:jc w:val="both"/>
        <w:rPr>
          <w:rFonts w:ascii="Calibri" w:eastAsia="Times New Roman" w:hAnsi="Calibri" w:cs="Calibri"/>
          <w:b/>
          <w:bCs/>
        </w:rPr>
      </w:pPr>
      <w:r w:rsidRPr="005B0195">
        <w:rPr>
          <w:rFonts w:ascii="Calibri" w:eastAsia="Times New Roman" w:hAnsi="Calibri" w:cs="Calibri"/>
          <w:b/>
          <w:bCs/>
        </w:rPr>
        <w:t>Minimum Revenue Provision Policy Statement</w:t>
      </w:r>
    </w:p>
    <w:p w14:paraId="6813D76F" w14:textId="77777777" w:rsidR="004D09CE" w:rsidRPr="005B0195" w:rsidRDefault="004D09CE" w:rsidP="004D09CE">
      <w:pPr>
        <w:jc w:val="both"/>
        <w:rPr>
          <w:rFonts w:ascii="Calibri" w:eastAsia="Times New Roman" w:hAnsi="Calibri" w:cs="Calibri"/>
          <w:b/>
        </w:rPr>
      </w:pPr>
    </w:p>
    <w:p w14:paraId="5C3CA27A" w14:textId="174A9139"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5B0195">
        <w:rPr>
          <w:rFonts w:ascii="Calibri" w:eastAsia="Times New Roman" w:hAnsi="Calibri" w:cs="Calibri"/>
          <w:bCs/>
        </w:rPr>
        <w:t>The</w:t>
      </w:r>
      <w:r w:rsidR="0064222E" w:rsidRPr="005B0195">
        <w:rPr>
          <w:rFonts w:ascii="Calibri" w:eastAsia="Times New Roman" w:hAnsi="Calibri" w:cs="Calibri"/>
          <w:bCs/>
        </w:rPr>
        <w:t xml:space="preserve"> </w:t>
      </w:r>
      <w:r w:rsidR="00A26337">
        <w:rPr>
          <w:rFonts w:ascii="Calibri" w:eastAsia="Times New Roman" w:hAnsi="Calibri" w:cs="Calibri"/>
          <w:bCs/>
        </w:rPr>
        <w:t>Northamptonshire Commissioner, Fire and Rescue Authority (</w:t>
      </w:r>
      <w:r w:rsidR="00997B51">
        <w:rPr>
          <w:rFonts w:ascii="Calibri" w:eastAsia="Times New Roman" w:hAnsi="Calibri" w:cs="Calibri"/>
          <w:bCs/>
        </w:rPr>
        <w:t>NCFRA</w:t>
      </w:r>
      <w:r w:rsidR="00A26337">
        <w:rPr>
          <w:rFonts w:ascii="Calibri" w:eastAsia="Times New Roman" w:hAnsi="Calibri" w:cs="Calibri"/>
          <w:bCs/>
        </w:rPr>
        <w:t>)</w:t>
      </w:r>
      <w:r w:rsidRPr="005B0195">
        <w:rPr>
          <w:rFonts w:ascii="Calibri" w:eastAsia="Times New Roman" w:hAnsi="Calibri" w:cs="Calibri"/>
          <w:bCs/>
        </w:rPr>
        <w:t xml:space="preserve"> is required to repay an element of the accumulated General Fund capital spend each year (Capital Financing Requirement - CFR) through a revenue charge (Minimum Revenue Provision - MRP), although it is also allowed to undertake additional voluntary payments if required. </w:t>
      </w:r>
    </w:p>
    <w:p w14:paraId="1D320467" w14:textId="77777777" w:rsidR="004D09CE" w:rsidRPr="005B0195" w:rsidRDefault="004D09CE" w:rsidP="004D09CE">
      <w:pPr>
        <w:tabs>
          <w:tab w:val="num" w:pos="2160"/>
        </w:tabs>
        <w:ind w:left="720"/>
        <w:jc w:val="both"/>
        <w:rPr>
          <w:rFonts w:ascii="Calibri" w:eastAsia="Times New Roman" w:hAnsi="Calibri" w:cs="Calibri"/>
          <w:bCs/>
        </w:rPr>
      </w:pPr>
    </w:p>
    <w:p w14:paraId="22DFB458" w14:textId="474CBB77"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5B0195">
        <w:rPr>
          <w:rFonts w:ascii="Calibri" w:eastAsia="Times New Roman" w:hAnsi="Calibri" w:cs="Calibri"/>
          <w:bCs/>
          <w:iCs/>
        </w:rPr>
        <w:t>T</w:t>
      </w:r>
      <w:bookmarkStart w:id="6" w:name="_Hlk186559540"/>
      <w:r w:rsidRPr="005B0195">
        <w:rPr>
          <w:rFonts w:ascii="Calibri" w:eastAsia="Times New Roman" w:hAnsi="Calibri" w:cs="Calibri"/>
          <w:bCs/>
          <w:iCs/>
        </w:rPr>
        <w:t xml:space="preserve">he </w:t>
      </w:r>
      <w:r w:rsidR="00695346">
        <w:rPr>
          <w:rFonts w:ascii="Calibri" w:eastAsia="Times New Roman" w:hAnsi="Calibri" w:cs="Calibri"/>
          <w:bCs/>
          <w:iCs/>
        </w:rPr>
        <w:t>Ministry of Housing, Communities and Local Government</w:t>
      </w:r>
      <w:r w:rsidRPr="005B0195">
        <w:rPr>
          <w:rFonts w:ascii="Calibri" w:eastAsia="Times New Roman" w:hAnsi="Calibri" w:cs="Calibri"/>
          <w:bCs/>
          <w:iCs/>
        </w:rPr>
        <w:t xml:space="preserve"> (</w:t>
      </w:r>
      <w:bookmarkStart w:id="7" w:name="_Hlk186559690"/>
      <w:r w:rsidR="00695346">
        <w:rPr>
          <w:rFonts w:ascii="Calibri" w:eastAsia="Times New Roman" w:hAnsi="Calibri" w:cs="Calibri"/>
          <w:bCs/>
          <w:iCs/>
        </w:rPr>
        <w:t>MHCLG</w:t>
      </w:r>
      <w:bookmarkEnd w:id="7"/>
      <w:r w:rsidRPr="005B0195">
        <w:rPr>
          <w:rFonts w:ascii="Calibri" w:eastAsia="Times New Roman" w:hAnsi="Calibri" w:cs="Calibri"/>
          <w:bCs/>
          <w:iCs/>
        </w:rPr>
        <w:t xml:space="preserve">) </w:t>
      </w:r>
      <w:bookmarkEnd w:id="6"/>
      <w:r w:rsidRPr="005B0195">
        <w:rPr>
          <w:rFonts w:ascii="Calibri" w:eastAsia="Times New Roman" w:hAnsi="Calibri" w:cs="Calibri"/>
          <w:bCs/>
          <w:iCs/>
        </w:rPr>
        <w:t>have issued regulations that requires the</w:t>
      </w:r>
      <w:r w:rsidR="0064222E" w:rsidRPr="005B0195">
        <w:rPr>
          <w:rFonts w:ascii="Calibri" w:eastAsia="Times New Roman" w:hAnsi="Calibri" w:cs="Calibri"/>
          <w:bCs/>
          <w:iCs/>
        </w:rPr>
        <w:t xml:space="preserve"> </w:t>
      </w:r>
      <w:r w:rsidR="00997B51">
        <w:rPr>
          <w:rFonts w:ascii="Calibri" w:eastAsia="Times New Roman" w:hAnsi="Calibri" w:cs="Calibri"/>
          <w:bCs/>
          <w:iCs/>
        </w:rPr>
        <w:t>NCFRA</w:t>
      </w:r>
      <w:r w:rsidRPr="005B0195">
        <w:rPr>
          <w:rFonts w:ascii="Calibri" w:eastAsia="Times New Roman" w:hAnsi="Calibri" w:cs="Calibri"/>
          <w:bCs/>
          <w:iCs/>
        </w:rPr>
        <w:t xml:space="preserve"> to approve an MRP Statement in advance of each year. </w:t>
      </w:r>
      <w:r w:rsidR="00520C7D" w:rsidRPr="005B0195">
        <w:rPr>
          <w:rFonts w:ascii="Calibri" w:eastAsia="Times New Roman" w:hAnsi="Calibri" w:cs="Calibri"/>
          <w:bCs/>
          <w:iCs/>
        </w:rPr>
        <w:t xml:space="preserve"> </w:t>
      </w:r>
      <w:r w:rsidRPr="005B0195">
        <w:rPr>
          <w:rFonts w:ascii="Calibri" w:eastAsia="Times New Roman" w:hAnsi="Calibri" w:cs="Calibri"/>
          <w:bCs/>
          <w:iCs/>
        </w:rPr>
        <w:t xml:space="preserve">A variety of options are provided in the guidance with the underlying </w:t>
      </w:r>
      <w:r w:rsidR="00B70116" w:rsidRPr="005B0195">
        <w:rPr>
          <w:rFonts w:ascii="Calibri" w:eastAsia="Times New Roman" w:hAnsi="Calibri" w:cs="Calibri"/>
          <w:bCs/>
          <w:iCs/>
        </w:rPr>
        <w:t>princip</w:t>
      </w:r>
      <w:r w:rsidR="00B70116">
        <w:rPr>
          <w:rFonts w:ascii="Calibri" w:eastAsia="Times New Roman" w:hAnsi="Calibri" w:cs="Calibri"/>
          <w:bCs/>
          <w:iCs/>
        </w:rPr>
        <w:t>le</w:t>
      </w:r>
      <w:r w:rsidR="004463F9">
        <w:rPr>
          <w:rFonts w:ascii="Calibri" w:eastAsia="Times New Roman" w:hAnsi="Calibri" w:cs="Calibri"/>
          <w:bCs/>
          <w:iCs/>
        </w:rPr>
        <w:t xml:space="preserve"> </w:t>
      </w:r>
      <w:r w:rsidRPr="005B0195">
        <w:rPr>
          <w:rFonts w:ascii="Calibri" w:eastAsia="Times New Roman" w:hAnsi="Calibri" w:cs="Calibri"/>
          <w:bCs/>
          <w:iCs/>
        </w:rPr>
        <w:t xml:space="preserve">that a prudent provision is made. </w:t>
      </w:r>
    </w:p>
    <w:p w14:paraId="7B164E09" w14:textId="77777777" w:rsidR="004D09CE" w:rsidRPr="005B0195" w:rsidRDefault="004D09CE" w:rsidP="004D09CE">
      <w:pPr>
        <w:tabs>
          <w:tab w:val="num" w:pos="2160"/>
        </w:tabs>
        <w:ind w:left="720"/>
        <w:jc w:val="both"/>
        <w:rPr>
          <w:rFonts w:ascii="Calibri" w:eastAsia="Times New Roman" w:hAnsi="Calibri" w:cs="Calibri"/>
          <w:bCs/>
        </w:rPr>
      </w:pPr>
    </w:p>
    <w:p w14:paraId="21BCA6B5" w14:textId="77777777" w:rsidR="004D09CE" w:rsidRPr="005B0195" w:rsidRDefault="004D09CE" w:rsidP="004D09CE">
      <w:pPr>
        <w:tabs>
          <w:tab w:val="num" w:pos="2160"/>
        </w:tabs>
        <w:ind w:left="720"/>
        <w:jc w:val="both"/>
        <w:rPr>
          <w:rFonts w:ascii="Calibri" w:eastAsia="Times New Roman" w:hAnsi="Calibri" w:cs="Calibri"/>
          <w:b/>
          <w:bCs/>
          <w:highlight w:val="yellow"/>
        </w:rPr>
      </w:pPr>
      <w:r w:rsidRPr="005B0195">
        <w:rPr>
          <w:rFonts w:ascii="Calibri" w:eastAsia="Times New Roman" w:hAnsi="Calibri" w:cs="Calibri"/>
          <w:b/>
          <w:bCs/>
        </w:rPr>
        <w:t xml:space="preserve">Accumulated Debt Liability </w:t>
      </w:r>
    </w:p>
    <w:p w14:paraId="5D5435E9" w14:textId="77777777" w:rsidR="004D09CE" w:rsidRPr="005B0195" w:rsidRDefault="004D09CE" w:rsidP="004D09CE">
      <w:pPr>
        <w:tabs>
          <w:tab w:val="num" w:pos="2160"/>
        </w:tabs>
        <w:ind w:left="720"/>
        <w:jc w:val="both"/>
        <w:rPr>
          <w:rFonts w:ascii="Calibri" w:eastAsia="Times New Roman" w:hAnsi="Calibri" w:cs="Calibri"/>
          <w:bCs/>
          <w:highlight w:val="yellow"/>
        </w:rPr>
      </w:pPr>
    </w:p>
    <w:p w14:paraId="02A5026A" w14:textId="77777777" w:rsidR="004D09CE" w:rsidRPr="005B0195" w:rsidRDefault="004D09CE" w:rsidP="004D09CE">
      <w:pPr>
        <w:numPr>
          <w:ilvl w:val="1"/>
          <w:numId w:val="2"/>
        </w:numPr>
        <w:ind w:left="709" w:hanging="709"/>
        <w:jc w:val="both"/>
        <w:rPr>
          <w:rFonts w:ascii="Calibri" w:eastAsia="Times New Roman" w:hAnsi="Calibri" w:cs="Calibri"/>
          <w:bCs/>
        </w:rPr>
      </w:pPr>
      <w:r w:rsidRPr="005B0195">
        <w:rPr>
          <w:rFonts w:ascii="Calibri" w:eastAsia="Times New Roman" w:hAnsi="Calibri" w:cs="Calibri"/>
          <w:bCs/>
        </w:rPr>
        <w:t>For unsupported capital expenditure, MRP will be charged from the year after the assets funded have become operational and spread over the estimated useful life of the assets using an equal annual instalment method.</w:t>
      </w:r>
    </w:p>
    <w:p w14:paraId="0F5A5D06" w14:textId="77777777" w:rsidR="004D09CE" w:rsidRPr="005B0195" w:rsidRDefault="004D09CE" w:rsidP="004D09CE">
      <w:pPr>
        <w:ind w:left="709"/>
        <w:jc w:val="both"/>
        <w:rPr>
          <w:rFonts w:ascii="Calibri" w:eastAsia="Times New Roman" w:hAnsi="Calibri" w:cs="Calibri"/>
          <w:bCs/>
        </w:rPr>
      </w:pPr>
    </w:p>
    <w:p w14:paraId="2E18920B" w14:textId="77777777" w:rsidR="00DC4645" w:rsidRPr="000736E1" w:rsidRDefault="00DC4645" w:rsidP="00DC4645">
      <w:pPr>
        <w:numPr>
          <w:ilvl w:val="1"/>
          <w:numId w:val="2"/>
        </w:numPr>
        <w:tabs>
          <w:tab w:val="num" w:pos="720"/>
          <w:tab w:val="num" w:pos="2160"/>
        </w:tabs>
        <w:ind w:left="720" w:hanging="720"/>
        <w:jc w:val="both"/>
        <w:rPr>
          <w:rFonts w:ascii="Calibri" w:eastAsia="Times New Roman" w:hAnsi="Calibri" w:cs="Calibri"/>
          <w:b/>
        </w:rPr>
      </w:pPr>
      <w:r w:rsidRPr="000736E1">
        <w:rPr>
          <w:rFonts w:ascii="Calibri" w:eastAsia="Times New Roman" w:hAnsi="Calibri" w:cs="Calibri"/>
          <w:bCs/>
        </w:rPr>
        <w:t>Estimated useful life periods will be determined under delegated powers.  To the extent that expenditure is not on the creation of an asset</w:t>
      </w:r>
      <w:r>
        <w:rPr>
          <w:rFonts w:ascii="Calibri" w:eastAsia="Times New Roman" w:hAnsi="Calibri" w:cs="Calibri"/>
          <w:bCs/>
        </w:rPr>
        <w:t>, it will be spread across the estimated life of each group of assets, with overall asset group principles being applied.</w:t>
      </w:r>
      <w:r w:rsidRPr="000736E1" w:rsidDel="00F25A47">
        <w:rPr>
          <w:rFonts w:ascii="Calibri" w:eastAsia="Times New Roman" w:hAnsi="Calibri" w:cs="Calibri"/>
          <w:bCs/>
        </w:rPr>
        <w:t xml:space="preserve"> </w:t>
      </w:r>
      <w:r w:rsidRPr="000736E1">
        <w:rPr>
          <w:rFonts w:ascii="Calibri" w:eastAsia="Times New Roman" w:hAnsi="Calibri" w:cs="Calibri"/>
          <w:bCs/>
        </w:rPr>
        <w:t>However, the PFCC reserves the right to determine useful life periods and prudent MRP in exceptional circumstances where the recommendations of the guidance would not be appropriate.</w:t>
      </w:r>
    </w:p>
    <w:p w14:paraId="1DAA75B7" w14:textId="77777777" w:rsidR="004D09CE" w:rsidRPr="005B0195" w:rsidRDefault="004D09CE" w:rsidP="004D09CE">
      <w:pPr>
        <w:tabs>
          <w:tab w:val="num" w:pos="2160"/>
        </w:tabs>
        <w:jc w:val="both"/>
        <w:rPr>
          <w:rFonts w:ascii="Calibri" w:eastAsia="Times New Roman" w:hAnsi="Calibri" w:cs="Calibri"/>
          <w:bCs/>
          <w:highlight w:val="yellow"/>
        </w:rPr>
      </w:pPr>
    </w:p>
    <w:p w14:paraId="2F72A71A" w14:textId="0A419C92"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
        </w:rPr>
      </w:pPr>
      <w:r w:rsidRPr="005B0195">
        <w:rPr>
          <w:rFonts w:ascii="Calibri" w:eastAsia="Times New Roman" w:hAnsi="Calibri" w:cs="Calibri"/>
          <w:bCs/>
        </w:rPr>
        <w:t>As some types of capital expenditure incurred are not capable of being related to an individual asset, asset lives will be assessed on a basis which most reasonably reflects the anticipated period of benefit that arises from the expenditure.</w:t>
      </w:r>
      <w:r w:rsidR="00520C7D" w:rsidRPr="005B0195">
        <w:rPr>
          <w:rFonts w:ascii="Calibri" w:eastAsia="Times New Roman" w:hAnsi="Calibri" w:cs="Calibri"/>
          <w:bCs/>
        </w:rPr>
        <w:t xml:space="preserve"> </w:t>
      </w:r>
      <w:r w:rsidRPr="005B0195">
        <w:rPr>
          <w:rFonts w:ascii="Calibri" w:eastAsia="Times New Roman" w:hAnsi="Calibri" w:cs="Calibri"/>
          <w:bCs/>
        </w:rPr>
        <w:t xml:space="preserve"> Whatever type of expenditure is involved, it will be grouped together in a manner which reflects the nature of the main component of expenditure with substantially different useful economic lives.</w:t>
      </w:r>
    </w:p>
    <w:p w14:paraId="5C815E12" w14:textId="77777777" w:rsidR="004D09CE" w:rsidRPr="005B0195" w:rsidRDefault="004D09CE" w:rsidP="004D09CE">
      <w:pPr>
        <w:tabs>
          <w:tab w:val="num" w:pos="2160"/>
        </w:tabs>
        <w:jc w:val="both"/>
        <w:rPr>
          <w:rFonts w:ascii="Calibri" w:eastAsia="Times New Roman" w:hAnsi="Calibri" w:cs="Calibri"/>
          <w:bCs/>
          <w:highlight w:val="yellow"/>
          <w:u w:val="single"/>
        </w:rPr>
      </w:pPr>
    </w:p>
    <w:p w14:paraId="6A02B945" w14:textId="77777777" w:rsidR="004D09CE" w:rsidRPr="005B0195" w:rsidRDefault="004D09CE" w:rsidP="004D09CE">
      <w:pPr>
        <w:tabs>
          <w:tab w:val="num" w:pos="2160"/>
        </w:tabs>
        <w:ind w:left="720"/>
        <w:jc w:val="both"/>
        <w:rPr>
          <w:rFonts w:ascii="Calibri" w:eastAsia="Times New Roman" w:hAnsi="Calibri" w:cs="Calibri"/>
          <w:bCs/>
        </w:rPr>
      </w:pPr>
      <w:r w:rsidRPr="005B0195">
        <w:rPr>
          <w:rFonts w:ascii="Calibri" w:eastAsia="Times New Roman" w:hAnsi="Calibri" w:cs="Calibri"/>
          <w:b/>
          <w:bCs/>
        </w:rPr>
        <w:t>Non-operational assets</w:t>
      </w:r>
    </w:p>
    <w:p w14:paraId="058A7904" w14:textId="77777777" w:rsidR="004D09CE" w:rsidRPr="005B0195" w:rsidRDefault="004D09CE" w:rsidP="004D09CE">
      <w:pPr>
        <w:tabs>
          <w:tab w:val="num" w:pos="2160"/>
        </w:tabs>
        <w:ind w:left="720"/>
        <w:jc w:val="both"/>
        <w:rPr>
          <w:rFonts w:ascii="Calibri" w:eastAsia="Times New Roman" w:hAnsi="Calibri" w:cs="Calibri"/>
          <w:bCs/>
          <w:u w:val="single"/>
        </w:rPr>
      </w:pPr>
    </w:p>
    <w:p w14:paraId="2C5145FA" w14:textId="302220D2"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Cs/>
          <w:u w:val="single"/>
        </w:rPr>
      </w:pPr>
      <w:r w:rsidRPr="005B0195">
        <w:rPr>
          <w:rFonts w:ascii="Calibri" w:eastAsia="Times New Roman" w:hAnsi="Calibri" w:cs="Calibri"/>
          <w:bCs/>
        </w:rPr>
        <w:t>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 xml:space="preserve"> will not charge MRP on non-operational assets. </w:t>
      </w:r>
      <w:r w:rsidR="00520C7D" w:rsidRPr="005B0195">
        <w:rPr>
          <w:rFonts w:ascii="Calibri" w:eastAsia="Times New Roman" w:hAnsi="Calibri" w:cs="Calibri"/>
          <w:bCs/>
        </w:rPr>
        <w:t xml:space="preserve"> </w:t>
      </w:r>
      <w:r w:rsidRPr="005B0195">
        <w:rPr>
          <w:rFonts w:ascii="Calibri" w:eastAsia="Times New Roman" w:hAnsi="Calibri" w:cs="Calibri"/>
          <w:bCs/>
        </w:rPr>
        <w:t xml:space="preserve">MRP will only be charged in the financial year following the asset becoming operational. </w:t>
      </w:r>
      <w:r w:rsidR="00520C7D" w:rsidRPr="005B0195">
        <w:rPr>
          <w:rFonts w:ascii="Calibri" w:eastAsia="Times New Roman" w:hAnsi="Calibri" w:cs="Calibri"/>
          <w:bCs/>
        </w:rPr>
        <w:t xml:space="preserve"> </w:t>
      </w:r>
      <w:r w:rsidRPr="005B0195">
        <w:rPr>
          <w:rFonts w:ascii="Calibri" w:eastAsia="Times New Roman" w:hAnsi="Calibri" w:cs="Calibri"/>
          <w:bCs/>
        </w:rPr>
        <w:t xml:space="preserve">This policy will be reviewed annually. </w:t>
      </w:r>
    </w:p>
    <w:p w14:paraId="44F65226" w14:textId="77777777" w:rsidR="004D09CE" w:rsidRPr="005B0195" w:rsidRDefault="004D09CE" w:rsidP="004D09CE">
      <w:pPr>
        <w:tabs>
          <w:tab w:val="num" w:pos="2160"/>
        </w:tabs>
        <w:ind w:left="720"/>
        <w:jc w:val="both"/>
        <w:rPr>
          <w:rFonts w:ascii="Calibri" w:eastAsia="Times New Roman" w:hAnsi="Calibri" w:cs="Calibri"/>
          <w:bCs/>
          <w:u w:val="single"/>
        </w:rPr>
      </w:pPr>
    </w:p>
    <w:p w14:paraId="38BA5CD6" w14:textId="77777777" w:rsidR="004D09CE" w:rsidRPr="005B0195" w:rsidRDefault="004D09CE" w:rsidP="004D09CE">
      <w:pPr>
        <w:tabs>
          <w:tab w:val="num" w:pos="2160"/>
        </w:tabs>
        <w:ind w:left="720"/>
        <w:jc w:val="both"/>
        <w:rPr>
          <w:rFonts w:ascii="Calibri" w:eastAsia="Times New Roman" w:hAnsi="Calibri" w:cs="Calibri"/>
          <w:bCs/>
        </w:rPr>
      </w:pPr>
      <w:r w:rsidRPr="005B0195">
        <w:rPr>
          <w:rFonts w:ascii="Calibri" w:eastAsia="Times New Roman" w:hAnsi="Calibri" w:cs="Calibri"/>
          <w:b/>
          <w:bCs/>
        </w:rPr>
        <w:t>Use of Capital Receipts</w:t>
      </w:r>
    </w:p>
    <w:p w14:paraId="60886032" w14:textId="77777777" w:rsidR="004D09CE" w:rsidRPr="005B0195" w:rsidRDefault="004D09CE" w:rsidP="004D09CE">
      <w:pPr>
        <w:tabs>
          <w:tab w:val="num" w:pos="2160"/>
        </w:tabs>
        <w:ind w:left="720"/>
        <w:jc w:val="both"/>
        <w:rPr>
          <w:rFonts w:ascii="Calibri" w:eastAsia="Times New Roman" w:hAnsi="Calibri" w:cs="Calibri"/>
          <w:bCs/>
          <w:u w:val="single"/>
        </w:rPr>
      </w:pPr>
    </w:p>
    <w:p w14:paraId="47310FBB" w14:textId="2851E53E" w:rsidR="00520C7D" w:rsidRPr="00D4345D" w:rsidRDefault="004D09CE" w:rsidP="00D4345D">
      <w:pPr>
        <w:numPr>
          <w:ilvl w:val="1"/>
          <w:numId w:val="2"/>
        </w:numPr>
        <w:tabs>
          <w:tab w:val="num" w:pos="720"/>
          <w:tab w:val="num" w:pos="2160"/>
        </w:tabs>
        <w:ind w:left="720" w:hanging="720"/>
        <w:jc w:val="both"/>
        <w:rPr>
          <w:rFonts w:ascii="Calibri" w:eastAsia="Times New Roman" w:hAnsi="Calibri" w:cs="Calibri"/>
          <w:bCs/>
          <w:u w:val="single"/>
        </w:rPr>
      </w:pPr>
      <w:r w:rsidRPr="005B0195">
        <w:rPr>
          <w:rFonts w:ascii="Calibri" w:eastAsia="Times New Roman" w:hAnsi="Calibri" w:cs="Calibri"/>
          <w:bCs/>
        </w:rPr>
        <w:t>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 xml:space="preserve"> may use capital receipts in the year in which they are received to reduce the CFR and to offset the MRP charge for that year. </w:t>
      </w:r>
      <w:r w:rsidR="00520C7D" w:rsidRPr="005B0195">
        <w:rPr>
          <w:rFonts w:ascii="Calibri" w:eastAsia="Times New Roman" w:hAnsi="Calibri" w:cs="Calibri"/>
          <w:bCs/>
        </w:rPr>
        <w:t xml:space="preserve"> </w:t>
      </w:r>
      <w:r w:rsidRPr="005B0195">
        <w:rPr>
          <w:rFonts w:ascii="Calibri" w:eastAsia="Times New Roman" w:hAnsi="Calibri" w:cs="Calibri"/>
          <w:bCs/>
        </w:rPr>
        <w:t>Any unapplied capital receipts will be available in future years and will be applied in a prudent manner</w:t>
      </w:r>
      <w:r w:rsidR="00D4345D">
        <w:rPr>
          <w:rFonts w:ascii="Calibri" w:eastAsia="Times New Roman" w:hAnsi="Calibri" w:cs="Calibri"/>
          <w:bCs/>
        </w:rPr>
        <w:t>.</w:t>
      </w:r>
      <w:r w:rsidR="00520C7D" w:rsidRPr="00D4345D">
        <w:rPr>
          <w:rFonts w:ascii="Calibri" w:eastAsia="Times New Roman" w:hAnsi="Calibri" w:cs="Calibri"/>
          <w:bCs/>
        </w:rPr>
        <w:br w:type="page"/>
      </w:r>
    </w:p>
    <w:p w14:paraId="3E1C8430" w14:textId="5BCA1090" w:rsidR="004D09CE" w:rsidRPr="005B0195" w:rsidRDefault="004D09CE" w:rsidP="00D75E47">
      <w:pPr>
        <w:jc w:val="right"/>
        <w:rPr>
          <w:rFonts w:ascii="Calibri" w:eastAsia="Times New Roman" w:hAnsi="Calibri" w:cs="Calibri"/>
          <w:bCs/>
        </w:rPr>
      </w:pPr>
      <w:r w:rsidRPr="005B0195">
        <w:rPr>
          <w:rFonts w:ascii="Calibri" w:eastAsia="Times New Roman" w:hAnsi="Calibri" w:cs="Calibri"/>
          <w:bCs/>
        </w:rPr>
        <w:lastRenderedPageBreak/>
        <w:t>APPENDIX 4</w:t>
      </w:r>
    </w:p>
    <w:p w14:paraId="6707F7A2" w14:textId="77777777" w:rsidR="004D09CE" w:rsidRPr="005B0195" w:rsidRDefault="004D09CE" w:rsidP="004D09CE">
      <w:pPr>
        <w:jc w:val="both"/>
        <w:outlineLvl w:val="0"/>
        <w:rPr>
          <w:rFonts w:ascii="Calibri" w:eastAsia="Times New Roman" w:hAnsi="Calibri" w:cs="Calibri"/>
          <w:b/>
        </w:rPr>
      </w:pPr>
      <w:r w:rsidRPr="005B0195">
        <w:rPr>
          <w:rFonts w:ascii="Calibri" w:eastAsia="Times New Roman" w:hAnsi="Calibri" w:cs="Calibri"/>
          <w:b/>
        </w:rPr>
        <w:t>Annual Investment Strategy</w:t>
      </w:r>
    </w:p>
    <w:p w14:paraId="37B3E5A8" w14:textId="77777777" w:rsidR="004D09CE" w:rsidRPr="005B0195" w:rsidRDefault="004D09CE" w:rsidP="004D09CE">
      <w:pPr>
        <w:jc w:val="both"/>
        <w:rPr>
          <w:rFonts w:ascii="Calibri" w:eastAsia="Times New Roman" w:hAnsi="Calibri" w:cs="Calibri"/>
          <w:b/>
        </w:rPr>
      </w:pPr>
    </w:p>
    <w:p w14:paraId="0B7E35C7"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Investment Policy</w:t>
      </w:r>
    </w:p>
    <w:p w14:paraId="03E1BB4F" w14:textId="77777777" w:rsidR="004D09CE" w:rsidRPr="005B0195" w:rsidRDefault="004D09CE" w:rsidP="004D09CE">
      <w:pPr>
        <w:ind w:left="720"/>
        <w:jc w:val="both"/>
        <w:rPr>
          <w:rFonts w:ascii="Calibri" w:eastAsia="Times New Roman" w:hAnsi="Calibri" w:cs="Calibri"/>
          <w:b/>
        </w:rPr>
      </w:pPr>
    </w:p>
    <w:p w14:paraId="05DB7907" w14:textId="2AE617E6" w:rsidR="004D09CE" w:rsidRPr="005B0195" w:rsidRDefault="0074121B" w:rsidP="004D09CE">
      <w:pPr>
        <w:numPr>
          <w:ilvl w:val="1"/>
          <w:numId w:val="3"/>
        </w:numPr>
        <w:ind w:left="709" w:hanging="709"/>
        <w:jc w:val="both"/>
        <w:rPr>
          <w:rFonts w:ascii="Calibri" w:eastAsia="Times New Roman" w:hAnsi="Calibri" w:cs="Calibri"/>
          <w:b/>
        </w:rPr>
      </w:pPr>
      <w:r>
        <w:rPr>
          <w:rFonts w:ascii="Calibri" w:eastAsia="Times New Roman" w:hAnsi="Calibri" w:cs="Calibri"/>
          <w:bCs/>
          <w:iCs/>
        </w:rPr>
        <w:t>MHCLG</w:t>
      </w:r>
      <w:r w:rsidR="004D09CE" w:rsidRPr="005B0195">
        <w:rPr>
          <w:rFonts w:ascii="Calibri" w:eastAsia="Times New Roman" w:hAnsi="Calibri" w:cs="Calibri"/>
        </w:rPr>
        <w:t xml:space="preserve"> and CIPFA have extended the meaning of ‘investments’ to include both financial and non-financial investments. </w:t>
      </w:r>
      <w:r w:rsidR="00520C7D" w:rsidRPr="005B0195">
        <w:rPr>
          <w:rFonts w:ascii="Calibri" w:eastAsia="Times New Roman" w:hAnsi="Calibri" w:cs="Calibri"/>
        </w:rPr>
        <w:t xml:space="preserve"> </w:t>
      </w:r>
      <w:r w:rsidR="004D09CE" w:rsidRPr="005B0195">
        <w:rPr>
          <w:rFonts w:ascii="Calibri" w:eastAsia="Times New Roman" w:hAnsi="Calibri" w:cs="Calibri"/>
        </w:rPr>
        <w:t xml:space="preserve">This report deals solely with financial investments managed by the treasury management team. </w:t>
      </w:r>
      <w:r w:rsidR="00520C7D" w:rsidRPr="005B0195">
        <w:rPr>
          <w:rFonts w:ascii="Calibri" w:eastAsia="Times New Roman" w:hAnsi="Calibri" w:cs="Calibri"/>
        </w:rPr>
        <w:t xml:space="preserve"> </w:t>
      </w:r>
      <w:r w:rsidR="004D09CE" w:rsidRPr="005B0195">
        <w:rPr>
          <w:rFonts w:ascii="Calibri" w:eastAsia="Times New Roman" w:hAnsi="Calibri" w:cs="Calibri"/>
        </w:rPr>
        <w:t>Non-financial investments, essentially the purchase of income yielding assets, are covered in the Capital Strategy.</w:t>
      </w:r>
    </w:p>
    <w:p w14:paraId="4FBEC547" w14:textId="77777777" w:rsidR="004D09CE" w:rsidRPr="005B0195" w:rsidRDefault="004D09CE" w:rsidP="004D09CE">
      <w:pPr>
        <w:ind w:left="709"/>
        <w:jc w:val="both"/>
        <w:rPr>
          <w:rFonts w:ascii="Calibri" w:eastAsia="Times New Roman" w:hAnsi="Calibri" w:cs="Calibri"/>
          <w:b/>
        </w:rPr>
      </w:pPr>
    </w:p>
    <w:p w14:paraId="64A3166C" w14:textId="0ADDDB5F" w:rsidR="004D09CE" w:rsidRPr="005B0195" w:rsidRDefault="004D09CE" w:rsidP="004D09CE">
      <w:pPr>
        <w:numPr>
          <w:ilvl w:val="1"/>
          <w:numId w:val="3"/>
        </w:numPr>
        <w:ind w:left="709" w:hanging="709"/>
        <w:jc w:val="both"/>
        <w:rPr>
          <w:rFonts w:ascii="Calibri" w:eastAsia="Times New Roman" w:hAnsi="Calibri" w:cs="Calibri"/>
          <w:b/>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appetite for risk must be clearly identified in its strategy report. </w:t>
      </w:r>
      <w:r w:rsidR="00520C7D" w:rsidRPr="005B0195">
        <w:rPr>
          <w:rFonts w:ascii="Calibri" w:eastAsia="Times New Roman" w:hAnsi="Calibri" w:cs="Calibri"/>
        </w:rPr>
        <w:t xml:space="preserve"> </w:t>
      </w: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affirms that its investment policies are underpinned by a strategy of prudent investment of funds held on behalf of the local community. </w:t>
      </w:r>
      <w:r w:rsidR="00520C7D" w:rsidRPr="005B0195">
        <w:rPr>
          <w:rFonts w:ascii="Calibri" w:eastAsia="Times New Roman" w:hAnsi="Calibri" w:cs="Calibri"/>
        </w:rPr>
        <w:t xml:space="preserve"> </w:t>
      </w:r>
      <w:r w:rsidRPr="005B0195">
        <w:rPr>
          <w:rFonts w:ascii="Calibri" w:eastAsia="Times New Roman" w:hAnsi="Calibri" w:cs="Calibri"/>
        </w:rPr>
        <w:t>The objectives of the investment policy are firstly the security of funds (protecting the capital sum from loss) and then liquidity (keeping money readily available for expenditure when needed).</w:t>
      </w:r>
      <w:r w:rsidR="00520C7D" w:rsidRPr="005B0195">
        <w:rPr>
          <w:rFonts w:ascii="Calibri" w:eastAsia="Times New Roman" w:hAnsi="Calibri" w:cs="Calibri"/>
        </w:rPr>
        <w:t xml:space="preserve"> </w:t>
      </w:r>
      <w:r w:rsidRPr="005B0195">
        <w:rPr>
          <w:rFonts w:ascii="Calibri" w:eastAsia="Times New Roman" w:hAnsi="Calibri" w:cs="Calibri"/>
        </w:rPr>
        <w:t xml:space="preserve"> Once approved levels of security and liquidity are met,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seek to maximise yield from its investments, consistent with the applying of the agreed parameters. </w:t>
      </w:r>
      <w:r w:rsidR="00520C7D" w:rsidRPr="005B0195">
        <w:rPr>
          <w:rFonts w:ascii="Calibri" w:eastAsia="Times New Roman" w:hAnsi="Calibri" w:cs="Calibri"/>
        </w:rPr>
        <w:t xml:space="preserve"> </w:t>
      </w:r>
      <w:r w:rsidRPr="005B0195">
        <w:rPr>
          <w:rFonts w:ascii="Calibri" w:eastAsia="Times New Roman" w:hAnsi="Calibri" w:cs="Calibri"/>
        </w:rPr>
        <w:t>These princip</w:t>
      </w:r>
      <w:r w:rsidR="004463F9">
        <w:rPr>
          <w:rFonts w:ascii="Calibri" w:eastAsia="Times New Roman" w:hAnsi="Calibri" w:cs="Calibri"/>
        </w:rPr>
        <w:t>l</w:t>
      </w:r>
      <w:r w:rsidR="00B70116">
        <w:rPr>
          <w:rFonts w:ascii="Calibri" w:eastAsia="Times New Roman" w:hAnsi="Calibri" w:cs="Calibri"/>
        </w:rPr>
        <w:t>e</w:t>
      </w:r>
      <w:r w:rsidRPr="005B0195">
        <w:rPr>
          <w:rFonts w:ascii="Calibri" w:eastAsia="Times New Roman" w:hAnsi="Calibri" w:cs="Calibri"/>
        </w:rPr>
        <w:t xml:space="preserve">s are carried out by strict adherence to the risk management and control strategies set out in the TMP Schedules and the Treasury Management Strategy. </w:t>
      </w:r>
    </w:p>
    <w:p w14:paraId="5FA02112" w14:textId="77777777" w:rsidR="004D09CE" w:rsidRPr="005B0195" w:rsidRDefault="004D09CE" w:rsidP="004D09CE">
      <w:pPr>
        <w:ind w:left="709"/>
        <w:jc w:val="both"/>
        <w:rPr>
          <w:rFonts w:ascii="Calibri" w:eastAsia="Times New Roman" w:hAnsi="Calibri" w:cs="Calibri"/>
          <w:b/>
        </w:rPr>
      </w:pPr>
    </w:p>
    <w:p w14:paraId="1D21A8B3" w14:textId="7C358F2B" w:rsidR="004D09CE" w:rsidRPr="005B0195" w:rsidRDefault="004D09CE" w:rsidP="004D09CE">
      <w:pPr>
        <w:numPr>
          <w:ilvl w:val="1"/>
          <w:numId w:val="3"/>
        </w:numPr>
        <w:ind w:left="709" w:hanging="709"/>
        <w:jc w:val="both"/>
        <w:rPr>
          <w:rFonts w:ascii="Calibri" w:eastAsia="Times New Roman" w:hAnsi="Calibri" w:cs="Calibri"/>
          <w:b/>
        </w:rPr>
      </w:pPr>
      <w:r w:rsidRPr="005B0195">
        <w:rPr>
          <w:rFonts w:ascii="Calibri" w:eastAsia="Times New Roman" w:hAnsi="Calibri" w:cs="Calibri"/>
        </w:rPr>
        <w:t>Responsibility for risk management and control lies within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and cannot be delegated to an outside organisation.</w:t>
      </w:r>
    </w:p>
    <w:p w14:paraId="2F51A9DA" w14:textId="77777777" w:rsidR="004D09CE" w:rsidRPr="005B0195" w:rsidRDefault="004D09CE" w:rsidP="004D09CE">
      <w:pPr>
        <w:tabs>
          <w:tab w:val="num" w:pos="567"/>
        </w:tabs>
        <w:jc w:val="both"/>
        <w:rPr>
          <w:rFonts w:ascii="Calibri" w:eastAsia="Times New Roman" w:hAnsi="Calibri" w:cs="Calibri"/>
          <w:b/>
        </w:rPr>
      </w:pPr>
    </w:p>
    <w:p w14:paraId="6AEDED54"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Creditworthiness Policy</w:t>
      </w:r>
    </w:p>
    <w:p w14:paraId="44B6A740" w14:textId="77777777" w:rsidR="004D09CE" w:rsidRPr="005B0195" w:rsidRDefault="004D09CE" w:rsidP="004D09CE">
      <w:pPr>
        <w:jc w:val="both"/>
        <w:rPr>
          <w:rFonts w:ascii="Calibri" w:eastAsia="Times New Roman" w:hAnsi="Calibri" w:cs="Calibri"/>
          <w:b/>
        </w:rPr>
      </w:pPr>
    </w:p>
    <w:p w14:paraId="2E3B2648" w14:textId="15C2630E"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counterparty and credit risk management policies are set out below. </w:t>
      </w:r>
      <w:r w:rsidR="00433242" w:rsidRPr="005B0195">
        <w:rPr>
          <w:rFonts w:ascii="Calibri" w:eastAsia="Times New Roman" w:hAnsi="Calibri" w:cs="Calibri"/>
        </w:rPr>
        <w:t xml:space="preserve"> </w:t>
      </w:r>
      <w:r w:rsidRPr="005B0195">
        <w:rPr>
          <w:rFonts w:ascii="Calibri" w:eastAsia="Times New Roman" w:hAnsi="Calibri" w:cs="Calibri"/>
        </w:rPr>
        <w:t>These, taken together, form the fundamental parameters of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Investment Strategy.</w:t>
      </w:r>
    </w:p>
    <w:p w14:paraId="2E385E71" w14:textId="77777777" w:rsidR="004D09CE" w:rsidRPr="005B0195" w:rsidRDefault="004D09CE" w:rsidP="004D09CE">
      <w:pPr>
        <w:ind w:left="709"/>
        <w:jc w:val="both"/>
        <w:rPr>
          <w:rFonts w:ascii="Calibri" w:eastAsia="Times New Roman" w:hAnsi="Calibri" w:cs="Calibri"/>
        </w:rPr>
      </w:pPr>
    </w:p>
    <w:p w14:paraId="438BD710" w14:textId="5D5ECA14"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defines high credit quality in terms of investment counterparties as those organisations that are:</w:t>
      </w:r>
    </w:p>
    <w:p w14:paraId="62B5E8A8" w14:textId="77777777"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 xml:space="preserve">Minimum strong grade long term credit rating (equivalent to A- / A3 / A from Fitch, Moody’s and Standard and Poor’s) </w:t>
      </w:r>
    </w:p>
    <w:p w14:paraId="77AB6592" w14:textId="77777777"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 xml:space="preserve">UK banking or other financial institutions, or </w:t>
      </w:r>
      <w:proofErr w:type="gramStart"/>
      <w:r w:rsidRPr="005B0195">
        <w:rPr>
          <w:rFonts w:ascii="Calibri" w:eastAsia="Times New Roman" w:hAnsi="Calibri" w:cs="Calibri"/>
        </w:rPr>
        <w:t>are;</w:t>
      </w:r>
      <w:proofErr w:type="gramEnd"/>
    </w:p>
    <w:p w14:paraId="05648B80" w14:textId="002BDD51"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UK national or local government bodies</w:t>
      </w:r>
      <w:r w:rsidR="00987C0A">
        <w:rPr>
          <w:rFonts w:ascii="Calibri" w:eastAsia="Times New Roman" w:hAnsi="Calibri" w:cs="Calibri"/>
        </w:rPr>
        <w:t>, including bonds</w:t>
      </w:r>
      <w:r w:rsidRPr="005B0195">
        <w:rPr>
          <w:rFonts w:ascii="Calibri" w:eastAsia="Times New Roman" w:hAnsi="Calibri" w:cs="Calibri"/>
        </w:rPr>
        <w:t xml:space="preserve">, or </w:t>
      </w:r>
      <w:proofErr w:type="gramStart"/>
      <w:r w:rsidRPr="005B0195">
        <w:rPr>
          <w:rFonts w:ascii="Calibri" w:eastAsia="Times New Roman" w:hAnsi="Calibri" w:cs="Calibri"/>
        </w:rPr>
        <w:t>are;</w:t>
      </w:r>
      <w:proofErr w:type="gramEnd"/>
    </w:p>
    <w:p w14:paraId="5F46CB43" w14:textId="77777777"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Triple-A rated Money Market funds.</w:t>
      </w:r>
    </w:p>
    <w:p w14:paraId="39F0BE74" w14:textId="77777777" w:rsidR="004D09CE" w:rsidRPr="005B0195" w:rsidRDefault="004D09CE" w:rsidP="004D09CE">
      <w:pPr>
        <w:ind w:left="1000"/>
        <w:jc w:val="both"/>
        <w:rPr>
          <w:rFonts w:ascii="Calibri" w:eastAsia="Times New Roman" w:hAnsi="Calibri" w:cs="Calibri"/>
        </w:rPr>
      </w:pPr>
    </w:p>
    <w:p w14:paraId="63C73E4E" w14:textId="187B51BC"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assess the credit ratings from the three main credit rating agencies</w:t>
      </w:r>
      <w:r w:rsidR="00EE04F9">
        <w:rPr>
          <w:rFonts w:ascii="Calibri" w:eastAsia="Times New Roman" w:hAnsi="Calibri" w:cs="Calibri"/>
        </w:rPr>
        <w:t>,</w:t>
      </w:r>
      <w:r w:rsidRPr="005B0195">
        <w:rPr>
          <w:rFonts w:ascii="Calibri" w:eastAsia="Times New Roman" w:hAnsi="Calibri" w:cs="Calibri"/>
        </w:rPr>
        <w:t xml:space="preserve"> Fitch, Moody’s and Standard &amp; Poor’s. </w:t>
      </w:r>
      <w:r w:rsidR="00433242" w:rsidRPr="005B0195">
        <w:rPr>
          <w:rFonts w:ascii="Calibri" w:eastAsia="Times New Roman" w:hAnsi="Calibri" w:cs="Calibri"/>
        </w:rPr>
        <w:t xml:space="preserve"> </w:t>
      </w:r>
      <w:r w:rsidRPr="005B0195">
        <w:rPr>
          <w:rFonts w:ascii="Calibri" w:eastAsia="Times New Roman" w:hAnsi="Calibri" w:cs="Calibri"/>
        </w:rPr>
        <w:t xml:space="preserve">The credit ratings of counterparties will be supplemented with the following overlays: </w:t>
      </w:r>
    </w:p>
    <w:p w14:paraId="6DAE3231" w14:textId="77777777" w:rsidR="004D09CE" w:rsidRPr="005B0195" w:rsidRDefault="004D09CE" w:rsidP="004D09CE">
      <w:pPr>
        <w:ind w:left="709"/>
        <w:jc w:val="both"/>
        <w:rPr>
          <w:rFonts w:ascii="Calibri" w:eastAsia="Times New Roman" w:hAnsi="Calibri" w:cs="Calibri"/>
        </w:rPr>
      </w:pPr>
    </w:p>
    <w:p w14:paraId="4EC8654E" w14:textId="468380A9" w:rsidR="004D09CE" w:rsidRPr="005B0195" w:rsidRDefault="00EE04F9" w:rsidP="004D09CE">
      <w:pPr>
        <w:numPr>
          <w:ilvl w:val="0"/>
          <w:numId w:val="8"/>
        </w:numPr>
        <w:jc w:val="both"/>
        <w:rPr>
          <w:rFonts w:ascii="Calibri" w:eastAsia="Times New Roman" w:hAnsi="Calibri" w:cs="Calibri"/>
        </w:rPr>
      </w:pPr>
      <w:r>
        <w:rPr>
          <w:rFonts w:ascii="Calibri" w:eastAsia="Times New Roman" w:hAnsi="Calibri" w:cs="Calibri"/>
        </w:rPr>
        <w:t>C</w:t>
      </w:r>
      <w:r w:rsidR="004D09CE" w:rsidRPr="005B0195">
        <w:rPr>
          <w:rFonts w:ascii="Calibri" w:eastAsia="Times New Roman" w:hAnsi="Calibri" w:cs="Calibri"/>
        </w:rPr>
        <w:t>redit watches and credit outlooks from credit rating agencies</w:t>
      </w:r>
      <w:r w:rsidR="00C23F12">
        <w:rPr>
          <w:rFonts w:ascii="Calibri" w:eastAsia="Times New Roman" w:hAnsi="Calibri" w:cs="Calibri"/>
        </w:rPr>
        <w:t>.</w:t>
      </w:r>
    </w:p>
    <w:p w14:paraId="78E34390" w14:textId="3DEBA212" w:rsidR="004D09CE" w:rsidRPr="005B0195" w:rsidRDefault="004D09CE" w:rsidP="004D09CE">
      <w:pPr>
        <w:numPr>
          <w:ilvl w:val="0"/>
          <w:numId w:val="8"/>
        </w:numPr>
        <w:jc w:val="both"/>
        <w:rPr>
          <w:rFonts w:ascii="Calibri" w:eastAsia="Times New Roman" w:hAnsi="Calibri" w:cs="Calibri"/>
        </w:rPr>
      </w:pPr>
      <w:r w:rsidRPr="005B0195">
        <w:rPr>
          <w:rFonts w:ascii="Calibri" w:eastAsia="Times New Roman" w:hAnsi="Calibri" w:cs="Calibri"/>
        </w:rPr>
        <w:t>Credit Default Swaps (CDS – a traded insurance policy market against default risk) spreads to give early warning of likely changes in credit ratings</w:t>
      </w:r>
      <w:r w:rsidR="00C23F12">
        <w:rPr>
          <w:rFonts w:ascii="Calibri" w:eastAsia="Times New Roman" w:hAnsi="Calibri" w:cs="Calibri"/>
        </w:rPr>
        <w:t>.</w:t>
      </w:r>
    </w:p>
    <w:p w14:paraId="494F901C" w14:textId="77777777" w:rsidR="004D09CE" w:rsidRPr="005B0195" w:rsidRDefault="004D09CE" w:rsidP="004D09CE">
      <w:pPr>
        <w:ind w:left="1000"/>
        <w:jc w:val="both"/>
        <w:rPr>
          <w:rFonts w:ascii="Calibri" w:eastAsia="Times New Roman" w:hAnsi="Calibri" w:cs="Calibri"/>
        </w:rPr>
      </w:pPr>
    </w:p>
    <w:p w14:paraId="0C5861EF" w14:textId="4DFB656C"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lastRenderedPageBreak/>
        <w:t xml:space="preserve">This approach of combining credit ratings, credit Watches and credit Outlooks along with an overlay of CDS spreads will be used to determine duration for investment. </w:t>
      </w:r>
      <w:r w:rsidR="00433242" w:rsidRPr="005B0195">
        <w:rPr>
          <w:rFonts w:ascii="Calibri" w:eastAsia="Times New Roman" w:hAnsi="Calibri" w:cs="Calibri"/>
        </w:rPr>
        <w:t xml:space="preserve"> </w:t>
      </w: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apply these duration limits to its investments at all times, unless otherwise approved by the Chief Finance Officer.</w:t>
      </w:r>
    </w:p>
    <w:p w14:paraId="35B1C68C" w14:textId="77777777" w:rsidR="004D09CE" w:rsidRPr="005B0195" w:rsidRDefault="004D09CE" w:rsidP="004D09CE">
      <w:pPr>
        <w:ind w:left="709"/>
        <w:jc w:val="both"/>
        <w:rPr>
          <w:rFonts w:ascii="Calibri" w:eastAsia="Times New Roman" w:hAnsi="Calibri" w:cs="Calibri"/>
        </w:rPr>
      </w:pPr>
    </w:p>
    <w:p w14:paraId="001AAF99" w14:textId="406ECF0E"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 xml:space="preserve">Credit ratings will be monitored on a regular basis. </w:t>
      </w:r>
      <w:r w:rsidR="00433242" w:rsidRPr="005B0195">
        <w:rPr>
          <w:rFonts w:ascii="Calibri" w:eastAsia="Times New Roman" w:hAnsi="Calibri" w:cs="Calibri"/>
        </w:rPr>
        <w:t xml:space="preserve"> </w:t>
      </w:r>
      <w:r w:rsidRPr="005B0195">
        <w:rPr>
          <w:rFonts w:ascii="Calibri" w:eastAsia="Times New Roman" w:hAnsi="Calibri" w:cs="Calibri"/>
        </w:rPr>
        <w:t>If a rating downgrade results in the counterparty or investment scheme no longer meeting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minimum criteria, its further use as a new investment will be withdrawn immediately. </w:t>
      </w:r>
      <w:r w:rsidR="00433242" w:rsidRPr="005B0195">
        <w:rPr>
          <w:rFonts w:ascii="Calibri" w:eastAsia="Times New Roman" w:hAnsi="Calibri" w:cs="Calibri"/>
        </w:rPr>
        <w:t xml:space="preserve"> </w:t>
      </w:r>
      <w:r w:rsidRPr="005B0195">
        <w:rPr>
          <w:rFonts w:ascii="Calibri" w:eastAsia="Times New Roman" w:hAnsi="Calibri" w:cs="Calibri"/>
        </w:rPr>
        <w:t>In addition, extreme market movements (which may be an early indicator of financial distress) may result in the removal of a counterparty from new investment.</w:t>
      </w:r>
    </w:p>
    <w:p w14:paraId="1ACF1FAE" w14:textId="77777777" w:rsidR="004D09CE" w:rsidRPr="005B0195" w:rsidRDefault="004D09CE" w:rsidP="004D09CE">
      <w:pPr>
        <w:ind w:left="709"/>
        <w:jc w:val="both"/>
        <w:rPr>
          <w:rFonts w:ascii="Calibri" w:eastAsia="Times New Roman" w:hAnsi="Calibri" w:cs="Calibri"/>
        </w:rPr>
      </w:pPr>
    </w:p>
    <w:p w14:paraId="16FF184D" w14:textId="294888ED"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also use market data, financial press</w:t>
      </w:r>
      <w:r w:rsidR="00336AF6">
        <w:rPr>
          <w:rFonts w:ascii="Calibri" w:eastAsia="Times New Roman" w:hAnsi="Calibri" w:cs="Calibri"/>
        </w:rPr>
        <w:t>,</w:t>
      </w:r>
      <w:r w:rsidRPr="005B0195">
        <w:rPr>
          <w:rFonts w:ascii="Calibri" w:eastAsia="Times New Roman" w:hAnsi="Calibri" w:cs="Calibri"/>
        </w:rPr>
        <w:t xml:space="preserve"> and information on any external support for banks to help support its </w:t>
      </w:r>
      <w:r w:rsidR="00D4345D" w:rsidRPr="005B0195">
        <w:rPr>
          <w:rFonts w:ascii="Calibri" w:eastAsia="Times New Roman" w:hAnsi="Calibri" w:cs="Calibri"/>
        </w:rPr>
        <w:t>decision-making</w:t>
      </w:r>
      <w:r w:rsidRPr="005B0195">
        <w:rPr>
          <w:rFonts w:ascii="Calibri" w:eastAsia="Times New Roman" w:hAnsi="Calibri" w:cs="Calibri"/>
        </w:rPr>
        <w:t xml:space="preserve"> process.</w:t>
      </w:r>
    </w:p>
    <w:p w14:paraId="53540BC7" w14:textId="77777777" w:rsidR="004D09CE" w:rsidRPr="005B0195" w:rsidRDefault="004D09CE" w:rsidP="004D09CE">
      <w:pPr>
        <w:ind w:left="709"/>
        <w:jc w:val="both"/>
        <w:rPr>
          <w:rFonts w:ascii="Calibri" w:eastAsia="Times New Roman" w:hAnsi="Calibri" w:cs="Calibri"/>
        </w:rPr>
      </w:pPr>
    </w:p>
    <w:p w14:paraId="5A54A7E9" w14:textId="7C557E2D"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recognises that responsibility for treasury management decisions always remains with the organisation and so to enable the effective management of risk in relation to its investments, the Chief Finance Officer shall have the discretion during the year to:</w:t>
      </w:r>
    </w:p>
    <w:p w14:paraId="7CBA6E95" w14:textId="77777777" w:rsidR="004D09CE" w:rsidRPr="005B0195" w:rsidRDefault="004D09CE" w:rsidP="004D09CE">
      <w:pPr>
        <w:ind w:left="709"/>
        <w:jc w:val="both"/>
        <w:rPr>
          <w:rFonts w:ascii="Calibri" w:eastAsia="Times New Roman" w:hAnsi="Calibri" w:cs="Calibri"/>
        </w:rPr>
      </w:pPr>
    </w:p>
    <w:p w14:paraId="17313B46" w14:textId="2F8D3B47" w:rsidR="004D09CE" w:rsidRPr="005B0195" w:rsidRDefault="004D09CE" w:rsidP="004D09CE">
      <w:pPr>
        <w:numPr>
          <w:ilvl w:val="0"/>
          <w:numId w:val="9"/>
        </w:numPr>
        <w:jc w:val="both"/>
        <w:rPr>
          <w:rFonts w:ascii="Calibri" w:eastAsia="Times New Roman" w:hAnsi="Calibri" w:cs="Calibri"/>
        </w:rPr>
      </w:pPr>
      <w:r w:rsidRPr="005B0195">
        <w:rPr>
          <w:rFonts w:ascii="Calibri" w:eastAsia="Times New Roman" w:hAnsi="Calibri" w:cs="Calibri"/>
        </w:rPr>
        <w:t>Strengthen or relax restrictions on counterparty selection</w:t>
      </w:r>
      <w:r w:rsidR="00C23F12">
        <w:rPr>
          <w:rFonts w:ascii="Calibri" w:eastAsia="Times New Roman" w:hAnsi="Calibri" w:cs="Calibri"/>
        </w:rPr>
        <w:t>.</w:t>
      </w:r>
    </w:p>
    <w:p w14:paraId="56BBAAB2" w14:textId="0A5286B5" w:rsidR="004D09CE" w:rsidRPr="005B0195" w:rsidRDefault="004D09CE" w:rsidP="004D09CE">
      <w:pPr>
        <w:numPr>
          <w:ilvl w:val="0"/>
          <w:numId w:val="9"/>
        </w:numPr>
        <w:jc w:val="both"/>
        <w:rPr>
          <w:rFonts w:ascii="Calibri" w:eastAsia="Times New Roman" w:hAnsi="Calibri" w:cs="Calibri"/>
        </w:rPr>
      </w:pPr>
      <w:r w:rsidRPr="005B0195">
        <w:rPr>
          <w:rFonts w:ascii="Calibri" w:eastAsia="Times New Roman" w:hAnsi="Calibri" w:cs="Calibri"/>
        </w:rPr>
        <w:t>Adjust exposure and duration limits</w:t>
      </w:r>
      <w:r w:rsidR="00C23F12">
        <w:rPr>
          <w:rFonts w:ascii="Calibri" w:eastAsia="Times New Roman" w:hAnsi="Calibri" w:cs="Calibri"/>
        </w:rPr>
        <w:t>.</w:t>
      </w:r>
    </w:p>
    <w:p w14:paraId="78904654" w14:textId="77777777" w:rsidR="004D09CE" w:rsidRPr="005B0195" w:rsidRDefault="004D09CE" w:rsidP="004D09CE">
      <w:pPr>
        <w:ind w:left="709"/>
        <w:jc w:val="both"/>
        <w:rPr>
          <w:rFonts w:ascii="Calibri" w:eastAsia="Times New Roman" w:hAnsi="Calibri" w:cs="Calibri"/>
        </w:rPr>
      </w:pPr>
    </w:p>
    <w:p w14:paraId="51E6F249" w14:textId="76D66ED1"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Where this discretionary</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t>
      </w:r>
      <w:r w:rsidR="00AB56CE">
        <w:rPr>
          <w:rFonts w:ascii="Calibri" w:eastAsia="Times New Roman" w:hAnsi="Calibri" w:cs="Calibri"/>
        </w:rPr>
        <w:t xml:space="preserve">decision-making </w:t>
      </w:r>
      <w:r w:rsidRPr="005B0195">
        <w:rPr>
          <w:rFonts w:ascii="Calibri" w:eastAsia="Times New Roman" w:hAnsi="Calibri" w:cs="Calibri"/>
        </w:rPr>
        <w:t xml:space="preserve">is exercised, records will be </w:t>
      </w:r>
      <w:r w:rsidR="005478B9" w:rsidRPr="005B0195">
        <w:rPr>
          <w:rFonts w:ascii="Calibri" w:eastAsia="Times New Roman" w:hAnsi="Calibri" w:cs="Calibri"/>
        </w:rPr>
        <w:t>maintained,</w:t>
      </w:r>
      <w:r w:rsidRPr="005B0195">
        <w:rPr>
          <w:rFonts w:ascii="Calibri" w:eastAsia="Times New Roman" w:hAnsi="Calibri" w:cs="Calibri"/>
        </w:rPr>
        <w:t xml:space="preserve"> and details reported in the next available Treasury Management update report.</w:t>
      </w:r>
    </w:p>
    <w:p w14:paraId="23E9B868" w14:textId="77777777" w:rsidR="004D09CE" w:rsidRPr="005B0195" w:rsidRDefault="004D09CE" w:rsidP="004D09CE">
      <w:pPr>
        <w:ind w:left="720"/>
        <w:jc w:val="both"/>
        <w:rPr>
          <w:rFonts w:ascii="Calibri" w:eastAsia="Times New Roman" w:hAnsi="Calibri" w:cs="Calibri"/>
          <w:highlight w:val="yellow"/>
        </w:rPr>
      </w:pPr>
    </w:p>
    <w:p w14:paraId="5854381C"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Banking Services</w:t>
      </w:r>
    </w:p>
    <w:p w14:paraId="31F96B35" w14:textId="77777777" w:rsidR="004D09CE" w:rsidRPr="005B0195" w:rsidRDefault="004D09CE" w:rsidP="004D09CE">
      <w:pPr>
        <w:jc w:val="both"/>
        <w:rPr>
          <w:rFonts w:ascii="Calibri" w:eastAsia="Times New Roman" w:hAnsi="Calibri" w:cs="Calibri"/>
          <w:b/>
        </w:rPr>
      </w:pPr>
    </w:p>
    <w:p w14:paraId="48928C59" w14:textId="7530DDD6"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t>
      </w:r>
      <w:r w:rsidR="000D5ADB">
        <w:rPr>
          <w:rFonts w:ascii="Calibri" w:eastAsia="Times New Roman" w:hAnsi="Calibri" w:cs="Calibri"/>
        </w:rPr>
        <w:t xml:space="preserve">currently </w:t>
      </w:r>
      <w:r w:rsidRPr="005B0195">
        <w:rPr>
          <w:rFonts w:ascii="Calibri" w:eastAsia="Times New Roman" w:hAnsi="Calibri" w:cs="Calibri"/>
        </w:rPr>
        <w:t>uses NatWest to provide</w:t>
      </w:r>
      <w:r w:rsidR="00AB56CE">
        <w:rPr>
          <w:rFonts w:ascii="Calibri" w:eastAsia="Times New Roman" w:hAnsi="Calibri" w:cs="Calibri"/>
        </w:rPr>
        <w:t xml:space="preserve"> day-to-day</w:t>
      </w:r>
      <w:r w:rsidRPr="005B0195">
        <w:rPr>
          <w:rFonts w:ascii="Calibri" w:eastAsia="Times New Roman" w:hAnsi="Calibri" w:cs="Calibri"/>
        </w:rPr>
        <w:t xml:space="preserve"> banking services. </w:t>
      </w:r>
      <w:r w:rsidR="00433242" w:rsidRPr="005B0195">
        <w:rPr>
          <w:rFonts w:ascii="Calibri" w:eastAsia="Times New Roman" w:hAnsi="Calibri" w:cs="Calibri"/>
        </w:rPr>
        <w:t xml:space="preserve"> </w:t>
      </w: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may continue to use its own bankers for short term liquidity requirements if the credit rating of the institution falls below the minimum credit criteria set out in this report, monitored daily. </w:t>
      </w:r>
      <w:r w:rsidR="00433242" w:rsidRPr="005B0195">
        <w:rPr>
          <w:rFonts w:ascii="Calibri" w:eastAsia="Times New Roman" w:hAnsi="Calibri" w:cs="Calibri"/>
        </w:rPr>
        <w:t xml:space="preserve"> </w:t>
      </w:r>
      <w:r w:rsidRPr="005B0195">
        <w:rPr>
          <w:rFonts w:ascii="Calibri" w:eastAsia="Times New Roman" w:hAnsi="Calibri" w:cs="Calibri"/>
        </w:rPr>
        <w:t>A pragmatic approach will be adopted</w:t>
      </w:r>
      <w:r w:rsidR="005B7FCC" w:rsidRPr="005B0195">
        <w:rPr>
          <w:rFonts w:ascii="Calibri" w:eastAsia="Times New Roman" w:hAnsi="Calibri" w:cs="Calibri"/>
        </w:rPr>
        <w:t>,</w:t>
      </w:r>
      <w:r w:rsidRPr="005B0195">
        <w:rPr>
          <w:rFonts w:ascii="Calibri" w:eastAsia="Times New Roman" w:hAnsi="Calibri" w:cs="Calibri"/>
        </w:rPr>
        <w:t xml:space="preserve"> and rating changes monitored closely.</w:t>
      </w:r>
    </w:p>
    <w:p w14:paraId="391EFFBC" w14:textId="77777777" w:rsidR="004D09CE" w:rsidRPr="005B0195" w:rsidRDefault="004D09CE" w:rsidP="004D09CE">
      <w:pPr>
        <w:ind w:left="720"/>
        <w:jc w:val="both"/>
        <w:rPr>
          <w:rFonts w:ascii="Calibri" w:eastAsia="Times New Roman" w:hAnsi="Calibri" w:cs="Calibri"/>
          <w:b/>
          <w:highlight w:val="yellow"/>
        </w:rPr>
      </w:pPr>
    </w:p>
    <w:p w14:paraId="75459B1F" w14:textId="744A01E5"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Investment Position and Use of</w:t>
      </w:r>
      <w:r w:rsidR="0064222E" w:rsidRPr="005B0195">
        <w:rPr>
          <w:rFonts w:ascii="Calibri" w:eastAsia="Times New Roman" w:hAnsi="Calibri" w:cs="Calibri"/>
          <w:b/>
        </w:rPr>
        <w:t xml:space="preserve"> </w:t>
      </w:r>
      <w:r w:rsidR="00997B51">
        <w:rPr>
          <w:rFonts w:ascii="Calibri" w:eastAsia="Times New Roman" w:hAnsi="Calibri" w:cs="Calibri"/>
          <w:b/>
        </w:rPr>
        <w:t>NCFRA</w:t>
      </w:r>
      <w:r w:rsidRPr="005B0195">
        <w:rPr>
          <w:rFonts w:ascii="Calibri" w:eastAsia="Times New Roman" w:hAnsi="Calibri" w:cs="Calibri"/>
          <w:b/>
        </w:rPr>
        <w:t>’s Resources</w:t>
      </w:r>
    </w:p>
    <w:p w14:paraId="0A5CED93" w14:textId="77777777" w:rsidR="004D09CE" w:rsidRPr="005B0195" w:rsidRDefault="004D09CE" w:rsidP="004D09CE">
      <w:pPr>
        <w:jc w:val="both"/>
        <w:rPr>
          <w:rFonts w:ascii="Calibri" w:eastAsia="Times New Roman" w:hAnsi="Calibri" w:cs="Calibri"/>
          <w:b/>
        </w:rPr>
      </w:pPr>
    </w:p>
    <w:p w14:paraId="2A12D6E0" w14:textId="77777777" w:rsidR="004D09CE" w:rsidRPr="005B0195" w:rsidRDefault="004D09CE" w:rsidP="004D09CE">
      <w:pPr>
        <w:numPr>
          <w:ilvl w:val="1"/>
          <w:numId w:val="3"/>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 application of resources (capital receipts, reserves etc.) to either finance capital expenditure or other budget decisions to support the revenue budget will have an ongoing impact on investments unless resources are supplemented each year from new sources (asset sales etc.). </w:t>
      </w:r>
    </w:p>
    <w:p w14:paraId="2FCA2B3D" w14:textId="77777777" w:rsidR="004D09CE" w:rsidRPr="005B0195" w:rsidRDefault="004D09CE" w:rsidP="004D09CE">
      <w:pPr>
        <w:jc w:val="both"/>
        <w:rPr>
          <w:rFonts w:ascii="Calibri" w:eastAsia="Times New Roman" w:hAnsi="Calibri" w:cs="Calibri"/>
          <w:b/>
          <w:highlight w:val="yellow"/>
        </w:rPr>
      </w:pPr>
    </w:p>
    <w:p w14:paraId="79E99128" w14:textId="77777777"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Investments will be made with reference to the core balances and cash flow requirements and the outlook for interest rates.</w:t>
      </w:r>
    </w:p>
    <w:p w14:paraId="1072AF1C" w14:textId="77777777" w:rsidR="004D09CE" w:rsidRPr="00EE04F9" w:rsidRDefault="004D09CE" w:rsidP="004D09CE">
      <w:pPr>
        <w:jc w:val="both"/>
        <w:rPr>
          <w:rFonts w:ascii="Calibri" w:eastAsia="Times New Roman" w:hAnsi="Calibri" w:cs="Calibri"/>
          <w:sz w:val="20"/>
          <w:szCs w:val="20"/>
        </w:rPr>
      </w:pPr>
    </w:p>
    <w:p w14:paraId="1AB47727" w14:textId="5637943E" w:rsidR="004D09CE" w:rsidRPr="00EE3D26"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lang w:eastAsia="en-GB"/>
        </w:rPr>
        <w:t>The</w:t>
      </w:r>
      <w:r w:rsidR="0064222E" w:rsidRPr="005B0195">
        <w:rPr>
          <w:rFonts w:ascii="Calibri" w:eastAsia="Times New Roman" w:hAnsi="Calibri" w:cs="Calibri"/>
          <w:lang w:eastAsia="en-GB"/>
        </w:rPr>
        <w:t xml:space="preserve"> </w:t>
      </w:r>
      <w:r w:rsidR="00997B51">
        <w:rPr>
          <w:rFonts w:ascii="Calibri" w:eastAsia="Times New Roman" w:hAnsi="Calibri" w:cs="Calibri"/>
          <w:lang w:eastAsia="en-GB"/>
        </w:rPr>
        <w:t>NCFRA</w:t>
      </w:r>
      <w:r w:rsidRPr="005B0195">
        <w:rPr>
          <w:rFonts w:ascii="Calibri" w:eastAsia="Times New Roman" w:hAnsi="Calibri" w:cs="Calibri"/>
          <w:lang w:eastAsia="en-GB"/>
        </w:rPr>
        <w:t xml:space="preserve"> will primarily utilise business reserve accounts, notice accounts, low-volatility money market funds (known as LVNAV class) and short-dated deposits.</w:t>
      </w:r>
      <w:r w:rsidR="00433242" w:rsidRPr="005B0195">
        <w:rPr>
          <w:rFonts w:ascii="Calibri" w:eastAsia="Times New Roman" w:hAnsi="Calibri" w:cs="Calibri"/>
          <w:lang w:eastAsia="en-GB"/>
        </w:rPr>
        <w:t xml:space="preserve"> </w:t>
      </w:r>
      <w:r w:rsidRPr="005B0195">
        <w:rPr>
          <w:rFonts w:ascii="Calibri" w:eastAsia="Times New Roman" w:hAnsi="Calibri" w:cs="Calibri"/>
          <w:lang w:eastAsia="en-GB"/>
        </w:rPr>
        <w:t xml:space="preserve"> This strategy will be reviewed and developed in future years.</w:t>
      </w:r>
    </w:p>
    <w:p w14:paraId="649BEF6D" w14:textId="77777777" w:rsidR="00FD66FE" w:rsidRDefault="00FD66FE" w:rsidP="00EE3D26">
      <w:pPr>
        <w:pStyle w:val="ListParagraph"/>
        <w:rPr>
          <w:rFonts w:ascii="Calibri" w:eastAsia="Times New Roman" w:hAnsi="Calibri" w:cs="Calibri"/>
          <w:b/>
        </w:rPr>
      </w:pPr>
    </w:p>
    <w:p w14:paraId="0B76B8CB" w14:textId="6BF4C2CD" w:rsidR="00FD66FE" w:rsidRPr="00EE3D26" w:rsidRDefault="00FD66FE" w:rsidP="00FD66FE">
      <w:pPr>
        <w:numPr>
          <w:ilvl w:val="1"/>
          <w:numId w:val="3"/>
        </w:numPr>
        <w:tabs>
          <w:tab w:val="num" w:pos="720"/>
        </w:tabs>
        <w:ind w:left="720" w:hanging="720"/>
        <w:jc w:val="both"/>
        <w:rPr>
          <w:rFonts w:ascii="Calibri" w:eastAsia="Times New Roman" w:hAnsi="Calibri" w:cs="Calibri"/>
          <w:bCs/>
        </w:rPr>
      </w:pPr>
      <w:r w:rsidRPr="00EB1E85">
        <w:rPr>
          <w:rFonts w:ascii="Calibri" w:eastAsia="Times New Roman" w:hAnsi="Calibri" w:cs="Calibri"/>
          <w:bCs/>
        </w:rPr>
        <w:t>The PFCC</w:t>
      </w:r>
      <w:r>
        <w:rPr>
          <w:rFonts w:ascii="Calibri" w:eastAsia="Times New Roman" w:hAnsi="Calibri" w:cs="Calibri"/>
          <w:bCs/>
        </w:rPr>
        <w:t xml:space="preserve"> has the scope to support local communities with funding of social projects.</w:t>
      </w:r>
    </w:p>
    <w:p w14:paraId="184BCC91" w14:textId="77777777" w:rsidR="004D09CE" w:rsidRPr="00EE04F9" w:rsidRDefault="004D09CE" w:rsidP="004D09CE">
      <w:pPr>
        <w:ind w:left="720"/>
        <w:jc w:val="both"/>
        <w:rPr>
          <w:rFonts w:ascii="Calibri" w:eastAsia="Times New Roman" w:hAnsi="Calibri" w:cs="Calibri"/>
          <w:b/>
          <w:sz w:val="20"/>
          <w:szCs w:val="20"/>
          <w:highlight w:val="yellow"/>
        </w:rPr>
      </w:pPr>
    </w:p>
    <w:p w14:paraId="2EF38F66"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Specified Investments</w:t>
      </w:r>
    </w:p>
    <w:p w14:paraId="50D102C9" w14:textId="77777777" w:rsidR="004D09CE" w:rsidRPr="00EE04F9" w:rsidRDefault="004D09CE" w:rsidP="004D09CE">
      <w:pPr>
        <w:ind w:left="720"/>
        <w:jc w:val="both"/>
        <w:rPr>
          <w:rFonts w:ascii="Calibri" w:eastAsia="Times New Roman" w:hAnsi="Calibri" w:cs="Calibri"/>
          <w:b/>
          <w:sz w:val="20"/>
          <w:szCs w:val="20"/>
        </w:rPr>
      </w:pPr>
    </w:p>
    <w:p w14:paraId="7D64C4D7" w14:textId="2D3EF7A6" w:rsidR="004D09CE" w:rsidRDefault="004D09CE" w:rsidP="004D09CE">
      <w:pPr>
        <w:numPr>
          <w:ilvl w:val="1"/>
          <w:numId w:val="3"/>
        </w:numPr>
        <w:ind w:left="709" w:hanging="709"/>
        <w:jc w:val="both"/>
        <w:rPr>
          <w:rFonts w:ascii="Calibri" w:eastAsia="Times New Roman" w:hAnsi="Calibri" w:cs="Calibri"/>
          <w:lang w:eastAsia="en-GB"/>
        </w:rPr>
      </w:pPr>
      <w:r w:rsidRPr="005B0195">
        <w:rPr>
          <w:rFonts w:ascii="Calibri" w:eastAsia="Times New Roman" w:hAnsi="Calibri" w:cs="Calibri"/>
          <w:lang w:eastAsia="en-GB"/>
        </w:rPr>
        <w:t>The</w:t>
      </w:r>
      <w:r w:rsidR="0064222E" w:rsidRPr="005B0195">
        <w:rPr>
          <w:rFonts w:ascii="Calibri" w:eastAsia="Times New Roman" w:hAnsi="Calibri" w:cs="Calibri"/>
          <w:lang w:eastAsia="en-GB"/>
        </w:rPr>
        <w:t xml:space="preserve"> </w:t>
      </w:r>
      <w:r w:rsidR="00997B51">
        <w:rPr>
          <w:rFonts w:ascii="Calibri" w:eastAsia="Times New Roman" w:hAnsi="Calibri" w:cs="Calibri"/>
          <w:lang w:eastAsia="en-GB"/>
        </w:rPr>
        <w:t>NCFRA</w:t>
      </w:r>
      <w:r w:rsidRPr="005B0195">
        <w:rPr>
          <w:rFonts w:ascii="Calibri" w:eastAsia="Times New Roman" w:hAnsi="Calibri" w:cs="Calibri"/>
          <w:lang w:eastAsia="en-GB"/>
        </w:rPr>
        <w:t xml:space="preserve"> assesses that an investment is a specified investment if all of the following criteria apply:</w:t>
      </w:r>
    </w:p>
    <w:p w14:paraId="56BF64F6" w14:textId="77777777" w:rsidR="002066A4" w:rsidRPr="005B0195" w:rsidRDefault="002066A4" w:rsidP="00C23F12">
      <w:pPr>
        <w:ind w:left="709"/>
        <w:jc w:val="both"/>
        <w:rPr>
          <w:rFonts w:ascii="Calibri" w:eastAsia="Times New Roman" w:hAnsi="Calibri" w:cs="Calibri"/>
          <w:lang w:eastAsia="en-GB"/>
        </w:rPr>
      </w:pPr>
    </w:p>
    <w:p w14:paraId="4218AD84" w14:textId="77777777"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investment is denominated in sterling and any payments or repayments in respect of the investment are payable only in sterling.</w:t>
      </w:r>
    </w:p>
    <w:p w14:paraId="47C58A4D" w14:textId="707611C5"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investment is not a long</w:t>
      </w:r>
      <w:r w:rsidR="00D4345D">
        <w:rPr>
          <w:rFonts w:ascii="Calibri" w:eastAsia="Times New Roman" w:hAnsi="Calibri" w:cs="Calibri"/>
        </w:rPr>
        <w:t>-</w:t>
      </w:r>
      <w:r w:rsidRPr="005B0195">
        <w:rPr>
          <w:rFonts w:ascii="Calibri" w:eastAsia="Times New Roman" w:hAnsi="Calibri" w:cs="Calibri"/>
        </w:rPr>
        <w:t>term investment (</w:t>
      </w:r>
      <w:proofErr w:type="spellStart"/>
      <w:r w:rsidRPr="005B0195">
        <w:rPr>
          <w:rFonts w:ascii="Calibri" w:eastAsia="Times New Roman" w:hAnsi="Calibri" w:cs="Calibri"/>
        </w:rPr>
        <w:t>ie</w:t>
      </w:r>
      <w:proofErr w:type="spellEnd"/>
      <w:r w:rsidRPr="005B0195">
        <w:rPr>
          <w:rFonts w:ascii="Calibri" w:eastAsia="Times New Roman" w:hAnsi="Calibri" w:cs="Calibri"/>
        </w:rPr>
        <w:t>. up to 1 year).</w:t>
      </w:r>
    </w:p>
    <w:p w14:paraId="005794A7" w14:textId="77777777"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making of the investment is not defined as capital expenditure by virtue of regulation 25(1)(d) of the Local Authorities (Capital Finance and Accounting) (England) Regulations 2003 [SI 3146 as amended].</w:t>
      </w:r>
    </w:p>
    <w:p w14:paraId="3AEE74A1" w14:textId="77777777"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investment is made with a body or in an investment scheme of high credit quality (see below) or with one of the following public-sector bodies:</w:t>
      </w:r>
    </w:p>
    <w:p w14:paraId="68FD1389" w14:textId="77777777" w:rsidR="004D09CE" w:rsidRPr="005B0195" w:rsidRDefault="004D09CE" w:rsidP="004D09CE">
      <w:pPr>
        <w:numPr>
          <w:ilvl w:val="1"/>
          <w:numId w:val="6"/>
        </w:numPr>
        <w:jc w:val="both"/>
        <w:rPr>
          <w:rFonts w:ascii="Calibri" w:eastAsia="Times New Roman" w:hAnsi="Calibri" w:cs="Calibri"/>
        </w:rPr>
      </w:pPr>
      <w:r w:rsidRPr="005B0195">
        <w:rPr>
          <w:rFonts w:ascii="Calibri" w:eastAsia="Times New Roman" w:hAnsi="Calibri" w:cs="Calibri"/>
        </w:rPr>
        <w:t>The United Kingdom Government.</w:t>
      </w:r>
    </w:p>
    <w:p w14:paraId="4FE36F32" w14:textId="3BF5ECBD" w:rsidR="004D09CE" w:rsidRPr="005B0195" w:rsidRDefault="004D09CE" w:rsidP="004D09CE">
      <w:pPr>
        <w:numPr>
          <w:ilvl w:val="1"/>
          <w:numId w:val="6"/>
        </w:numPr>
        <w:jc w:val="both"/>
        <w:rPr>
          <w:rFonts w:ascii="Calibri" w:eastAsia="Times New Roman" w:hAnsi="Calibri" w:cs="Calibri"/>
        </w:rPr>
      </w:pPr>
      <w:r w:rsidRPr="005B0195">
        <w:rPr>
          <w:rFonts w:ascii="Calibri" w:eastAsia="Times New Roman" w:hAnsi="Calibri" w:cs="Calibri"/>
        </w:rPr>
        <w:t>A</w:t>
      </w:r>
      <w:r w:rsidR="00A16D1B" w:rsidRPr="005B0195">
        <w:rPr>
          <w:rFonts w:ascii="Calibri" w:eastAsia="Times New Roman" w:hAnsi="Calibri" w:cs="Calibri"/>
        </w:rPr>
        <w:t>n</w:t>
      </w:r>
      <w:r w:rsidR="0064222E" w:rsidRPr="005B0195">
        <w:rPr>
          <w:rFonts w:ascii="Calibri" w:eastAsia="Times New Roman" w:hAnsi="Calibri" w:cs="Calibri"/>
        </w:rPr>
        <w:t xml:space="preserve"> Authority</w:t>
      </w:r>
      <w:r w:rsidRPr="005B0195">
        <w:rPr>
          <w:rFonts w:ascii="Calibri" w:eastAsia="Times New Roman" w:hAnsi="Calibri" w:cs="Calibri"/>
        </w:rPr>
        <w:t xml:space="preserve"> in England or Wales (as defined under section 23 of the 2003 Act) or a similar body in Scotland or Northern Ireland.</w:t>
      </w:r>
    </w:p>
    <w:p w14:paraId="632DB7BD" w14:textId="77777777" w:rsidR="004D09CE" w:rsidRPr="005B0195" w:rsidRDefault="004D09CE" w:rsidP="004D09CE">
      <w:pPr>
        <w:numPr>
          <w:ilvl w:val="1"/>
          <w:numId w:val="6"/>
        </w:numPr>
        <w:jc w:val="both"/>
        <w:rPr>
          <w:rFonts w:ascii="Calibri" w:eastAsia="Times New Roman" w:hAnsi="Calibri" w:cs="Calibri"/>
        </w:rPr>
      </w:pPr>
      <w:r w:rsidRPr="005B0195">
        <w:rPr>
          <w:rFonts w:ascii="Calibri" w:eastAsia="Times New Roman" w:hAnsi="Calibri" w:cs="Calibri"/>
        </w:rPr>
        <w:t>High credit quality is defined as a minimum credit rating as outlined in this strategy.</w:t>
      </w:r>
    </w:p>
    <w:p w14:paraId="6BE8B71B" w14:textId="77777777" w:rsidR="00D4345D" w:rsidRPr="00EE04F9" w:rsidRDefault="00D4345D" w:rsidP="004D09CE">
      <w:pPr>
        <w:jc w:val="both"/>
        <w:rPr>
          <w:rFonts w:ascii="Calibri" w:eastAsia="Times New Roman" w:hAnsi="Calibri" w:cs="Calibri"/>
          <w:sz w:val="20"/>
          <w:szCs w:val="20"/>
        </w:rPr>
      </w:pPr>
    </w:p>
    <w:tbl>
      <w:tblPr>
        <w:tblW w:w="8363" w:type="dxa"/>
        <w:tblInd w:w="704"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1E0" w:firstRow="1" w:lastRow="1" w:firstColumn="1" w:lastColumn="1" w:noHBand="0" w:noVBand="0"/>
      </w:tblPr>
      <w:tblGrid>
        <w:gridCol w:w="3686"/>
        <w:gridCol w:w="1701"/>
        <w:gridCol w:w="2976"/>
      </w:tblGrid>
      <w:tr w:rsidR="004D09CE" w:rsidRPr="009261C7" w14:paraId="3614D8EB" w14:textId="77777777" w:rsidTr="00C23F12">
        <w:trPr>
          <w:cantSplit/>
          <w:trHeight w:val="465"/>
        </w:trPr>
        <w:tc>
          <w:tcPr>
            <w:tcW w:w="3686" w:type="dxa"/>
            <w:shd w:val="clear" w:color="auto" w:fill="C00000"/>
            <w:vAlign w:val="center"/>
          </w:tcPr>
          <w:p w14:paraId="4170DF12" w14:textId="77777777" w:rsidR="004D09CE" w:rsidRPr="00C23F12" w:rsidRDefault="004D09CE" w:rsidP="0083443F">
            <w:pPr>
              <w:rPr>
                <w:rFonts w:ascii="Calibri" w:eastAsia="Times New Roman" w:hAnsi="Calibri" w:cs="Calibri"/>
                <w:b/>
                <w:color w:val="FFFFFF" w:themeColor="background1"/>
                <w:sz w:val="20"/>
                <w:szCs w:val="20"/>
              </w:rPr>
            </w:pPr>
            <w:r w:rsidRPr="00C23F12">
              <w:rPr>
                <w:rFonts w:ascii="Calibri" w:eastAsia="Times New Roman" w:hAnsi="Calibri" w:cs="Calibri"/>
                <w:b/>
                <w:color w:val="FFFFFF" w:themeColor="background1"/>
                <w:sz w:val="20"/>
                <w:szCs w:val="20"/>
              </w:rPr>
              <w:t>Instrument</w:t>
            </w:r>
          </w:p>
        </w:tc>
        <w:tc>
          <w:tcPr>
            <w:tcW w:w="1701" w:type="dxa"/>
            <w:shd w:val="clear" w:color="auto" w:fill="C00000"/>
            <w:vAlign w:val="center"/>
          </w:tcPr>
          <w:p w14:paraId="222A9D2B" w14:textId="77777777" w:rsidR="004D09CE" w:rsidRPr="00C23F12" w:rsidRDefault="004D09CE" w:rsidP="0083443F">
            <w:pPr>
              <w:rPr>
                <w:rFonts w:ascii="Calibri" w:eastAsia="Times New Roman" w:hAnsi="Calibri" w:cs="Calibri"/>
                <w:b/>
                <w:color w:val="FFFFFF" w:themeColor="background1"/>
                <w:sz w:val="20"/>
                <w:szCs w:val="20"/>
              </w:rPr>
            </w:pPr>
            <w:r w:rsidRPr="00C23F12">
              <w:rPr>
                <w:rFonts w:ascii="Calibri" w:eastAsia="Times New Roman" w:hAnsi="Calibri" w:cs="Calibri"/>
                <w:b/>
                <w:color w:val="FFFFFF" w:themeColor="background1"/>
                <w:sz w:val="20"/>
                <w:szCs w:val="20"/>
              </w:rPr>
              <w:t>Minimum ‘High’ Credit Criteria</w:t>
            </w:r>
          </w:p>
        </w:tc>
        <w:tc>
          <w:tcPr>
            <w:tcW w:w="2976" w:type="dxa"/>
            <w:shd w:val="clear" w:color="auto" w:fill="C00000"/>
            <w:vAlign w:val="center"/>
          </w:tcPr>
          <w:p w14:paraId="57DC361D" w14:textId="77777777" w:rsidR="004D09CE" w:rsidRPr="00C23F12" w:rsidRDefault="004D09CE" w:rsidP="0083443F">
            <w:pPr>
              <w:rPr>
                <w:rFonts w:ascii="Calibri" w:eastAsia="Times New Roman" w:hAnsi="Calibri" w:cs="Calibri"/>
                <w:b/>
                <w:color w:val="FFFFFF" w:themeColor="background1"/>
                <w:sz w:val="20"/>
                <w:szCs w:val="20"/>
              </w:rPr>
            </w:pPr>
            <w:r w:rsidRPr="00C23F12">
              <w:rPr>
                <w:rFonts w:ascii="Calibri" w:eastAsia="Times New Roman" w:hAnsi="Calibri" w:cs="Calibri"/>
                <w:b/>
                <w:color w:val="FFFFFF" w:themeColor="background1"/>
                <w:sz w:val="20"/>
                <w:szCs w:val="20"/>
              </w:rPr>
              <w:t>Maximum Amount</w:t>
            </w:r>
          </w:p>
        </w:tc>
      </w:tr>
      <w:tr w:rsidR="004D09CE" w:rsidRPr="009261C7" w14:paraId="56C8F523" w14:textId="77777777" w:rsidTr="00C23F12">
        <w:trPr>
          <w:cantSplit/>
          <w:trHeight w:val="444"/>
        </w:trPr>
        <w:tc>
          <w:tcPr>
            <w:tcW w:w="3686" w:type="dxa"/>
            <w:vAlign w:val="center"/>
          </w:tcPr>
          <w:p w14:paraId="58D275CD"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Debt Management Agency Deposit Facility (DMADF)</w:t>
            </w:r>
          </w:p>
        </w:tc>
        <w:tc>
          <w:tcPr>
            <w:tcW w:w="1701" w:type="dxa"/>
            <w:vAlign w:val="center"/>
          </w:tcPr>
          <w:p w14:paraId="1CFE2FC9"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w:t>
            </w:r>
          </w:p>
        </w:tc>
        <w:tc>
          <w:tcPr>
            <w:tcW w:w="2976" w:type="dxa"/>
            <w:vAlign w:val="center"/>
          </w:tcPr>
          <w:p w14:paraId="5E7C0497"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No maximum</w:t>
            </w:r>
          </w:p>
        </w:tc>
      </w:tr>
      <w:tr w:rsidR="004D09CE" w:rsidRPr="009261C7" w14:paraId="6BB405B2" w14:textId="77777777" w:rsidTr="00C23F12">
        <w:trPr>
          <w:cantSplit/>
          <w:trHeight w:val="224"/>
        </w:trPr>
        <w:tc>
          <w:tcPr>
            <w:tcW w:w="3686" w:type="dxa"/>
            <w:vAlign w:val="center"/>
          </w:tcPr>
          <w:p w14:paraId="76712936" w14:textId="63AF6F13" w:rsidR="004D09CE" w:rsidRPr="00C23F12" w:rsidRDefault="004D09CE" w:rsidP="0083443F">
            <w:pPr>
              <w:spacing w:before="60" w:after="120"/>
              <w:ind w:left="34"/>
              <w:rPr>
                <w:rFonts w:ascii="Calibri" w:eastAsia="Times New Roman" w:hAnsi="Calibri" w:cs="Calibri"/>
                <w:sz w:val="20"/>
                <w:szCs w:val="20"/>
              </w:rPr>
            </w:pPr>
            <w:r w:rsidRPr="00C23F12">
              <w:rPr>
                <w:rFonts w:ascii="Calibri" w:eastAsia="Times New Roman" w:hAnsi="Calibri" w:cs="Calibri"/>
                <w:sz w:val="20"/>
                <w:szCs w:val="20"/>
              </w:rPr>
              <w:t>Call Accounts with the</w:t>
            </w:r>
            <w:r w:rsidR="0064222E" w:rsidRPr="00C23F12">
              <w:rPr>
                <w:rFonts w:ascii="Calibri" w:eastAsia="Times New Roman" w:hAnsi="Calibri" w:cs="Calibri"/>
                <w:sz w:val="20"/>
                <w:szCs w:val="20"/>
              </w:rPr>
              <w:t xml:space="preserve"> </w:t>
            </w:r>
            <w:r w:rsidR="00997B51">
              <w:rPr>
                <w:rFonts w:ascii="Calibri" w:eastAsia="Times New Roman" w:hAnsi="Calibri" w:cs="Calibri"/>
                <w:sz w:val="20"/>
                <w:szCs w:val="20"/>
              </w:rPr>
              <w:t>NCFRA</w:t>
            </w:r>
            <w:r w:rsidRPr="00C23F12">
              <w:rPr>
                <w:rFonts w:ascii="Calibri" w:eastAsia="Times New Roman" w:hAnsi="Calibri" w:cs="Calibri"/>
                <w:sz w:val="20"/>
                <w:szCs w:val="20"/>
              </w:rPr>
              <w:t>’s bankers</w:t>
            </w:r>
          </w:p>
        </w:tc>
        <w:tc>
          <w:tcPr>
            <w:tcW w:w="1701" w:type="dxa"/>
            <w:vAlign w:val="center"/>
          </w:tcPr>
          <w:p w14:paraId="6E46F33A"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w:t>
            </w:r>
          </w:p>
        </w:tc>
        <w:tc>
          <w:tcPr>
            <w:tcW w:w="2976" w:type="dxa"/>
            <w:vAlign w:val="center"/>
          </w:tcPr>
          <w:p w14:paraId="32EDE697"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No maximum</w:t>
            </w:r>
          </w:p>
        </w:tc>
      </w:tr>
      <w:tr w:rsidR="004D09CE" w:rsidRPr="009261C7" w14:paraId="707D12E8" w14:textId="77777777" w:rsidTr="00C23F12">
        <w:trPr>
          <w:cantSplit/>
          <w:trHeight w:val="215"/>
        </w:trPr>
        <w:tc>
          <w:tcPr>
            <w:tcW w:w="3686" w:type="dxa"/>
            <w:vAlign w:val="center"/>
          </w:tcPr>
          <w:p w14:paraId="744B6B82" w14:textId="77777777" w:rsidR="004D09CE" w:rsidRPr="00C23F12" w:rsidRDefault="004D09CE" w:rsidP="0083443F">
            <w:pPr>
              <w:spacing w:before="60" w:after="120"/>
              <w:ind w:left="34"/>
              <w:rPr>
                <w:rFonts w:ascii="Calibri" w:eastAsia="Times New Roman" w:hAnsi="Calibri" w:cs="Calibri"/>
                <w:sz w:val="20"/>
                <w:szCs w:val="20"/>
              </w:rPr>
            </w:pPr>
            <w:r w:rsidRPr="00C23F12">
              <w:rPr>
                <w:rFonts w:ascii="Calibri" w:eastAsia="Times New Roman" w:hAnsi="Calibri" w:cs="Calibri"/>
                <w:sz w:val="20"/>
                <w:szCs w:val="20"/>
              </w:rPr>
              <w:t xml:space="preserve">Certificate of Deposits </w:t>
            </w:r>
          </w:p>
        </w:tc>
        <w:tc>
          <w:tcPr>
            <w:tcW w:w="1701" w:type="dxa"/>
            <w:vAlign w:val="center"/>
          </w:tcPr>
          <w:p w14:paraId="0C683F29"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 xml:space="preserve">A / A3 / A </w:t>
            </w:r>
          </w:p>
        </w:tc>
        <w:tc>
          <w:tcPr>
            <w:tcW w:w="2976" w:type="dxa"/>
            <w:vMerge w:val="restart"/>
            <w:vAlign w:val="center"/>
          </w:tcPr>
          <w:p w14:paraId="164BAEC9" w14:textId="54FCB505" w:rsidR="00590F1B" w:rsidRPr="00C23F12" w:rsidRDefault="00590F1B" w:rsidP="00C23F12">
            <w:pPr>
              <w:rPr>
                <w:rFonts w:ascii="Calibri" w:eastAsia="Times New Roman" w:hAnsi="Calibri" w:cs="Calibri"/>
                <w:sz w:val="20"/>
                <w:szCs w:val="20"/>
              </w:rPr>
            </w:pPr>
            <w:r w:rsidRPr="00C23F12">
              <w:rPr>
                <w:rFonts w:ascii="Calibri" w:eastAsia="Times New Roman" w:hAnsi="Calibri" w:cs="Calibri"/>
                <w:sz w:val="20"/>
                <w:szCs w:val="20"/>
              </w:rPr>
              <w:t>£</w:t>
            </w:r>
            <w:r w:rsidR="00FD66FE">
              <w:rPr>
                <w:rFonts w:ascii="Calibri" w:eastAsia="Times New Roman" w:hAnsi="Calibri" w:cs="Calibri"/>
                <w:sz w:val="20"/>
                <w:szCs w:val="20"/>
              </w:rPr>
              <w:t>8</w:t>
            </w:r>
            <w:r w:rsidRPr="00C23F12">
              <w:rPr>
                <w:rFonts w:ascii="Calibri" w:eastAsia="Times New Roman" w:hAnsi="Calibri" w:cs="Calibri"/>
                <w:sz w:val="20"/>
                <w:szCs w:val="20"/>
              </w:rPr>
              <w:t xml:space="preserve">m </w:t>
            </w:r>
            <w:r w:rsidR="00FD66FE">
              <w:rPr>
                <w:rFonts w:ascii="Calibri" w:eastAsia="Times New Roman" w:hAnsi="Calibri" w:cs="Calibri"/>
                <w:sz w:val="20"/>
                <w:szCs w:val="20"/>
              </w:rPr>
              <w:t xml:space="preserve">per UK </w:t>
            </w:r>
            <w:r w:rsidR="00403700">
              <w:rPr>
                <w:rFonts w:ascii="Calibri" w:eastAsia="Times New Roman" w:hAnsi="Calibri" w:cs="Calibri"/>
                <w:sz w:val="20"/>
                <w:szCs w:val="20"/>
              </w:rPr>
              <w:t>banking group</w:t>
            </w:r>
            <w:r w:rsidR="00FD66FE">
              <w:rPr>
                <w:rFonts w:ascii="Calibri" w:eastAsia="Times New Roman" w:hAnsi="Calibri" w:cs="Calibri"/>
                <w:sz w:val="20"/>
                <w:szCs w:val="20"/>
              </w:rPr>
              <w:t>.</w:t>
            </w:r>
            <w:r w:rsidRPr="00C23F12">
              <w:rPr>
                <w:rFonts w:ascii="Calibri" w:eastAsia="Times New Roman" w:hAnsi="Calibri" w:cs="Calibri"/>
                <w:sz w:val="20"/>
                <w:szCs w:val="20"/>
              </w:rPr>
              <w:t xml:space="preserve"> </w:t>
            </w:r>
          </w:p>
        </w:tc>
      </w:tr>
      <w:tr w:rsidR="004D09CE" w:rsidRPr="009261C7" w14:paraId="03CEB191" w14:textId="77777777" w:rsidTr="00C23F12">
        <w:trPr>
          <w:cantSplit/>
          <w:trHeight w:val="222"/>
        </w:trPr>
        <w:tc>
          <w:tcPr>
            <w:tcW w:w="3686" w:type="dxa"/>
            <w:vAlign w:val="center"/>
          </w:tcPr>
          <w:p w14:paraId="094B4FD6"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Term Deposits - Banks and Building Societies</w:t>
            </w:r>
          </w:p>
        </w:tc>
        <w:tc>
          <w:tcPr>
            <w:tcW w:w="1701" w:type="dxa"/>
            <w:vAlign w:val="center"/>
          </w:tcPr>
          <w:p w14:paraId="29427A78" w14:textId="63D6746E"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A / A3 / A</w:t>
            </w:r>
          </w:p>
        </w:tc>
        <w:tc>
          <w:tcPr>
            <w:tcW w:w="2976" w:type="dxa"/>
            <w:vMerge/>
            <w:vAlign w:val="center"/>
          </w:tcPr>
          <w:p w14:paraId="76610A22" w14:textId="77777777" w:rsidR="004D09CE" w:rsidRPr="00C23F12" w:rsidRDefault="004D09CE" w:rsidP="0083443F">
            <w:pPr>
              <w:rPr>
                <w:rFonts w:ascii="Calibri" w:eastAsia="Times New Roman" w:hAnsi="Calibri" w:cs="Calibri"/>
                <w:sz w:val="20"/>
                <w:szCs w:val="20"/>
              </w:rPr>
            </w:pPr>
          </w:p>
        </w:tc>
      </w:tr>
      <w:tr w:rsidR="004D09CE" w:rsidRPr="009261C7" w14:paraId="39D11A8D" w14:textId="77777777" w:rsidTr="00C23F12">
        <w:trPr>
          <w:cantSplit/>
          <w:trHeight w:val="144"/>
        </w:trPr>
        <w:tc>
          <w:tcPr>
            <w:tcW w:w="3686" w:type="dxa"/>
            <w:vAlign w:val="center"/>
          </w:tcPr>
          <w:p w14:paraId="2B7EBADA"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Term Deposits - Local Authorities and Housing Associations</w:t>
            </w:r>
          </w:p>
        </w:tc>
        <w:tc>
          <w:tcPr>
            <w:tcW w:w="1701" w:type="dxa"/>
            <w:vAlign w:val="center"/>
          </w:tcPr>
          <w:p w14:paraId="37D3195C"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Considered on an individual basis</w:t>
            </w:r>
          </w:p>
        </w:tc>
        <w:tc>
          <w:tcPr>
            <w:tcW w:w="2976" w:type="dxa"/>
            <w:vMerge/>
            <w:vAlign w:val="center"/>
          </w:tcPr>
          <w:p w14:paraId="3880A1EF" w14:textId="77777777" w:rsidR="004D09CE" w:rsidRPr="00C23F12" w:rsidRDefault="004D09CE" w:rsidP="0083443F">
            <w:pPr>
              <w:rPr>
                <w:rFonts w:ascii="Calibri" w:eastAsia="Times New Roman" w:hAnsi="Calibri" w:cs="Calibri"/>
                <w:sz w:val="20"/>
                <w:szCs w:val="20"/>
              </w:rPr>
            </w:pPr>
          </w:p>
        </w:tc>
      </w:tr>
      <w:tr w:rsidR="004D09CE" w:rsidRPr="009261C7" w14:paraId="2D08D07C" w14:textId="77777777" w:rsidTr="00C23F12">
        <w:trPr>
          <w:cantSplit/>
          <w:trHeight w:val="208"/>
        </w:trPr>
        <w:tc>
          <w:tcPr>
            <w:tcW w:w="8363" w:type="dxa"/>
            <w:gridSpan w:val="3"/>
            <w:vAlign w:val="center"/>
          </w:tcPr>
          <w:p w14:paraId="25F46D10" w14:textId="0803FB17" w:rsidR="00A16D1B" w:rsidRPr="00C23F12" w:rsidRDefault="004D09CE" w:rsidP="0083443F">
            <w:pPr>
              <w:rPr>
                <w:rFonts w:ascii="Calibri" w:eastAsia="Times New Roman" w:hAnsi="Calibri" w:cs="Calibri"/>
                <w:b/>
                <w:sz w:val="20"/>
                <w:szCs w:val="20"/>
              </w:rPr>
            </w:pPr>
            <w:r w:rsidRPr="00C23F12">
              <w:rPr>
                <w:rFonts w:ascii="Calibri" w:eastAsia="Times New Roman" w:hAnsi="Calibri" w:cs="Calibri"/>
                <w:b/>
                <w:sz w:val="20"/>
                <w:szCs w:val="20"/>
              </w:rPr>
              <w:t xml:space="preserve">Collective Investment Schemes structured as </w:t>
            </w:r>
            <w:r w:rsidR="00D4345D" w:rsidRPr="00C23F12">
              <w:rPr>
                <w:rFonts w:ascii="Calibri" w:eastAsia="Times New Roman" w:hAnsi="Calibri" w:cs="Calibri"/>
                <w:b/>
                <w:sz w:val="20"/>
                <w:szCs w:val="20"/>
              </w:rPr>
              <w:t>Open-Ended</w:t>
            </w:r>
            <w:r w:rsidRPr="00C23F12">
              <w:rPr>
                <w:rFonts w:ascii="Calibri" w:eastAsia="Times New Roman" w:hAnsi="Calibri" w:cs="Calibri"/>
                <w:b/>
                <w:sz w:val="20"/>
                <w:szCs w:val="20"/>
              </w:rPr>
              <w:t xml:space="preserve"> Investment Companies (OEICs):</w:t>
            </w:r>
          </w:p>
        </w:tc>
      </w:tr>
      <w:tr w:rsidR="004D09CE" w:rsidRPr="009261C7" w14:paraId="319CACD1" w14:textId="77777777" w:rsidTr="00C23F12">
        <w:trPr>
          <w:cantSplit/>
          <w:trHeight w:val="484"/>
        </w:trPr>
        <w:tc>
          <w:tcPr>
            <w:tcW w:w="3686" w:type="dxa"/>
            <w:vAlign w:val="center"/>
          </w:tcPr>
          <w:p w14:paraId="4632FE70" w14:textId="194E610F" w:rsidR="004D09CE" w:rsidRPr="00C23F12" w:rsidRDefault="004D09CE" w:rsidP="00D4345D">
            <w:pPr>
              <w:rPr>
                <w:rFonts w:ascii="Calibri" w:eastAsia="Times New Roman" w:hAnsi="Calibri" w:cs="Calibri"/>
                <w:sz w:val="20"/>
                <w:szCs w:val="20"/>
              </w:rPr>
            </w:pPr>
            <w:r w:rsidRPr="00C23F12">
              <w:rPr>
                <w:rFonts w:ascii="Calibri" w:eastAsia="Times New Roman" w:hAnsi="Calibri" w:cs="Calibri"/>
                <w:sz w:val="20"/>
                <w:szCs w:val="20"/>
              </w:rPr>
              <w:t>Money Market Funds</w:t>
            </w:r>
            <w:r w:rsidR="00D4345D" w:rsidRPr="00C23F12">
              <w:rPr>
                <w:rFonts w:ascii="Calibri" w:eastAsia="Times New Roman" w:hAnsi="Calibri" w:cs="Calibri"/>
                <w:sz w:val="20"/>
                <w:szCs w:val="20"/>
              </w:rPr>
              <w:t xml:space="preserve"> </w:t>
            </w:r>
            <w:r w:rsidRPr="00C23F12">
              <w:rPr>
                <w:rFonts w:ascii="Calibri" w:eastAsia="Times New Roman" w:hAnsi="Calibri" w:cs="Calibri"/>
                <w:sz w:val="20"/>
                <w:szCs w:val="20"/>
              </w:rPr>
              <w:t>(CNAV, LVNAV or VNAV)</w:t>
            </w:r>
          </w:p>
        </w:tc>
        <w:tc>
          <w:tcPr>
            <w:tcW w:w="1701" w:type="dxa"/>
            <w:vAlign w:val="center"/>
          </w:tcPr>
          <w:p w14:paraId="2D57DCEA"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AAA MMF rating</w:t>
            </w:r>
          </w:p>
        </w:tc>
        <w:tc>
          <w:tcPr>
            <w:tcW w:w="2976" w:type="dxa"/>
            <w:vAlign w:val="center"/>
          </w:tcPr>
          <w:p w14:paraId="1EC2C8C3" w14:textId="0BF0276A"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£2m per individual/</w:t>
            </w:r>
            <w:r w:rsidR="008D4FF9" w:rsidRPr="00C23F12">
              <w:rPr>
                <w:rFonts w:ascii="Calibri" w:eastAsia="Times New Roman" w:hAnsi="Calibri" w:cs="Calibri"/>
                <w:sz w:val="20"/>
                <w:szCs w:val="20"/>
              </w:rPr>
              <w:t xml:space="preserve"> </w:t>
            </w:r>
            <w:r w:rsidRPr="00C23F12">
              <w:rPr>
                <w:rFonts w:ascii="Calibri" w:eastAsia="Times New Roman" w:hAnsi="Calibri" w:cs="Calibri"/>
                <w:sz w:val="20"/>
                <w:szCs w:val="20"/>
              </w:rPr>
              <w:t>group in total</w:t>
            </w:r>
          </w:p>
        </w:tc>
      </w:tr>
    </w:tbl>
    <w:p w14:paraId="0A5ED083" w14:textId="77777777" w:rsidR="007B66C2" w:rsidRDefault="007B66C2" w:rsidP="007B66C2">
      <w:pPr>
        <w:tabs>
          <w:tab w:val="num" w:pos="1000"/>
          <w:tab w:val="num" w:pos="1440"/>
        </w:tabs>
        <w:ind w:left="709"/>
        <w:jc w:val="both"/>
        <w:rPr>
          <w:rFonts w:ascii="Calibri" w:eastAsia="Times New Roman" w:hAnsi="Calibri" w:cs="Calibri"/>
        </w:rPr>
      </w:pPr>
    </w:p>
    <w:p w14:paraId="7CA50FB7" w14:textId="5C450896" w:rsidR="004D09CE" w:rsidRPr="005B0195" w:rsidRDefault="004D09CE" w:rsidP="004D09CE">
      <w:pPr>
        <w:numPr>
          <w:ilvl w:val="1"/>
          <w:numId w:val="3"/>
        </w:numPr>
        <w:tabs>
          <w:tab w:val="num" w:pos="720"/>
          <w:tab w:val="num" w:pos="1440"/>
        </w:tabs>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may enter into forward agreements up to 1 months in advance of the investment commencing. </w:t>
      </w:r>
      <w:r w:rsidR="00433242" w:rsidRPr="005B0195">
        <w:rPr>
          <w:rFonts w:ascii="Calibri" w:eastAsia="Times New Roman" w:hAnsi="Calibri" w:cs="Calibri"/>
        </w:rPr>
        <w:t xml:space="preserve"> </w:t>
      </w:r>
      <w:r w:rsidRPr="005B0195">
        <w:rPr>
          <w:rFonts w:ascii="Calibri" w:eastAsia="Times New Roman" w:hAnsi="Calibri" w:cs="Calibri"/>
        </w:rPr>
        <w:t>If forward agreements are made, the forward period plus the deal period should not exceed the 1 year to be classified as a specified investment.</w:t>
      </w:r>
    </w:p>
    <w:p w14:paraId="6358DB7C" w14:textId="77777777" w:rsidR="004D09CE" w:rsidRPr="005B0195" w:rsidRDefault="004D09CE" w:rsidP="004D09CE">
      <w:pPr>
        <w:tabs>
          <w:tab w:val="num" w:pos="1440"/>
        </w:tabs>
        <w:ind w:left="709"/>
        <w:jc w:val="both"/>
        <w:rPr>
          <w:rFonts w:ascii="Calibri" w:eastAsia="Times New Roman" w:hAnsi="Calibri" w:cs="Calibri"/>
        </w:rPr>
      </w:pPr>
    </w:p>
    <w:p w14:paraId="7C7C308D" w14:textId="5F6756C8" w:rsidR="004D09CE" w:rsidRPr="002066A4" w:rsidRDefault="004D09CE" w:rsidP="00C23F12">
      <w:pPr>
        <w:numPr>
          <w:ilvl w:val="1"/>
          <w:numId w:val="3"/>
        </w:numPr>
        <w:tabs>
          <w:tab w:val="num" w:pos="720"/>
          <w:tab w:val="num" w:pos="1440"/>
        </w:tabs>
        <w:ind w:left="709" w:hanging="709"/>
        <w:jc w:val="both"/>
        <w:rPr>
          <w:rFonts w:ascii="Calibri" w:eastAsia="Times New Roman" w:hAnsi="Calibri" w:cs="Calibri"/>
        </w:rPr>
      </w:pPr>
      <w:r w:rsidRPr="005B0195">
        <w:rPr>
          <w:rFonts w:ascii="Calibri" w:eastAsia="Times New Roman" w:hAnsi="Calibri" w:cs="Calibri"/>
        </w:rPr>
        <w:t>Maximum counterparty limits may be temporarily exceeded by small amounts and for very short periods where interest is compounded by the counterparty to the principal investment amount. In such instances the interest amounts will be withdrawn as soon as reasonably practicable.</w:t>
      </w:r>
    </w:p>
    <w:p w14:paraId="3429F973" w14:textId="77777777" w:rsidR="009261C7" w:rsidRDefault="009261C7" w:rsidP="004D09CE">
      <w:pPr>
        <w:tabs>
          <w:tab w:val="num" w:pos="1440"/>
        </w:tabs>
        <w:jc w:val="both"/>
        <w:rPr>
          <w:rFonts w:ascii="Calibri" w:eastAsia="Times New Roman" w:hAnsi="Calibri" w:cs="Calibri"/>
        </w:rPr>
      </w:pPr>
    </w:p>
    <w:p w14:paraId="2EEF374C" w14:textId="77777777" w:rsidR="009261C7" w:rsidRDefault="009261C7" w:rsidP="004D09CE">
      <w:pPr>
        <w:tabs>
          <w:tab w:val="num" w:pos="1440"/>
        </w:tabs>
        <w:jc w:val="both"/>
        <w:rPr>
          <w:rFonts w:ascii="Calibri" w:eastAsia="Times New Roman" w:hAnsi="Calibri" w:cs="Calibri"/>
        </w:rPr>
      </w:pPr>
    </w:p>
    <w:p w14:paraId="56B46CDE" w14:textId="77777777" w:rsidR="000A4A28" w:rsidRDefault="000A4A28" w:rsidP="004D09CE">
      <w:pPr>
        <w:tabs>
          <w:tab w:val="num" w:pos="1440"/>
        </w:tabs>
        <w:jc w:val="both"/>
        <w:rPr>
          <w:rFonts w:ascii="Calibri" w:eastAsia="Times New Roman" w:hAnsi="Calibri" w:cs="Calibri"/>
        </w:rPr>
      </w:pPr>
    </w:p>
    <w:p w14:paraId="304AEF31" w14:textId="77777777" w:rsidR="009261C7" w:rsidRPr="005B0195" w:rsidRDefault="009261C7" w:rsidP="004D09CE">
      <w:pPr>
        <w:tabs>
          <w:tab w:val="num" w:pos="1440"/>
        </w:tabs>
        <w:jc w:val="both"/>
        <w:rPr>
          <w:rFonts w:ascii="Calibri" w:eastAsia="Times New Roman" w:hAnsi="Calibri" w:cs="Calibri"/>
        </w:rPr>
      </w:pPr>
    </w:p>
    <w:p w14:paraId="435F891C" w14:textId="77777777" w:rsidR="004D09CE" w:rsidRPr="005B0195" w:rsidRDefault="004D09CE" w:rsidP="00433242">
      <w:pPr>
        <w:numPr>
          <w:ilvl w:val="0"/>
          <w:numId w:val="3"/>
        </w:numPr>
        <w:tabs>
          <w:tab w:val="num" w:pos="720"/>
        </w:tabs>
        <w:ind w:hanging="720"/>
        <w:jc w:val="both"/>
        <w:rPr>
          <w:rFonts w:ascii="Calibri" w:eastAsia="Times New Roman" w:hAnsi="Calibri" w:cs="Calibri"/>
        </w:rPr>
      </w:pPr>
      <w:r w:rsidRPr="005B0195">
        <w:rPr>
          <w:rFonts w:ascii="Calibri" w:eastAsia="Times New Roman" w:hAnsi="Calibri" w:cs="Calibri"/>
          <w:b/>
        </w:rPr>
        <w:lastRenderedPageBreak/>
        <w:t>Non-specified investments</w:t>
      </w:r>
    </w:p>
    <w:p w14:paraId="431BC2A0" w14:textId="77777777" w:rsidR="004D09CE" w:rsidRPr="005B0195" w:rsidRDefault="004D09CE" w:rsidP="004D09CE">
      <w:pPr>
        <w:ind w:left="709"/>
        <w:jc w:val="both"/>
        <w:rPr>
          <w:rFonts w:ascii="Calibri" w:eastAsia="Times New Roman" w:hAnsi="Calibri" w:cs="Calibri"/>
        </w:rPr>
      </w:pPr>
    </w:p>
    <w:p w14:paraId="1B064A98" w14:textId="77777777"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Non-specified investments are defined as those not meeting the specified investment criteria above (including investments exceeding 1 year).</w:t>
      </w:r>
    </w:p>
    <w:p w14:paraId="5B687438" w14:textId="77777777" w:rsidR="004D09CE" w:rsidRPr="005B0195" w:rsidRDefault="004D09CE" w:rsidP="004D09CE">
      <w:pPr>
        <w:ind w:left="709"/>
        <w:jc w:val="both"/>
        <w:rPr>
          <w:rFonts w:ascii="Calibri" w:eastAsia="Times New Roman" w:hAnsi="Calibri" w:cs="Calibri"/>
        </w:rPr>
      </w:pPr>
    </w:p>
    <w:p w14:paraId="513F81BA" w14:textId="1A790CE7"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At this point in time,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has no plans to invest in any </w:t>
      </w:r>
      <w:r w:rsidR="00D4345D">
        <w:rPr>
          <w:rFonts w:ascii="Calibri" w:eastAsia="Times New Roman" w:hAnsi="Calibri" w:cs="Calibri"/>
        </w:rPr>
        <w:t>n</w:t>
      </w:r>
      <w:r w:rsidRPr="005B0195">
        <w:rPr>
          <w:rFonts w:ascii="Calibri" w:eastAsia="Times New Roman" w:hAnsi="Calibri" w:cs="Calibri"/>
        </w:rPr>
        <w:t>on-specified investments.</w:t>
      </w:r>
    </w:p>
    <w:p w14:paraId="0C60A04E" w14:textId="77777777" w:rsidR="004D09CE" w:rsidRPr="005B0195" w:rsidRDefault="004D09CE" w:rsidP="004D09CE">
      <w:pPr>
        <w:ind w:left="720"/>
        <w:jc w:val="both"/>
        <w:rPr>
          <w:rFonts w:ascii="Calibri" w:eastAsia="Times New Roman" w:hAnsi="Calibri" w:cs="Calibri"/>
          <w:b/>
        </w:rPr>
      </w:pPr>
    </w:p>
    <w:p w14:paraId="71F27ABE"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Investments Defined as Capital Expenditure</w:t>
      </w:r>
    </w:p>
    <w:p w14:paraId="7E5BC3E1" w14:textId="77777777" w:rsidR="004D09CE" w:rsidRPr="005B0195" w:rsidRDefault="004D09CE" w:rsidP="004D09CE">
      <w:pPr>
        <w:jc w:val="both"/>
        <w:rPr>
          <w:rFonts w:ascii="Calibri" w:eastAsia="Times New Roman" w:hAnsi="Calibri" w:cs="Calibri"/>
          <w:b/>
        </w:rPr>
      </w:pPr>
    </w:p>
    <w:p w14:paraId="21768E7E" w14:textId="3F998479"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 xml:space="preserve">The acquisition of share capital or loan capital in any corporate body is defined as capital expenditure under Regulation 25(1)(d) of the Local Authorities (Capital Finance and Accounting) (England) Regulations 2003. </w:t>
      </w:r>
      <w:r w:rsidR="00433242" w:rsidRPr="005B0195">
        <w:rPr>
          <w:rFonts w:ascii="Calibri" w:eastAsia="Times New Roman" w:hAnsi="Calibri" w:cs="Calibri"/>
        </w:rPr>
        <w:t xml:space="preserve"> </w:t>
      </w:r>
      <w:r w:rsidRPr="005B0195">
        <w:rPr>
          <w:rFonts w:ascii="Calibri" w:eastAsia="Times New Roman" w:hAnsi="Calibri" w:cs="Calibri"/>
        </w:rPr>
        <w:t xml:space="preserve">Such investments will have to be funded from capital or revenue resources and will be classified as ‘non-specified investments’. </w:t>
      </w:r>
    </w:p>
    <w:p w14:paraId="5C454612" w14:textId="77777777" w:rsidR="004D09CE" w:rsidRPr="005B0195" w:rsidRDefault="004D09CE" w:rsidP="004D09CE">
      <w:pPr>
        <w:jc w:val="both"/>
        <w:rPr>
          <w:rFonts w:ascii="Calibri" w:eastAsia="Times New Roman" w:hAnsi="Calibri" w:cs="Calibri"/>
          <w:b/>
        </w:rPr>
      </w:pPr>
    </w:p>
    <w:p w14:paraId="689E199F" w14:textId="77777777"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 xml:space="preserve">Investments in “money market funds” which are collective investment schemes and bonds issued by “multilateral development banks” – both defined in SI 2004 No 534 – will not be treated as capital expenditure. </w:t>
      </w:r>
    </w:p>
    <w:p w14:paraId="1449D6FC" w14:textId="77777777" w:rsidR="004D09CE" w:rsidRPr="005B0195" w:rsidRDefault="004D09CE" w:rsidP="004D09CE">
      <w:pPr>
        <w:jc w:val="both"/>
        <w:rPr>
          <w:rFonts w:ascii="Calibri" w:eastAsia="Times New Roman" w:hAnsi="Calibri" w:cs="Calibri"/>
        </w:rPr>
      </w:pPr>
    </w:p>
    <w:p w14:paraId="6FC93C70" w14:textId="1C9D68D7" w:rsidR="004D09CE" w:rsidRPr="005B0195" w:rsidRDefault="004D09CE" w:rsidP="004D09CE">
      <w:pPr>
        <w:numPr>
          <w:ilvl w:val="1"/>
          <w:numId w:val="3"/>
        </w:numPr>
        <w:ind w:left="709" w:hanging="709"/>
        <w:jc w:val="both"/>
        <w:rPr>
          <w:rFonts w:ascii="Calibri" w:eastAsia="Times New Roman" w:hAnsi="Calibri" w:cs="Calibri"/>
          <w:b/>
        </w:rPr>
      </w:pPr>
      <w:r w:rsidRPr="005B0195">
        <w:rPr>
          <w:rFonts w:ascii="Calibri" w:eastAsia="Times New Roman" w:hAnsi="Calibri" w:cs="Calibri"/>
        </w:rPr>
        <w:t>A loan, grant or financial assistance provided by this</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to another body will be treated as capital expenditure if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would define the other bodies use of those funds as capital had it undertaken the expenditure itself.</w:t>
      </w:r>
    </w:p>
    <w:p w14:paraId="16208C0D" w14:textId="77777777" w:rsidR="004D09CE" w:rsidRPr="005B0195" w:rsidRDefault="004D09CE" w:rsidP="004D09CE">
      <w:pPr>
        <w:ind w:left="720"/>
        <w:jc w:val="both"/>
        <w:rPr>
          <w:rFonts w:ascii="Calibri" w:eastAsia="Times New Roman" w:hAnsi="Calibri" w:cs="Calibri"/>
          <w:b/>
        </w:rPr>
      </w:pPr>
    </w:p>
    <w:p w14:paraId="79A98FD5"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Provisions for Credit Related Losses</w:t>
      </w:r>
    </w:p>
    <w:p w14:paraId="78FFD8A9" w14:textId="77777777" w:rsidR="004D09CE" w:rsidRPr="005B0195" w:rsidRDefault="004D09CE" w:rsidP="004D09CE">
      <w:pPr>
        <w:jc w:val="both"/>
        <w:rPr>
          <w:rFonts w:ascii="Calibri" w:eastAsia="Times New Roman" w:hAnsi="Calibri" w:cs="Calibri"/>
          <w:b/>
        </w:rPr>
      </w:pPr>
    </w:p>
    <w:p w14:paraId="307EA393" w14:textId="6C057DAB"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bCs/>
        </w:rPr>
        <w:t>If any of 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’s investments appear at risk of loss due to default (</w:t>
      </w:r>
      <w:proofErr w:type="spellStart"/>
      <w:r w:rsidRPr="005B0195">
        <w:rPr>
          <w:rFonts w:ascii="Calibri" w:eastAsia="Times New Roman" w:hAnsi="Calibri" w:cs="Calibri"/>
          <w:bCs/>
        </w:rPr>
        <w:t>ie</w:t>
      </w:r>
      <w:proofErr w:type="spellEnd"/>
      <w:r w:rsidRPr="005B0195">
        <w:rPr>
          <w:rFonts w:ascii="Calibri" w:eastAsia="Times New Roman" w:hAnsi="Calibri" w:cs="Calibri"/>
          <w:bCs/>
        </w:rPr>
        <w:t>. this is a credit-related loss and not one resulting from a fall in price due to movements in interest rates) 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 xml:space="preserve"> will make revenue provision of an appropriate amount. </w:t>
      </w:r>
    </w:p>
    <w:p w14:paraId="33BFD6CE" w14:textId="77777777" w:rsidR="00671668" w:rsidRPr="005B0195" w:rsidRDefault="00671668" w:rsidP="004D09CE">
      <w:pPr>
        <w:jc w:val="both"/>
        <w:rPr>
          <w:rFonts w:ascii="Calibri" w:eastAsia="Times New Roman" w:hAnsi="Calibri" w:cs="Calibri"/>
          <w:bCs/>
        </w:rPr>
      </w:pPr>
    </w:p>
    <w:p w14:paraId="05561C5E"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End of Year Investment Report</w:t>
      </w:r>
    </w:p>
    <w:p w14:paraId="538AED15" w14:textId="77777777" w:rsidR="004D09CE" w:rsidRPr="005B0195" w:rsidRDefault="004D09CE" w:rsidP="004D09CE">
      <w:pPr>
        <w:jc w:val="both"/>
        <w:rPr>
          <w:rFonts w:ascii="Calibri" w:eastAsia="Times New Roman" w:hAnsi="Calibri" w:cs="Calibri"/>
          <w:b/>
        </w:rPr>
      </w:pPr>
    </w:p>
    <w:p w14:paraId="13B61B8B" w14:textId="29B2F312"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At the end of the financial year,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report on its investment activity as part of its Annual Treasury </w:t>
      </w:r>
      <w:r w:rsidR="00D4345D">
        <w:rPr>
          <w:rFonts w:ascii="Calibri" w:eastAsia="Times New Roman" w:hAnsi="Calibri" w:cs="Calibri"/>
        </w:rPr>
        <w:t xml:space="preserve">Outturn </w:t>
      </w:r>
      <w:r w:rsidRPr="005B0195">
        <w:rPr>
          <w:rFonts w:ascii="Calibri" w:eastAsia="Times New Roman" w:hAnsi="Calibri" w:cs="Calibri"/>
        </w:rPr>
        <w:t xml:space="preserve">Report. </w:t>
      </w:r>
    </w:p>
    <w:p w14:paraId="42E4E0DC" w14:textId="77777777" w:rsidR="00EE04F9" w:rsidRPr="005B0195" w:rsidRDefault="00EE04F9" w:rsidP="004D09CE">
      <w:pPr>
        <w:jc w:val="both"/>
        <w:rPr>
          <w:rFonts w:ascii="Calibri" w:eastAsia="Times New Roman" w:hAnsi="Calibri" w:cs="Calibri"/>
          <w:b/>
          <w:highlight w:val="yellow"/>
        </w:rPr>
      </w:pPr>
    </w:p>
    <w:p w14:paraId="02AD509D"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Governance Arrangements</w:t>
      </w:r>
    </w:p>
    <w:p w14:paraId="4DFA4E42" w14:textId="77777777" w:rsidR="004D09CE" w:rsidRPr="005B0195" w:rsidRDefault="004D09CE" w:rsidP="004D09CE">
      <w:pPr>
        <w:ind w:left="709"/>
        <w:jc w:val="both"/>
        <w:rPr>
          <w:rFonts w:ascii="Calibri" w:eastAsia="Times New Roman" w:hAnsi="Calibri" w:cs="Calibri"/>
          <w:b/>
        </w:rPr>
      </w:pPr>
    </w:p>
    <w:p w14:paraId="16990ECD" w14:textId="5123CD62"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By approving this strategy,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is setting the framework from which treasury activity will be conducted and reported. </w:t>
      </w:r>
    </w:p>
    <w:p w14:paraId="08D98A45" w14:textId="77777777" w:rsidR="004D09CE" w:rsidRPr="005B0195" w:rsidRDefault="004D09CE" w:rsidP="004D09CE">
      <w:pPr>
        <w:ind w:left="709"/>
        <w:jc w:val="both"/>
        <w:rPr>
          <w:rFonts w:ascii="Calibri" w:eastAsia="Times New Roman" w:hAnsi="Calibri" w:cs="Calibri"/>
        </w:rPr>
      </w:pPr>
    </w:p>
    <w:p w14:paraId="1C9A2A99" w14:textId="7F7BF57D"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 xml:space="preserve">The Chief Finance Officer has delegated powers through approval of this strategy to take the most appropriate form of borrowing from approved sources, and to make the most appropriate form of investments in approved instruments. </w:t>
      </w:r>
      <w:r w:rsidR="00433242" w:rsidRPr="005B0195">
        <w:rPr>
          <w:rFonts w:ascii="Calibri" w:eastAsia="Times New Roman" w:hAnsi="Calibri" w:cs="Calibri"/>
        </w:rPr>
        <w:t xml:space="preserve"> </w:t>
      </w:r>
      <w:r w:rsidRPr="005B0195">
        <w:rPr>
          <w:rFonts w:ascii="Calibri" w:eastAsia="Times New Roman" w:hAnsi="Calibri" w:cs="Calibri"/>
        </w:rPr>
        <w:t xml:space="preserve">Paragraph 2.7 above delegates powers to the Chief Finance Officer giving discretion during the year to lift or increase the restrictions on the counterparty lending list and/or to adjust the associated lending limits on values and durations should it become necessary, to enable the effective management of risk in relation to its investments. </w:t>
      </w:r>
    </w:p>
    <w:p w14:paraId="6160E587" w14:textId="77777777" w:rsidR="004D09CE" w:rsidRPr="005B0195" w:rsidRDefault="004D09CE" w:rsidP="004D09CE">
      <w:pPr>
        <w:ind w:left="709"/>
        <w:jc w:val="both"/>
        <w:rPr>
          <w:rFonts w:ascii="Calibri" w:eastAsia="Times New Roman" w:hAnsi="Calibri" w:cs="Calibri"/>
        </w:rPr>
      </w:pPr>
    </w:p>
    <w:p w14:paraId="7673CDB0" w14:textId="77777777" w:rsidR="00F73B55" w:rsidRPr="000736E1" w:rsidRDefault="004D09CE" w:rsidP="00F73B55">
      <w:pPr>
        <w:numPr>
          <w:ilvl w:val="1"/>
          <w:numId w:val="3"/>
        </w:numPr>
        <w:ind w:left="709" w:hanging="709"/>
        <w:jc w:val="both"/>
        <w:rPr>
          <w:rFonts w:ascii="Calibri" w:eastAsia="Times New Roman" w:hAnsi="Calibri" w:cs="Calibri"/>
        </w:rPr>
      </w:pPr>
      <w:r w:rsidRPr="005B0195">
        <w:rPr>
          <w:rFonts w:ascii="Calibri" w:eastAsia="Times New Roman" w:hAnsi="Calibri" w:cs="Calibri"/>
        </w:rPr>
        <w:lastRenderedPageBreak/>
        <w:t xml:space="preserve">The Chief Finance Officer may delegate powers to borrow and invest within the confines of this strategy to members of the Joint Finance </w:t>
      </w:r>
      <w:r w:rsidR="00433242" w:rsidRPr="005B0195">
        <w:rPr>
          <w:rFonts w:ascii="Calibri" w:eastAsia="Times New Roman" w:hAnsi="Calibri" w:cs="Calibri"/>
        </w:rPr>
        <w:t>T</w:t>
      </w:r>
      <w:r w:rsidRPr="005B0195">
        <w:rPr>
          <w:rFonts w:ascii="Calibri" w:eastAsia="Times New Roman" w:hAnsi="Calibri" w:cs="Calibri"/>
        </w:rPr>
        <w:t>eam, who will provide regular updates on treasury activity.</w:t>
      </w:r>
      <w:r w:rsidR="00F73B55">
        <w:rPr>
          <w:rFonts w:ascii="Calibri" w:eastAsia="Times New Roman" w:hAnsi="Calibri" w:cs="Calibri"/>
        </w:rPr>
        <w:t xml:space="preserve"> In the absence of the Chief Finance Officer his deputy can approve the investments, who will report any investments placed.</w:t>
      </w:r>
    </w:p>
    <w:p w14:paraId="3CCD8D0B" w14:textId="77777777" w:rsidR="004D09CE" w:rsidRPr="005B0195" w:rsidRDefault="004D09CE" w:rsidP="004D09CE">
      <w:pPr>
        <w:ind w:left="709"/>
        <w:jc w:val="both"/>
        <w:rPr>
          <w:rFonts w:ascii="Calibri" w:eastAsia="Times New Roman" w:hAnsi="Calibri" w:cs="Calibri"/>
        </w:rPr>
      </w:pPr>
    </w:p>
    <w:p w14:paraId="0D72B862" w14:textId="658B0C41" w:rsidR="00250ED3" w:rsidRPr="005B0195" w:rsidRDefault="004D09CE" w:rsidP="00027BEB">
      <w:pPr>
        <w:numPr>
          <w:ilvl w:val="1"/>
          <w:numId w:val="3"/>
        </w:numPr>
        <w:ind w:left="709" w:hanging="709"/>
        <w:jc w:val="both"/>
        <w:rPr>
          <w:rFonts w:ascii="Calibri" w:eastAsia="Times New Roman" w:hAnsi="Calibri" w:cs="Calibri"/>
        </w:rPr>
      </w:pPr>
      <w:r w:rsidRPr="005B0195">
        <w:rPr>
          <w:rFonts w:ascii="Calibri" w:eastAsia="Times New Roman" w:hAnsi="Calibri" w:cs="Calibri"/>
        </w:rPr>
        <w:t>Any other amendments to this strategy must be approved in line with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w:t>
      </w:r>
      <w:r w:rsidRPr="005B0195">
        <w:rPr>
          <w:rFonts w:ascii="Calibri" w:eastAsia="Times New Roman" w:hAnsi="Calibri" w:cs="Calibri"/>
          <w:bCs/>
          <w:iCs/>
        </w:rPr>
        <w:t>Corporate Governance Framework</w:t>
      </w:r>
      <w:r w:rsidRPr="005B0195">
        <w:rPr>
          <w:rFonts w:ascii="Calibri" w:eastAsia="Times New Roman" w:hAnsi="Calibri" w:cs="Calibri"/>
        </w:rPr>
        <w:t>.</w:t>
      </w:r>
    </w:p>
    <w:sectPr w:rsidR="00250ED3" w:rsidRPr="005B0195" w:rsidSect="00D8766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F2C1" w14:textId="77777777" w:rsidR="00530EB4" w:rsidRDefault="00530EB4" w:rsidP="00027BEB">
      <w:r>
        <w:separator/>
      </w:r>
    </w:p>
  </w:endnote>
  <w:endnote w:type="continuationSeparator" w:id="0">
    <w:p w14:paraId="6225ABA1" w14:textId="77777777" w:rsidR="00530EB4" w:rsidRDefault="00530EB4" w:rsidP="0002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B3A9" w14:textId="77777777" w:rsidR="00062A5F" w:rsidRDefault="00062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A8A6" w14:textId="0DF774D3" w:rsidR="0083443F" w:rsidRDefault="00062A5F">
    <w:pPr>
      <w:pStyle w:val="Footer"/>
    </w:pPr>
    <w:r>
      <w:rPr>
        <w:noProof/>
        <w:color w:val="4472C4" w:themeColor="accent1"/>
      </w:rPr>
      <mc:AlternateContent>
        <mc:Choice Requires="wps">
          <w:drawing>
            <wp:anchor distT="0" distB="0" distL="114300" distR="114300" simplePos="0" relativeHeight="251659264" behindDoc="0" locked="0" layoutInCell="1" allowOverlap="1" wp14:anchorId="69497EBE" wp14:editId="439032C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E6053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7C4A" w14:textId="77777777" w:rsidR="00062A5F" w:rsidRDefault="0006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4174" w14:textId="77777777" w:rsidR="00530EB4" w:rsidRDefault="00530EB4" w:rsidP="00027BEB">
      <w:r>
        <w:separator/>
      </w:r>
    </w:p>
  </w:footnote>
  <w:footnote w:type="continuationSeparator" w:id="0">
    <w:p w14:paraId="283D23F5" w14:textId="77777777" w:rsidR="00530EB4" w:rsidRDefault="00530EB4" w:rsidP="0002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B467" w14:textId="77777777" w:rsidR="00062A5F" w:rsidRDefault="00062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77F1" w14:textId="77777777" w:rsidR="00062A5F" w:rsidRDefault="00062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6088" w14:textId="77777777" w:rsidR="00062A5F" w:rsidRDefault="00062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1B8"/>
    <w:multiLevelType w:val="multilevel"/>
    <w:tmpl w:val="41B2C626"/>
    <w:lvl w:ilvl="0">
      <w:start w:val="1"/>
      <w:numFmt w:val="decimal"/>
      <w:pStyle w:val="TM1"/>
      <w:lvlText w:val="%1."/>
      <w:lvlJc w:val="left"/>
      <w:pPr>
        <w:ind w:left="360" w:hanging="360"/>
      </w:pPr>
    </w:lvl>
    <w:lvl w:ilvl="1">
      <w:start w:val="1"/>
      <w:numFmt w:val="decimal"/>
      <w:pStyle w:val="TM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5A46D0"/>
    <w:multiLevelType w:val="hybridMultilevel"/>
    <w:tmpl w:val="E01C0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7C3FDE"/>
    <w:multiLevelType w:val="hybridMultilevel"/>
    <w:tmpl w:val="BD26F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040FF2"/>
    <w:multiLevelType w:val="hybridMultilevel"/>
    <w:tmpl w:val="B84E3A66"/>
    <w:lvl w:ilvl="0" w:tplc="08090001">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FB1283"/>
    <w:multiLevelType w:val="multilevel"/>
    <w:tmpl w:val="C30C41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D576E4E"/>
    <w:multiLevelType w:val="multilevel"/>
    <w:tmpl w:val="621E9FEE"/>
    <w:lvl w:ilvl="0">
      <w:start w:val="1"/>
      <w:numFmt w:val="decimal"/>
      <w:pStyle w:val="AppendixHeading"/>
      <w:lvlText w:val="%1"/>
      <w:lvlJc w:val="left"/>
      <w:pPr>
        <w:tabs>
          <w:tab w:val="num" w:pos="360"/>
        </w:tabs>
        <w:ind w:left="360" w:hanging="360"/>
      </w:pPr>
      <w:rPr>
        <w:rFonts w:hint="default"/>
        <w:sz w:val="24"/>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A6378C6"/>
    <w:multiLevelType w:val="hybridMultilevel"/>
    <w:tmpl w:val="F9F82C34"/>
    <w:lvl w:ilvl="0" w:tplc="0AF81722">
      <w:numFmt w:val="bullet"/>
      <w:lvlText w:val=""/>
      <w:lvlJc w:val="left"/>
      <w:pPr>
        <w:ind w:left="360" w:hanging="360"/>
      </w:pPr>
      <w:rPr>
        <w:rFonts w:ascii="Wingdings" w:eastAsia="Times New Roman"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206CC2"/>
    <w:multiLevelType w:val="multilevel"/>
    <w:tmpl w:val="49B2AF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0532788"/>
    <w:multiLevelType w:val="hybridMultilevel"/>
    <w:tmpl w:val="4FDE46F0"/>
    <w:lvl w:ilvl="0" w:tplc="16B6BEA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220CC3"/>
    <w:multiLevelType w:val="hybridMultilevel"/>
    <w:tmpl w:val="6DF6D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A00D63"/>
    <w:multiLevelType w:val="hybridMultilevel"/>
    <w:tmpl w:val="9D925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DA2305"/>
    <w:multiLevelType w:val="hybridMultilevel"/>
    <w:tmpl w:val="DEEA5DC0"/>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EBC00B3"/>
    <w:multiLevelType w:val="hybridMultilevel"/>
    <w:tmpl w:val="306C1B9A"/>
    <w:lvl w:ilvl="0" w:tplc="6DC6BC9E">
      <w:start w:val="1"/>
      <w:numFmt w:val="bullet"/>
      <w:pStyle w:val="TMBullets"/>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A9B2C362">
      <w:numFmt w:val="bullet"/>
      <w:lvlText w:val="•"/>
      <w:lvlJc w:val="left"/>
      <w:pPr>
        <w:ind w:left="2520" w:hanging="720"/>
      </w:pPr>
      <w:rPr>
        <w:rFonts w:ascii="Arial" w:eastAsia="Calibri" w:hAnsi="Arial" w:cs="Arial" w:hint="default"/>
        <w:b/>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16cid:durableId="175391322">
    <w:abstractNumId w:val="5"/>
  </w:num>
  <w:num w:numId="2" w16cid:durableId="1247036917">
    <w:abstractNumId w:val="4"/>
  </w:num>
  <w:num w:numId="3" w16cid:durableId="2111512482">
    <w:abstractNumId w:val="7"/>
  </w:num>
  <w:num w:numId="4" w16cid:durableId="1082606903">
    <w:abstractNumId w:val="12"/>
  </w:num>
  <w:num w:numId="5" w16cid:durableId="493569768">
    <w:abstractNumId w:val="3"/>
  </w:num>
  <w:num w:numId="6" w16cid:durableId="81344616">
    <w:abstractNumId w:val="11"/>
  </w:num>
  <w:num w:numId="7" w16cid:durableId="626739030">
    <w:abstractNumId w:val="1"/>
  </w:num>
  <w:num w:numId="8" w16cid:durableId="240871766">
    <w:abstractNumId w:val="9"/>
  </w:num>
  <w:num w:numId="9" w16cid:durableId="1674604857">
    <w:abstractNumId w:val="2"/>
  </w:num>
  <w:num w:numId="10" w16cid:durableId="1898516237">
    <w:abstractNumId w:val="8"/>
  </w:num>
  <w:num w:numId="11" w16cid:durableId="477040322">
    <w:abstractNumId w:val="0"/>
  </w:num>
  <w:num w:numId="12" w16cid:durableId="694353989">
    <w:abstractNumId w:val="10"/>
  </w:num>
  <w:num w:numId="13" w16cid:durableId="1624848520">
    <w:abstractNumId w:val="6"/>
  </w:num>
  <w:num w:numId="14" w16cid:durableId="1643316111">
    <w:abstractNumId w:val="0"/>
  </w:num>
  <w:num w:numId="15" w16cid:durableId="74864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CE"/>
    <w:rsid w:val="0002496D"/>
    <w:rsid w:val="00027BEB"/>
    <w:rsid w:val="00032BA0"/>
    <w:rsid w:val="0003584A"/>
    <w:rsid w:val="00037C75"/>
    <w:rsid w:val="00062A5F"/>
    <w:rsid w:val="000649CD"/>
    <w:rsid w:val="000935D9"/>
    <w:rsid w:val="000A4A28"/>
    <w:rsid w:val="000C6825"/>
    <w:rsid w:val="000D1131"/>
    <w:rsid w:val="000D5ADB"/>
    <w:rsid w:val="0011430C"/>
    <w:rsid w:val="00132CE6"/>
    <w:rsid w:val="001476AC"/>
    <w:rsid w:val="00151B1C"/>
    <w:rsid w:val="0017314E"/>
    <w:rsid w:val="0018156A"/>
    <w:rsid w:val="001A1DD2"/>
    <w:rsid w:val="001A2480"/>
    <w:rsid w:val="001A4DC4"/>
    <w:rsid w:val="001B6F50"/>
    <w:rsid w:val="001D3C04"/>
    <w:rsid w:val="002066A4"/>
    <w:rsid w:val="0020756C"/>
    <w:rsid w:val="00212949"/>
    <w:rsid w:val="0022705C"/>
    <w:rsid w:val="00243E7B"/>
    <w:rsid w:val="00250ED3"/>
    <w:rsid w:val="0025303E"/>
    <w:rsid w:val="002834E5"/>
    <w:rsid w:val="00287EDE"/>
    <w:rsid w:val="002A205E"/>
    <w:rsid w:val="002A5458"/>
    <w:rsid w:val="002D2305"/>
    <w:rsid w:val="002E6BFC"/>
    <w:rsid w:val="002F2669"/>
    <w:rsid w:val="00320AC6"/>
    <w:rsid w:val="00336AF6"/>
    <w:rsid w:val="0038122C"/>
    <w:rsid w:val="00384971"/>
    <w:rsid w:val="003B367F"/>
    <w:rsid w:val="003B51D4"/>
    <w:rsid w:val="003D739F"/>
    <w:rsid w:val="004020CB"/>
    <w:rsid w:val="00403700"/>
    <w:rsid w:val="00407BF1"/>
    <w:rsid w:val="00411198"/>
    <w:rsid w:val="00433242"/>
    <w:rsid w:val="00445A26"/>
    <w:rsid w:val="004463F9"/>
    <w:rsid w:val="004568D7"/>
    <w:rsid w:val="004719E7"/>
    <w:rsid w:val="004A3C14"/>
    <w:rsid w:val="004A6B38"/>
    <w:rsid w:val="004B3B74"/>
    <w:rsid w:val="004B55F6"/>
    <w:rsid w:val="004B5BE0"/>
    <w:rsid w:val="004C58DE"/>
    <w:rsid w:val="004D09CE"/>
    <w:rsid w:val="00517369"/>
    <w:rsid w:val="00520C7D"/>
    <w:rsid w:val="00530EB4"/>
    <w:rsid w:val="005311D5"/>
    <w:rsid w:val="00541551"/>
    <w:rsid w:val="00544B70"/>
    <w:rsid w:val="005478B9"/>
    <w:rsid w:val="0055051E"/>
    <w:rsid w:val="005511E6"/>
    <w:rsid w:val="00590F1B"/>
    <w:rsid w:val="005A2EBC"/>
    <w:rsid w:val="005B0195"/>
    <w:rsid w:val="005B5E1C"/>
    <w:rsid w:val="005B67EE"/>
    <w:rsid w:val="005B7FCC"/>
    <w:rsid w:val="005C153E"/>
    <w:rsid w:val="005D2422"/>
    <w:rsid w:val="005E3488"/>
    <w:rsid w:val="005F307C"/>
    <w:rsid w:val="005F483A"/>
    <w:rsid w:val="00602DC4"/>
    <w:rsid w:val="00611CA9"/>
    <w:rsid w:val="006136DA"/>
    <w:rsid w:val="006277C2"/>
    <w:rsid w:val="00641B78"/>
    <w:rsid w:val="0064222E"/>
    <w:rsid w:val="006510CC"/>
    <w:rsid w:val="0065576B"/>
    <w:rsid w:val="00671668"/>
    <w:rsid w:val="00695346"/>
    <w:rsid w:val="006B2CA1"/>
    <w:rsid w:val="006B3747"/>
    <w:rsid w:val="006B7CC3"/>
    <w:rsid w:val="006C0C4F"/>
    <w:rsid w:val="006C55FA"/>
    <w:rsid w:val="006D5C30"/>
    <w:rsid w:val="007011CE"/>
    <w:rsid w:val="0071085A"/>
    <w:rsid w:val="007337D8"/>
    <w:rsid w:val="0074121B"/>
    <w:rsid w:val="0075583C"/>
    <w:rsid w:val="0076270B"/>
    <w:rsid w:val="007B66C2"/>
    <w:rsid w:val="007C6071"/>
    <w:rsid w:val="007E64A4"/>
    <w:rsid w:val="007F191B"/>
    <w:rsid w:val="00811F4B"/>
    <w:rsid w:val="0083443F"/>
    <w:rsid w:val="00836C02"/>
    <w:rsid w:val="008375AD"/>
    <w:rsid w:val="00841CA4"/>
    <w:rsid w:val="008473A1"/>
    <w:rsid w:val="00862E56"/>
    <w:rsid w:val="00867135"/>
    <w:rsid w:val="00882DF7"/>
    <w:rsid w:val="008863CC"/>
    <w:rsid w:val="008C237E"/>
    <w:rsid w:val="008D4FF9"/>
    <w:rsid w:val="009261C7"/>
    <w:rsid w:val="009305BD"/>
    <w:rsid w:val="00934BBA"/>
    <w:rsid w:val="009709E6"/>
    <w:rsid w:val="00987C0A"/>
    <w:rsid w:val="00997B51"/>
    <w:rsid w:val="009A5EC9"/>
    <w:rsid w:val="009D4613"/>
    <w:rsid w:val="00A04C0D"/>
    <w:rsid w:val="00A16D1B"/>
    <w:rsid w:val="00A255EE"/>
    <w:rsid w:val="00A25D5E"/>
    <w:rsid w:val="00A26337"/>
    <w:rsid w:val="00A51A19"/>
    <w:rsid w:val="00A52C37"/>
    <w:rsid w:val="00A60117"/>
    <w:rsid w:val="00AA1789"/>
    <w:rsid w:val="00AA3CD7"/>
    <w:rsid w:val="00AB56CE"/>
    <w:rsid w:val="00AE6A32"/>
    <w:rsid w:val="00B1689C"/>
    <w:rsid w:val="00B17608"/>
    <w:rsid w:val="00B225F1"/>
    <w:rsid w:val="00B60D14"/>
    <w:rsid w:val="00B61EC7"/>
    <w:rsid w:val="00B70116"/>
    <w:rsid w:val="00BA6C7C"/>
    <w:rsid w:val="00BA6D7F"/>
    <w:rsid w:val="00BB3420"/>
    <w:rsid w:val="00BD08B4"/>
    <w:rsid w:val="00BD1B54"/>
    <w:rsid w:val="00C023AE"/>
    <w:rsid w:val="00C11E97"/>
    <w:rsid w:val="00C1309C"/>
    <w:rsid w:val="00C23F12"/>
    <w:rsid w:val="00C26F4A"/>
    <w:rsid w:val="00C30758"/>
    <w:rsid w:val="00C375A6"/>
    <w:rsid w:val="00C753C2"/>
    <w:rsid w:val="00C8396E"/>
    <w:rsid w:val="00CB7FCF"/>
    <w:rsid w:val="00CC57E5"/>
    <w:rsid w:val="00CF51A3"/>
    <w:rsid w:val="00D0562D"/>
    <w:rsid w:val="00D23764"/>
    <w:rsid w:val="00D24AED"/>
    <w:rsid w:val="00D4345D"/>
    <w:rsid w:val="00D55938"/>
    <w:rsid w:val="00D74683"/>
    <w:rsid w:val="00D75E47"/>
    <w:rsid w:val="00D87668"/>
    <w:rsid w:val="00D87CA1"/>
    <w:rsid w:val="00D92B79"/>
    <w:rsid w:val="00DA50DD"/>
    <w:rsid w:val="00DB61BD"/>
    <w:rsid w:val="00DC2E17"/>
    <w:rsid w:val="00DC4645"/>
    <w:rsid w:val="00DC4DD0"/>
    <w:rsid w:val="00DF7C16"/>
    <w:rsid w:val="00E0250E"/>
    <w:rsid w:val="00E51983"/>
    <w:rsid w:val="00E5679B"/>
    <w:rsid w:val="00E77F9B"/>
    <w:rsid w:val="00EA667E"/>
    <w:rsid w:val="00EB6A9B"/>
    <w:rsid w:val="00ED37F7"/>
    <w:rsid w:val="00EE04F9"/>
    <w:rsid w:val="00EE3D26"/>
    <w:rsid w:val="00F0151B"/>
    <w:rsid w:val="00F018DD"/>
    <w:rsid w:val="00F0306E"/>
    <w:rsid w:val="00F17D95"/>
    <w:rsid w:val="00F535E0"/>
    <w:rsid w:val="00F65BA0"/>
    <w:rsid w:val="00F73B55"/>
    <w:rsid w:val="00F86814"/>
    <w:rsid w:val="00F86B44"/>
    <w:rsid w:val="00FA655E"/>
    <w:rsid w:val="00FA7760"/>
    <w:rsid w:val="00FB181B"/>
    <w:rsid w:val="00FD2969"/>
    <w:rsid w:val="00FD66FE"/>
    <w:rsid w:val="00FE1CCF"/>
    <w:rsid w:val="00FE76B3"/>
    <w:rsid w:val="00FF29F3"/>
    <w:rsid w:val="00FF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4D37"/>
  <w15:chartTrackingRefBased/>
  <w15:docId w15:val="{DE9FBF2E-04ED-4773-AB67-532D5F44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68"/>
    <w:rPr>
      <w:rFonts w:eastAsiaTheme="minorEastAsia"/>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EB"/>
    <w:rPr>
      <w:color w:val="0563C1" w:themeColor="hyperlink"/>
      <w:u w:val="single"/>
    </w:rPr>
  </w:style>
  <w:style w:type="character" w:styleId="UnresolvedMention">
    <w:name w:val="Unresolved Mention"/>
    <w:basedOn w:val="DefaultParagraphFont"/>
    <w:uiPriority w:val="99"/>
    <w:semiHidden/>
    <w:unhideWhenUsed/>
    <w:rsid w:val="00027BEB"/>
    <w:rPr>
      <w:color w:val="605E5C"/>
      <w:shd w:val="clear" w:color="auto" w:fill="E1DFDD"/>
    </w:rPr>
  </w:style>
  <w:style w:type="paragraph" w:styleId="Header">
    <w:name w:val="header"/>
    <w:basedOn w:val="Normal"/>
    <w:link w:val="HeaderChar"/>
    <w:uiPriority w:val="99"/>
    <w:unhideWhenUsed/>
    <w:rsid w:val="00D87668"/>
    <w:pPr>
      <w:tabs>
        <w:tab w:val="center" w:pos="4513"/>
        <w:tab w:val="right" w:pos="9026"/>
      </w:tabs>
    </w:pPr>
    <w:rPr>
      <w:rFonts w:eastAsiaTheme="minorHAnsi"/>
      <w:bCs/>
    </w:rPr>
  </w:style>
  <w:style w:type="character" w:customStyle="1" w:styleId="HeaderChar">
    <w:name w:val="Header Char"/>
    <w:basedOn w:val="DefaultParagraphFont"/>
    <w:link w:val="Header"/>
    <w:uiPriority w:val="99"/>
    <w:rsid w:val="00D87668"/>
  </w:style>
  <w:style w:type="paragraph" w:styleId="Footer">
    <w:name w:val="footer"/>
    <w:basedOn w:val="Normal"/>
    <w:link w:val="FooterChar"/>
    <w:uiPriority w:val="99"/>
    <w:unhideWhenUsed/>
    <w:rsid w:val="00D87668"/>
    <w:pPr>
      <w:tabs>
        <w:tab w:val="center" w:pos="4513"/>
        <w:tab w:val="right" w:pos="9026"/>
      </w:tabs>
    </w:pPr>
    <w:rPr>
      <w:rFonts w:eastAsiaTheme="minorHAnsi"/>
      <w:bCs/>
    </w:rPr>
  </w:style>
  <w:style w:type="character" w:customStyle="1" w:styleId="FooterChar">
    <w:name w:val="Footer Char"/>
    <w:basedOn w:val="DefaultParagraphFont"/>
    <w:link w:val="Footer"/>
    <w:uiPriority w:val="99"/>
    <w:rsid w:val="00D87668"/>
  </w:style>
  <w:style w:type="paragraph" w:styleId="ListParagraph">
    <w:name w:val="List Paragraph"/>
    <w:basedOn w:val="Normal"/>
    <w:link w:val="ListParagraphChar"/>
    <w:uiPriority w:val="34"/>
    <w:qFormat/>
    <w:rsid w:val="004D09CE"/>
    <w:pPr>
      <w:spacing w:after="160" w:line="259" w:lineRule="auto"/>
      <w:ind w:left="720"/>
      <w:contextualSpacing/>
    </w:pPr>
    <w:rPr>
      <w:rFonts w:eastAsiaTheme="minorHAnsi"/>
      <w:sz w:val="22"/>
      <w:szCs w:val="22"/>
    </w:rPr>
  </w:style>
  <w:style w:type="paragraph" w:customStyle="1" w:styleId="AppendixHeading">
    <w:name w:val="Appendix Heading"/>
    <w:basedOn w:val="Normal"/>
    <w:link w:val="AppendixHeadingChar"/>
    <w:qFormat/>
    <w:rsid w:val="004D09CE"/>
    <w:pPr>
      <w:numPr>
        <w:numId w:val="1"/>
      </w:numPr>
      <w:tabs>
        <w:tab w:val="clear" w:pos="360"/>
        <w:tab w:val="num" w:pos="720"/>
      </w:tabs>
      <w:ind w:left="720" w:hanging="720"/>
      <w:jc w:val="both"/>
    </w:pPr>
    <w:rPr>
      <w:rFonts w:ascii="Arial" w:eastAsia="Times New Roman" w:hAnsi="Arial" w:cs="Times New Roman"/>
      <w:b/>
      <w:noProof/>
      <w:sz w:val="28"/>
      <w:szCs w:val="28"/>
    </w:rPr>
  </w:style>
  <w:style w:type="character" w:customStyle="1" w:styleId="AppendixHeadingChar">
    <w:name w:val="Appendix Heading Char"/>
    <w:link w:val="AppendixHeading"/>
    <w:rsid w:val="004D09CE"/>
    <w:rPr>
      <w:rFonts w:ascii="Arial" w:eastAsia="Times New Roman" w:hAnsi="Arial" w:cs="Times New Roman"/>
      <w:b/>
      <w:bCs w:val="0"/>
      <w:noProof/>
      <w:sz w:val="28"/>
      <w:szCs w:val="28"/>
    </w:rPr>
  </w:style>
  <w:style w:type="paragraph" w:customStyle="1" w:styleId="TM1">
    <w:name w:val="TM 1"/>
    <w:basedOn w:val="ListParagraph"/>
    <w:link w:val="TM1Char"/>
    <w:qFormat/>
    <w:rsid w:val="00BA6C7C"/>
    <w:pPr>
      <w:numPr>
        <w:numId w:val="11"/>
      </w:numPr>
      <w:spacing w:before="360" w:after="240" w:line="240" w:lineRule="auto"/>
      <w:ind w:left="709" w:hanging="709"/>
      <w:jc w:val="both"/>
    </w:pPr>
    <w:rPr>
      <w:rFonts w:ascii="Calibri" w:eastAsia="Times New Roman" w:hAnsi="Calibri" w:cs="Calibri"/>
      <w:b/>
      <w:sz w:val="24"/>
      <w:szCs w:val="24"/>
    </w:rPr>
  </w:style>
  <w:style w:type="paragraph" w:customStyle="1" w:styleId="TM2">
    <w:name w:val="TM 2"/>
    <w:basedOn w:val="Normal"/>
    <w:link w:val="TM2Char"/>
    <w:qFormat/>
    <w:rsid w:val="00D74683"/>
    <w:pPr>
      <w:numPr>
        <w:ilvl w:val="1"/>
        <w:numId w:val="11"/>
      </w:numPr>
      <w:spacing w:before="120" w:after="240"/>
      <w:ind w:left="709" w:hanging="709"/>
      <w:jc w:val="both"/>
    </w:pPr>
    <w:rPr>
      <w:rFonts w:ascii="Calibri" w:eastAsia="Times New Roman" w:hAnsi="Calibri" w:cs="Calibri"/>
      <w:bCs/>
      <w:noProof/>
    </w:rPr>
  </w:style>
  <w:style w:type="character" w:customStyle="1" w:styleId="ListParagraphChar">
    <w:name w:val="List Paragraph Char"/>
    <w:basedOn w:val="DefaultParagraphFont"/>
    <w:link w:val="ListParagraph"/>
    <w:uiPriority w:val="34"/>
    <w:rsid w:val="004D09CE"/>
    <w:rPr>
      <w:bCs w:val="0"/>
      <w:sz w:val="22"/>
      <w:szCs w:val="22"/>
    </w:rPr>
  </w:style>
  <w:style w:type="character" w:customStyle="1" w:styleId="TM1Char">
    <w:name w:val="TM 1 Char"/>
    <w:basedOn w:val="ListParagraphChar"/>
    <w:link w:val="TM1"/>
    <w:rsid w:val="00BA6C7C"/>
    <w:rPr>
      <w:rFonts w:ascii="Calibri" w:eastAsia="Times New Roman" w:hAnsi="Calibri" w:cs="Calibri"/>
      <w:b/>
      <w:bCs w:val="0"/>
      <w:sz w:val="22"/>
      <w:szCs w:val="22"/>
    </w:rPr>
  </w:style>
  <w:style w:type="paragraph" w:customStyle="1" w:styleId="TM1A">
    <w:name w:val="TM 1A"/>
    <w:basedOn w:val="Normal"/>
    <w:link w:val="TM1AChar"/>
    <w:qFormat/>
    <w:rsid w:val="004D09CE"/>
    <w:pPr>
      <w:spacing w:after="240"/>
      <w:ind w:left="709"/>
      <w:jc w:val="both"/>
      <w:outlineLvl w:val="0"/>
    </w:pPr>
    <w:rPr>
      <w:rFonts w:ascii="Verdana" w:eastAsia="Times New Roman" w:hAnsi="Verdana" w:cs="Arial"/>
      <w:b/>
      <w:bCs/>
      <w:iCs/>
      <w:sz w:val="22"/>
      <w:szCs w:val="22"/>
    </w:rPr>
  </w:style>
  <w:style w:type="character" w:customStyle="1" w:styleId="TM2Char">
    <w:name w:val="TM 2 Char"/>
    <w:basedOn w:val="DefaultParagraphFont"/>
    <w:link w:val="TM2"/>
    <w:rsid w:val="00D74683"/>
    <w:rPr>
      <w:rFonts w:ascii="Calibri" w:eastAsia="Times New Roman" w:hAnsi="Calibri" w:cs="Calibri"/>
      <w:noProof/>
    </w:rPr>
  </w:style>
  <w:style w:type="paragraph" w:customStyle="1" w:styleId="TMBullets">
    <w:name w:val="TM Bullets"/>
    <w:basedOn w:val="Normal"/>
    <w:link w:val="TMBulletsChar"/>
    <w:qFormat/>
    <w:rsid w:val="00641B78"/>
    <w:pPr>
      <w:numPr>
        <w:numId w:val="4"/>
      </w:numPr>
      <w:tabs>
        <w:tab w:val="left" w:pos="1135"/>
      </w:tabs>
      <w:autoSpaceDE w:val="0"/>
      <w:autoSpaceDN w:val="0"/>
      <w:adjustRightInd w:val="0"/>
      <w:spacing w:before="120"/>
      <w:ind w:left="993" w:hanging="283"/>
      <w:jc w:val="both"/>
    </w:pPr>
    <w:rPr>
      <w:rFonts w:ascii="Calibri" w:eastAsia="Calibri" w:hAnsi="Calibri" w:cs="Calibri"/>
      <w:bCs/>
    </w:rPr>
  </w:style>
  <w:style w:type="character" w:customStyle="1" w:styleId="TM1AChar">
    <w:name w:val="TM 1A Char"/>
    <w:basedOn w:val="DefaultParagraphFont"/>
    <w:link w:val="TM1A"/>
    <w:rsid w:val="004D09CE"/>
    <w:rPr>
      <w:rFonts w:ascii="Verdana" w:eastAsia="Times New Roman" w:hAnsi="Verdana" w:cs="Arial"/>
      <w:b/>
      <w:iCs/>
      <w:sz w:val="22"/>
      <w:szCs w:val="22"/>
    </w:rPr>
  </w:style>
  <w:style w:type="character" w:customStyle="1" w:styleId="TMBulletsChar">
    <w:name w:val="TM Bullets Char"/>
    <w:basedOn w:val="DefaultParagraphFont"/>
    <w:link w:val="TMBullets"/>
    <w:rsid w:val="00641B78"/>
    <w:rPr>
      <w:rFonts w:ascii="Calibri" w:eastAsia="Calibri" w:hAnsi="Calibri" w:cs="Calibri"/>
    </w:rPr>
  </w:style>
  <w:style w:type="character" w:styleId="CommentReference">
    <w:name w:val="annotation reference"/>
    <w:basedOn w:val="DefaultParagraphFont"/>
    <w:uiPriority w:val="99"/>
    <w:semiHidden/>
    <w:unhideWhenUsed/>
    <w:rsid w:val="00AE6A32"/>
    <w:rPr>
      <w:sz w:val="16"/>
      <w:szCs w:val="16"/>
    </w:rPr>
  </w:style>
  <w:style w:type="paragraph" w:styleId="CommentText">
    <w:name w:val="annotation text"/>
    <w:basedOn w:val="Normal"/>
    <w:link w:val="CommentTextChar"/>
    <w:uiPriority w:val="99"/>
    <w:unhideWhenUsed/>
    <w:rsid w:val="00AE6A32"/>
    <w:rPr>
      <w:sz w:val="20"/>
      <w:szCs w:val="20"/>
    </w:rPr>
  </w:style>
  <w:style w:type="character" w:customStyle="1" w:styleId="CommentTextChar">
    <w:name w:val="Comment Text Char"/>
    <w:basedOn w:val="DefaultParagraphFont"/>
    <w:link w:val="CommentText"/>
    <w:uiPriority w:val="99"/>
    <w:rsid w:val="00AE6A32"/>
    <w:rPr>
      <w:rFonts w:eastAsiaTheme="minorEastAsia"/>
      <w:bCs w:val="0"/>
      <w:sz w:val="20"/>
      <w:szCs w:val="20"/>
    </w:rPr>
  </w:style>
  <w:style w:type="paragraph" w:styleId="CommentSubject">
    <w:name w:val="annotation subject"/>
    <w:basedOn w:val="CommentText"/>
    <w:next w:val="CommentText"/>
    <w:link w:val="CommentSubjectChar"/>
    <w:uiPriority w:val="99"/>
    <w:semiHidden/>
    <w:unhideWhenUsed/>
    <w:rsid w:val="00AE6A32"/>
    <w:rPr>
      <w:b/>
      <w:bCs/>
    </w:rPr>
  </w:style>
  <w:style w:type="character" w:customStyle="1" w:styleId="CommentSubjectChar">
    <w:name w:val="Comment Subject Char"/>
    <w:basedOn w:val="CommentTextChar"/>
    <w:link w:val="CommentSubject"/>
    <w:uiPriority w:val="99"/>
    <w:semiHidden/>
    <w:rsid w:val="00AE6A32"/>
    <w:rPr>
      <w:rFonts w:eastAsiaTheme="minorEastAsia"/>
      <w:b/>
      <w:bCs/>
      <w:sz w:val="20"/>
      <w:szCs w:val="20"/>
    </w:rPr>
  </w:style>
  <w:style w:type="paragraph" w:styleId="Revision">
    <w:name w:val="Revision"/>
    <w:hidden/>
    <w:uiPriority w:val="99"/>
    <w:semiHidden/>
    <w:rsid w:val="004C58DE"/>
    <w:rPr>
      <w:rFonts w:eastAsiaTheme="minorEastAsia"/>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093">
      <w:bodyDiv w:val="1"/>
      <w:marLeft w:val="0"/>
      <w:marRight w:val="0"/>
      <w:marTop w:val="0"/>
      <w:marBottom w:val="0"/>
      <w:divBdr>
        <w:top w:val="none" w:sz="0" w:space="0" w:color="auto"/>
        <w:left w:val="none" w:sz="0" w:space="0" w:color="auto"/>
        <w:bottom w:val="none" w:sz="0" w:space="0" w:color="auto"/>
        <w:right w:val="none" w:sz="0" w:space="0" w:color="auto"/>
      </w:divBdr>
    </w:div>
    <w:div w:id="71245701">
      <w:bodyDiv w:val="1"/>
      <w:marLeft w:val="0"/>
      <w:marRight w:val="0"/>
      <w:marTop w:val="0"/>
      <w:marBottom w:val="0"/>
      <w:divBdr>
        <w:top w:val="none" w:sz="0" w:space="0" w:color="auto"/>
        <w:left w:val="none" w:sz="0" w:space="0" w:color="auto"/>
        <w:bottom w:val="none" w:sz="0" w:space="0" w:color="auto"/>
        <w:right w:val="none" w:sz="0" w:space="0" w:color="auto"/>
      </w:divBdr>
    </w:div>
    <w:div w:id="155534079">
      <w:bodyDiv w:val="1"/>
      <w:marLeft w:val="0"/>
      <w:marRight w:val="0"/>
      <w:marTop w:val="0"/>
      <w:marBottom w:val="0"/>
      <w:divBdr>
        <w:top w:val="none" w:sz="0" w:space="0" w:color="auto"/>
        <w:left w:val="none" w:sz="0" w:space="0" w:color="auto"/>
        <w:bottom w:val="none" w:sz="0" w:space="0" w:color="auto"/>
        <w:right w:val="none" w:sz="0" w:space="0" w:color="auto"/>
      </w:divBdr>
    </w:div>
    <w:div w:id="276105542">
      <w:bodyDiv w:val="1"/>
      <w:marLeft w:val="0"/>
      <w:marRight w:val="0"/>
      <w:marTop w:val="0"/>
      <w:marBottom w:val="0"/>
      <w:divBdr>
        <w:top w:val="none" w:sz="0" w:space="0" w:color="auto"/>
        <w:left w:val="none" w:sz="0" w:space="0" w:color="auto"/>
        <w:bottom w:val="none" w:sz="0" w:space="0" w:color="auto"/>
        <w:right w:val="none" w:sz="0" w:space="0" w:color="auto"/>
      </w:divBdr>
    </w:div>
    <w:div w:id="422066540">
      <w:bodyDiv w:val="1"/>
      <w:marLeft w:val="0"/>
      <w:marRight w:val="0"/>
      <w:marTop w:val="0"/>
      <w:marBottom w:val="0"/>
      <w:divBdr>
        <w:top w:val="none" w:sz="0" w:space="0" w:color="auto"/>
        <w:left w:val="none" w:sz="0" w:space="0" w:color="auto"/>
        <w:bottom w:val="none" w:sz="0" w:space="0" w:color="auto"/>
        <w:right w:val="none" w:sz="0" w:space="0" w:color="auto"/>
      </w:divBdr>
    </w:div>
    <w:div w:id="475076885">
      <w:bodyDiv w:val="1"/>
      <w:marLeft w:val="0"/>
      <w:marRight w:val="0"/>
      <w:marTop w:val="0"/>
      <w:marBottom w:val="0"/>
      <w:divBdr>
        <w:top w:val="none" w:sz="0" w:space="0" w:color="auto"/>
        <w:left w:val="none" w:sz="0" w:space="0" w:color="auto"/>
        <w:bottom w:val="none" w:sz="0" w:space="0" w:color="auto"/>
        <w:right w:val="none" w:sz="0" w:space="0" w:color="auto"/>
      </w:divBdr>
    </w:div>
    <w:div w:id="478037702">
      <w:bodyDiv w:val="1"/>
      <w:marLeft w:val="0"/>
      <w:marRight w:val="0"/>
      <w:marTop w:val="0"/>
      <w:marBottom w:val="0"/>
      <w:divBdr>
        <w:top w:val="none" w:sz="0" w:space="0" w:color="auto"/>
        <w:left w:val="none" w:sz="0" w:space="0" w:color="auto"/>
        <w:bottom w:val="none" w:sz="0" w:space="0" w:color="auto"/>
        <w:right w:val="none" w:sz="0" w:space="0" w:color="auto"/>
      </w:divBdr>
    </w:div>
    <w:div w:id="504513053">
      <w:bodyDiv w:val="1"/>
      <w:marLeft w:val="0"/>
      <w:marRight w:val="0"/>
      <w:marTop w:val="0"/>
      <w:marBottom w:val="0"/>
      <w:divBdr>
        <w:top w:val="none" w:sz="0" w:space="0" w:color="auto"/>
        <w:left w:val="none" w:sz="0" w:space="0" w:color="auto"/>
        <w:bottom w:val="none" w:sz="0" w:space="0" w:color="auto"/>
        <w:right w:val="none" w:sz="0" w:space="0" w:color="auto"/>
      </w:divBdr>
    </w:div>
    <w:div w:id="555698741">
      <w:bodyDiv w:val="1"/>
      <w:marLeft w:val="0"/>
      <w:marRight w:val="0"/>
      <w:marTop w:val="0"/>
      <w:marBottom w:val="0"/>
      <w:divBdr>
        <w:top w:val="none" w:sz="0" w:space="0" w:color="auto"/>
        <w:left w:val="none" w:sz="0" w:space="0" w:color="auto"/>
        <w:bottom w:val="none" w:sz="0" w:space="0" w:color="auto"/>
        <w:right w:val="none" w:sz="0" w:space="0" w:color="auto"/>
      </w:divBdr>
    </w:div>
    <w:div w:id="604074804">
      <w:bodyDiv w:val="1"/>
      <w:marLeft w:val="0"/>
      <w:marRight w:val="0"/>
      <w:marTop w:val="0"/>
      <w:marBottom w:val="0"/>
      <w:divBdr>
        <w:top w:val="none" w:sz="0" w:space="0" w:color="auto"/>
        <w:left w:val="none" w:sz="0" w:space="0" w:color="auto"/>
        <w:bottom w:val="none" w:sz="0" w:space="0" w:color="auto"/>
        <w:right w:val="none" w:sz="0" w:space="0" w:color="auto"/>
      </w:divBdr>
    </w:div>
    <w:div w:id="639383728">
      <w:bodyDiv w:val="1"/>
      <w:marLeft w:val="0"/>
      <w:marRight w:val="0"/>
      <w:marTop w:val="0"/>
      <w:marBottom w:val="0"/>
      <w:divBdr>
        <w:top w:val="none" w:sz="0" w:space="0" w:color="auto"/>
        <w:left w:val="none" w:sz="0" w:space="0" w:color="auto"/>
        <w:bottom w:val="none" w:sz="0" w:space="0" w:color="auto"/>
        <w:right w:val="none" w:sz="0" w:space="0" w:color="auto"/>
      </w:divBdr>
    </w:div>
    <w:div w:id="646667761">
      <w:bodyDiv w:val="1"/>
      <w:marLeft w:val="0"/>
      <w:marRight w:val="0"/>
      <w:marTop w:val="0"/>
      <w:marBottom w:val="0"/>
      <w:divBdr>
        <w:top w:val="none" w:sz="0" w:space="0" w:color="auto"/>
        <w:left w:val="none" w:sz="0" w:space="0" w:color="auto"/>
        <w:bottom w:val="none" w:sz="0" w:space="0" w:color="auto"/>
        <w:right w:val="none" w:sz="0" w:space="0" w:color="auto"/>
      </w:divBdr>
    </w:div>
    <w:div w:id="649747954">
      <w:bodyDiv w:val="1"/>
      <w:marLeft w:val="0"/>
      <w:marRight w:val="0"/>
      <w:marTop w:val="0"/>
      <w:marBottom w:val="0"/>
      <w:divBdr>
        <w:top w:val="none" w:sz="0" w:space="0" w:color="auto"/>
        <w:left w:val="none" w:sz="0" w:space="0" w:color="auto"/>
        <w:bottom w:val="none" w:sz="0" w:space="0" w:color="auto"/>
        <w:right w:val="none" w:sz="0" w:space="0" w:color="auto"/>
      </w:divBdr>
    </w:div>
    <w:div w:id="678506287">
      <w:bodyDiv w:val="1"/>
      <w:marLeft w:val="0"/>
      <w:marRight w:val="0"/>
      <w:marTop w:val="0"/>
      <w:marBottom w:val="0"/>
      <w:divBdr>
        <w:top w:val="none" w:sz="0" w:space="0" w:color="auto"/>
        <w:left w:val="none" w:sz="0" w:space="0" w:color="auto"/>
        <w:bottom w:val="none" w:sz="0" w:space="0" w:color="auto"/>
        <w:right w:val="none" w:sz="0" w:space="0" w:color="auto"/>
      </w:divBdr>
    </w:div>
    <w:div w:id="688876341">
      <w:bodyDiv w:val="1"/>
      <w:marLeft w:val="0"/>
      <w:marRight w:val="0"/>
      <w:marTop w:val="0"/>
      <w:marBottom w:val="0"/>
      <w:divBdr>
        <w:top w:val="none" w:sz="0" w:space="0" w:color="auto"/>
        <w:left w:val="none" w:sz="0" w:space="0" w:color="auto"/>
        <w:bottom w:val="none" w:sz="0" w:space="0" w:color="auto"/>
        <w:right w:val="none" w:sz="0" w:space="0" w:color="auto"/>
      </w:divBdr>
    </w:div>
    <w:div w:id="716052618">
      <w:bodyDiv w:val="1"/>
      <w:marLeft w:val="0"/>
      <w:marRight w:val="0"/>
      <w:marTop w:val="0"/>
      <w:marBottom w:val="0"/>
      <w:divBdr>
        <w:top w:val="none" w:sz="0" w:space="0" w:color="auto"/>
        <w:left w:val="none" w:sz="0" w:space="0" w:color="auto"/>
        <w:bottom w:val="none" w:sz="0" w:space="0" w:color="auto"/>
        <w:right w:val="none" w:sz="0" w:space="0" w:color="auto"/>
      </w:divBdr>
    </w:div>
    <w:div w:id="730464613">
      <w:bodyDiv w:val="1"/>
      <w:marLeft w:val="0"/>
      <w:marRight w:val="0"/>
      <w:marTop w:val="0"/>
      <w:marBottom w:val="0"/>
      <w:divBdr>
        <w:top w:val="none" w:sz="0" w:space="0" w:color="auto"/>
        <w:left w:val="none" w:sz="0" w:space="0" w:color="auto"/>
        <w:bottom w:val="none" w:sz="0" w:space="0" w:color="auto"/>
        <w:right w:val="none" w:sz="0" w:space="0" w:color="auto"/>
      </w:divBdr>
    </w:div>
    <w:div w:id="736436766">
      <w:bodyDiv w:val="1"/>
      <w:marLeft w:val="0"/>
      <w:marRight w:val="0"/>
      <w:marTop w:val="0"/>
      <w:marBottom w:val="0"/>
      <w:divBdr>
        <w:top w:val="none" w:sz="0" w:space="0" w:color="auto"/>
        <w:left w:val="none" w:sz="0" w:space="0" w:color="auto"/>
        <w:bottom w:val="none" w:sz="0" w:space="0" w:color="auto"/>
        <w:right w:val="none" w:sz="0" w:space="0" w:color="auto"/>
      </w:divBdr>
    </w:div>
    <w:div w:id="807236999">
      <w:bodyDiv w:val="1"/>
      <w:marLeft w:val="0"/>
      <w:marRight w:val="0"/>
      <w:marTop w:val="0"/>
      <w:marBottom w:val="0"/>
      <w:divBdr>
        <w:top w:val="none" w:sz="0" w:space="0" w:color="auto"/>
        <w:left w:val="none" w:sz="0" w:space="0" w:color="auto"/>
        <w:bottom w:val="none" w:sz="0" w:space="0" w:color="auto"/>
        <w:right w:val="none" w:sz="0" w:space="0" w:color="auto"/>
      </w:divBdr>
    </w:div>
    <w:div w:id="822624937">
      <w:bodyDiv w:val="1"/>
      <w:marLeft w:val="0"/>
      <w:marRight w:val="0"/>
      <w:marTop w:val="0"/>
      <w:marBottom w:val="0"/>
      <w:divBdr>
        <w:top w:val="none" w:sz="0" w:space="0" w:color="auto"/>
        <w:left w:val="none" w:sz="0" w:space="0" w:color="auto"/>
        <w:bottom w:val="none" w:sz="0" w:space="0" w:color="auto"/>
        <w:right w:val="none" w:sz="0" w:space="0" w:color="auto"/>
      </w:divBdr>
    </w:div>
    <w:div w:id="843327351">
      <w:bodyDiv w:val="1"/>
      <w:marLeft w:val="0"/>
      <w:marRight w:val="0"/>
      <w:marTop w:val="0"/>
      <w:marBottom w:val="0"/>
      <w:divBdr>
        <w:top w:val="none" w:sz="0" w:space="0" w:color="auto"/>
        <w:left w:val="none" w:sz="0" w:space="0" w:color="auto"/>
        <w:bottom w:val="none" w:sz="0" w:space="0" w:color="auto"/>
        <w:right w:val="none" w:sz="0" w:space="0" w:color="auto"/>
      </w:divBdr>
    </w:div>
    <w:div w:id="894269355">
      <w:bodyDiv w:val="1"/>
      <w:marLeft w:val="0"/>
      <w:marRight w:val="0"/>
      <w:marTop w:val="0"/>
      <w:marBottom w:val="0"/>
      <w:divBdr>
        <w:top w:val="none" w:sz="0" w:space="0" w:color="auto"/>
        <w:left w:val="none" w:sz="0" w:space="0" w:color="auto"/>
        <w:bottom w:val="none" w:sz="0" w:space="0" w:color="auto"/>
        <w:right w:val="none" w:sz="0" w:space="0" w:color="auto"/>
      </w:divBdr>
    </w:div>
    <w:div w:id="899941281">
      <w:bodyDiv w:val="1"/>
      <w:marLeft w:val="0"/>
      <w:marRight w:val="0"/>
      <w:marTop w:val="0"/>
      <w:marBottom w:val="0"/>
      <w:divBdr>
        <w:top w:val="none" w:sz="0" w:space="0" w:color="auto"/>
        <w:left w:val="none" w:sz="0" w:space="0" w:color="auto"/>
        <w:bottom w:val="none" w:sz="0" w:space="0" w:color="auto"/>
        <w:right w:val="none" w:sz="0" w:space="0" w:color="auto"/>
      </w:divBdr>
    </w:div>
    <w:div w:id="906501088">
      <w:bodyDiv w:val="1"/>
      <w:marLeft w:val="0"/>
      <w:marRight w:val="0"/>
      <w:marTop w:val="0"/>
      <w:marBottom w:val="0"/>
      <w:divBdr>
        <w:top w:val="none" w:sz="0" w:space="0" w:color="auto"/>
        <w:left w:val="none" w:sz="0" w:space="0" w:color="auto"/>
        <w:bottom w:val="none" w:sz="0" w:space="0" w:color="auto"/>
        <w:right w:val="none" w:sz="0" w:space="0" w:color="auto"/>
      </w:divBdr>
    </w:div>
    <w:div w:id="921724547">
      <w:bodyDiv w:val="1"/>
      <w:marLeft w:val="0"/>
      <w:marRight w:val="0"/>
      <w:marTop w:val="0"/>
      <w:marBottom w:val="0"/>
      <w:divBdr>
        <w:top w:val="none" w:sz="0" w:space="0" w:color="auto"/>
        <w:left w:val="none" w:sz="0" w:space="0" w:color="auto"/>
        <w:bottom w:val="none" w:sz="0" w:space="0" w:color="auto"/>
        <w:right w:val="none" w:sz="0" w:space="0" w:color="auto"/>
      </w:divBdr>
    </w:div>
    <w:div w:id="959145121">
      <w:bodyDiv w:val="1"/>
      <w:marLeft w:val="0"/>
      <w:marRight w:val="0"/>
      <w:marTop w:val="0"/>
      <w:marBottom w:val="0"/>
      <w:divBdr>
        <w:top w:val="none" w:sz="0" w:space="0" w:color="auto"/>
        <w:left w:val="none" w:sz="0" w:space="0" w:color="auto"/>
        <w:bottom w:val="none" w:sz="0" w:space="0" w:color="auto"/>
        <w:right w:val="none" w:sz="0" w:space="0" w:color="auto"/>
      </w:divBdr>
    </w:div>
    <w:div w:id="975448537">
      <w:bodyDiv w:val="1"/>
      <w:marLeft w:val="0"/>
      <w:marRight w:val="0"/>
      <w:marTop w:val="0"/>
      <w:marBottom w:val="0"/>
      <w:divBdr>
        <w:top w:val="none" w:sz="0" w:space="0" w:color="auto"/>
        <w:left w:val="none" w:sz="0" w:space="0" w:color="auto"/>
        <w:bottom w:val="none" w:sz="0" w:space="0" w:color="auto"/>
        <w:right w:val="none" w:sz="0" w:space="0" w:color="auto"/>
      </w:divBdr>
    </w:div>
    <w:div w:id="980232273">
      <w:bodyDiv w:val="1"/>
      <w:marLeft w:val="0"/>
      <w:marRight w:val="0"/>
      <w:marTop w:val="0"/>
      <w:marBottom w:val="0"/>
      <w:divBdr>
        <w:top w:val="none" w:sz="0" w:space="0" w:color="auto"/>
        <w:left w:val="none" w:sz="0" w:space="0" w:color="auto"/>
        <w:bottom w:val="none" w:sz="0" w:space="0" w:color="auto"/>
        <w:right w:val="none" w:sz="0" w:space="0" w:color="auto"/>
      </w:divBdr>
    </w:div>
    <w:div w:id="986590931">
      <w:bodyDiv w:val="1"/>
      <w:marLeft w:val="0"/>
      <w:marRight w:val="0"/>
      <w:marTop w:val="0"/>
      <w:marBottom w:val="0"/>
      <w:divBdr>
        <w:top w:val="none" w:sz="0" w:space="0" w:color="auto"/>
        <w:left w:val="none" w:sz="0" w:space="0" w:color="auto"/>
        <w:bottom w:val="none" w:sz="0" w:space="0" w:color="auto"/>
        <w:right w:val="none" w:sz="0" w:space="0" w:color="auto"/>
      </w:divBdr>
    </w:div>
    <w:div w:id="1006635231">
      <w:bodyDiv w:val="1"/>
      <w:marLeft w:val="0"/>
      <w:marRight w:val="0"/>
      <w:marTop w:val="0"/>
      <w:marBottom w:val="0"/>
      <w:divBdr>
        <w:top w:val="none" w:sz="0" w:space="0" w:color="auto"/>
        <w:left w:val="none" w:sz="0" w:space="0" w:color="auto"/>
        <w:bottom w:val="none" w:sz="0" w:space="0" w:color="auto"/>
        <w:right w:val="none" w:sz="0" w:space="0" w:color="auto"/>
      </w:divBdr>
    </w:div>
    <w:div w:id="1024672649">
      <w:bodyDiv w:val="1"/>
      <w:marLeft w:val="0"/>
      <w:marRight w:val="0"/>
      <w:marTop w:val="0"/>
      <w:marBottom w:val="0"/>
      <w:divBdr>
        <w:top w:val="none" w:sz="0" w:space="0" w:color="auto"/>
        <w:left w:val="none" w:sz="0" w:space="0" w:color="auto"/>
        <w:bottom w:val="none" w:sz="0" w:space="0" w:color="auto"/>
        <w:right w:val="none" w:sz="0" w:space="0" w:color="auto"/>
      </w:divBdr>
    </w:div>
    <w:div w:id="1037122197">
      <w:bodyDiv w:val="1"/>
      <w:marLeft w:val="0"/>
      <w:marRight w:val="0"/>
      <w:marTop w:val="0"/>
      <w:marBottom w:val="0"/>
      <w:divBdr>
        <w:top w:val="none" w:sz="0" w:space="0" w:color="auto"/>
        <w:left w:val="none" w:sz="0" w:space="0" w:color="auto"/>
        <w:bottom w:val="none" w:sz="0" w:space="0" w:color="auto"/>
        <w:right w:val="none" w:sz="0" w:space="0" w:color="auto"/>
      </w:divBdr>
    </w:div>
    <w:div w:id="1098910833">
      <w:bodyDiv w:val="1"/>
      <w:marLeft w:val="0"/>
      <w:marRight w:val="0"/>
      <w:marTop w:val="0"/>
      <w:marBottom w:val="0"/>
      <w:divBdr>
        <w:top w:val="none" w:sz="0" w:space="0" w:color="auto"/>
        <w:left w:val="none" w:sz="0" w:space="0" w:color="auto"/>
        <w:bottom w:val="none" w:sz="0" w:space="0" w:color="auto"/>
        <w:right w:val="none" w:sz="0" w:space="0" w:color="auto"/>
      </w:divBdr>
    </w:div>
    <w:div w:id="1144152628">
      <w:bodyDiv w:val="1"/>
      <w:marLeft w:val="0"/>
      <w:marRight w:val="0"/>
      <w:marTop w:val="0"/>
      <w:marBottom w:val="0"/>
      <w:divBdr>
        <w:top w:val="none" w:sz="0" w:space="0" w:color="auto"/>
        <w:left w:val="none" w:sz="0" w:space="0" w:color="auto"/>
        <w:bottom w:val="none" w:sz="0" w:space="0" w:color="auto"/>
        <w:right w:val="none" w:sz="0" w:space="0" w:color="auto"/>
      </w:divBdr>
    </w:div>
    <w:div w:id="1149860661">
      <w:bodyDiv w:val="1"/>
      <w:marLeft w:val="0"/>
      <w:marRight w:val="0"/>
      <w:marTop w:val="0"/>
      <w:marBottom w:val="0"/>
      <w:divBdr>
        <w:top w:val="none" w:sz="0" w:space="0" w:color="auto"/>
        <w:left w:val="none" w:sz="0" w:space="0" w:color="auto"/>
        <w:bottom w:val="none" w:sz="0" w:space="0" w:color="auto"/>
        <w:right w:val="none" w:sz="0" w:space="0" w:color="auto"/>
      </w:divBdr>
    </w:div>
    <w:div w:id="1203321580">
      <w:bodyDiv w:val="1"/>
      <w:marLeft w:val="0"/>
      <w:marRight w:val="0"/>
      <w:marTop w:val="0"/>
      <w:marBottom w:val="0"/>
      <w:divBdr>
        <w:top w:val="none" w:sz="0" w:space="0" w:color="auto"/>
        <w:left w:val="none" w:sz="0" w:space="0" w:color="auto"/>
        <w:bottom w:val="none" w:sz="0" w:space="0" w:color="auto"/>
        <w:right w:val="none" w:sz="0" w:space="0" w:color="auto"/>
      </w:divBdr>
    </w:div>
    <w:div w:id="1209412473">
      <w:bodyDiv w:val="1"/>
      <w:marLeft w:val="0"/>
      <w:marRight w:val="0"/>
      <w:marTop w:val="0"/>
      <w:marBottom w:val="0"/>
      <w:divBdr>
        <w:top w:val="none" w:sz="0" w:space="0" w:color="auto"/>
        <w:left w:val="none" w:sz="0" w:space="0" w:color="auto"/>
        <w:bottom w:val="none" w:sz="0" w:space="0" w:color="auto"/>
        <w:right w:val="none" w:sz="0" w:space="0" w:color="auto"/>
      </w:divBdr>
    </w:div>
    <w:div w:id="1218708743">
      <w:bodyDiv w:val="1"/>
      <w:marLeft w:val="0"/>
      <w:marRight w:val="0"/>
      <w:marTop w:val="0"/>
      <w:marBottom w:val="0"/>
      <w:divBdr>
        <w:top w:val="none" w:sz="0" w:space="0" w:color="auto"/>
        <w:left w:val="none" w:sz="0" w:space="0" w:color="auto"/>
        <w:bottom w:val="none" w:sz="0" w:space="0" w:color="auto"/>
        <w:right w:val="none" w:sz="0" w:space="0" w:color="auto"/>
      </w:divBdr>
    </w:div>
    <w:div w:id="1219632728">
      <w:bodyDiv w:val="1"/>
      <w:marLeft w:val="0"/>
      <w:marRight w:val="0"/>
      <w:marTop w:val="0"/>
      <w:marBottom w:val="0"/>
      <w:divBdr>
        <w:top w:val="none" w:sz="0" w:space="0" w:color="auto"/>
        <w:left w:val="none" w:sz="0" w:space="0" w:color="auto"/>
        <w:bottom w:val="none" w:sz="0" w:space="0" w:color="auto"/>
        <w:right w:val="none" w:sz="0" w:space="0" w:color="auto"/>
      </w:divBdr>
    </w:div>
    <w:div w:id="1258095870">
      <w:bodyDiv w:val="1"/>
      <w:marLeft w:val="0"/>
      <w:marRight w:val="0"/>
      <w:marTop w:val="0"/>
      <w:marBottom w:val="0"/>
      <w:divBdr>
        <w:top w:val="none" w:sz="0" w:space="0" w:color="auto"/>
        <w:left w:val="none" w:sz="0" w:space="0" w:color="auto"/>
        <w:bottom w:val="none" w:sz="0" w:space="0" w:color="auto"/>
        <w:right w:val="none" w:sz="0" w:space="0" w:color="auto"/>
      </w:divBdr>
    </w:div>
    <w:div w:id="1295058918">
      <w:bodyDiv w:val="1"/>
      <w:marLeft w:val="0"/>
      <w:marRight w:val="0"/>
      <w:marTop w:val="0"/>
      <w:marBottom w:val="0"/>
      <w:divBdr>
        <w:top w:val="none" w:sz="0" w:space="0" w:color="auto"/>
        <w:left w:val="none" w:sz="0" w:space="0" w:color="auto"/>
        <w:bottom w:val="none" w:sz="0" w:space="0" w:color="auto"/>
        <w:right w:val="none" w:sz="0" w:space="0" w:color="auto"/>
      </w:divBdr>
    </w:div>
    <w:div w:id="1428693976">
      <w:bodyDiv w:val="1"/>
      <w:marLeft w:val="0"/>
      <w:marRight w:val="0"/>
      <w:marTop w:val="0"/>
      <w:marBottom w:val="0"/>
      <w:divBdr>
        <w:top w:val="none" w:sz="0" w:space="0" w:color="auto"/>
        <w:left w:val="none" w:sz="0" w:space="0" w:color="auto"/>
        <w:bottom w:val="none" w:sz="0" w:space="0" w:color="auto"/>
        <w:right w:val="none" w:sz="0" w:space="0" w:color="auto"/>
      </w:divBdr>
    </w:div>
    <w:div w:id="1484735506">
      <w:bodyDiv w:val="1"/>
      <w:marLeft w:val="0"/>
      <w:marRight w:val="0"/>
      <w:marTop w:val="0"/>
      <w:marBottom w:val="0"/>
      <w:divBdr>
        <w:top w:val="none" w:sz="0" w:space="0" w:color="auto"/>
        <w:left w:val="none" w:sz="0" w:space="0" w:color="auto"/>
        <w:bottom w:val="none" w:sz="0" w:space="0" w:color="auto"/>
        <w:right w:val="none" w:sz="0" w:space="0" w:color="auto"/>
      </w:divBdr>
    </w:div>
    <w:div w:id="1503814003">
      <w:bodyDiv w:val="1"/>
      <w:marLeft w:val="0"/>
      <w:marRight w:val="0"/>
      <w:marTop w:val="0"/>
      <w:marBottom w:val="0"/>
      <w:divBdr>
        <w:top w:val="none" w:sz="0" w:space="0" w:color="auto"/>
        <w:left w:val="none" w:sz="0" w:space="0" w:color="auto"/>
        <w:bottom w:val="none" w:sz="0" w:space="0" w:color="auto"/>
        <w:right w:val="none" w:sz="0" w:space="0" w:color="auto"/>
      </w:divBdr>
    </w:div>
    <w:div w:id="1524128341">
      <w:bodyDiv w:val="1"/>
      <w:marLeft w:val="0"/>
      <w:marRight w:val="0"/>
      <w:marTop w:val="0"/>
      <w:marBottom w:val="0"/>
      <w:divBdr>
        <w:top w:val="none" w:sz="0" w:space="0" w:color="auto"/>
        <w:left w:val="none" w:sz="0" w:space="0" w:color="auto"/>
        <w:bottom w:val="none" w:sz="0" w:space="0" w:color="auto"/>
        <w:right w:val="none" w:sz="0" w:space="0" w:color="auto"/>
      </w:divBdr>
    </w:div>
    <w:div w:id="1548226626">
      <w:bodyDiv w:val="1"/>
      <w:marLeft w:val="0"/>
      <w:marRight w:val="0"/>
      <w:marTop w:val="0"/>
      <w:marBottom w:val="0"/>
      <w:divBdr>
        <w:top w:val="none" w:sz="0" w:space="0" w:color="auto"/>
        <w:left w:val="none" w:sz="0" w:space="0" w:color="auto"/>
        <w:bottom w:val="none" w:sz="0" w:space="0" w:color="auto"/>
        <w:right w:val="none" w:sz="0" w:space="0" w:color="auto"/>
      </w:divBdr>
    </w:div>
    <w:div w:id="1573806281">
      <w:bodyDiv w:val="1"/>
      <w:marLeft w:val="0"/>
      <w:marRight w:val="0"/>
      <w:marTop w:val="0"/>
      <w:marBottom w:val="0"/>
      <w:divBdr>
        <w:top w:val="none" w:sz="0" w:space="0" w:color="auto"/>
        <w:left w:val="none" w:sz="0" w:space="0" w:color="auto"/>
        <w:bottom w:val="none" w:sz="0" w:space="0" w:color="auto"/>
        <w:right w:val="none" w:sz="0" w:space="0" w:color="auto"/>
      </w:divBdr>
    </w:div>
    <w:div w:id="1584292964">
      <w:bodyDiv w:val="1"/>
      <w:marLeft w:val="0"/>
      <w:marRight w:val="0"/>
      <w:marTop w:val="0"/>
      <w:marBottom w:val="0"/>
      <w:divBdr>
        <w:top w:val="none" w:sz="0" w:space="0" w:color="auto"/>
        <w:left w:val="none" w:sz="0" w:space="0" w:color="auto"/>
        <w:bottom w:val="none" w:sz="0" w:space="0" w:color="auto"/>
        <w:right w:val="none" w:sz="0" w:space="0" w:color="auto"/>
      </w:divBdr>
    </w:div>
    <w:div w:id="1594968342">
      <w:bodyDiv w:val="1"/>
      <w:marLeft w:val="0"/>
      <w:marRight w:val="0"/>
      <w:marTop w:val="0"/>
      <w:marBottom w:val="0"/>
      <w:divBdr>
        <w:top w:val="none" w:sz="0" w:space="0" w:color="auto"/>
        <w:left w:val="none" w:sz="0" w:space="0" w:color="auto"/>
        <w:bottom w:val="none" w:sz="0" w:space="0" w:color="auto"/>
        <w:right w:val="none" w:sz="0" w:space="0" w:color="auto"/>
      </w:divBdr>
    </w:div>
    <w:div w:id="1619291101">
      <w:bodyDiv w:val="1"/>
      <w:marLeft w:val="0"/>
      <w:marRight w:val="0"/>
      <w:marTop w:val="0"/>
      <w:marBottom w:val="0"/>
      <w:divBdr>
        <w:top w:val="none" w:sz="0" w:space="0" w:color="auto"/>
        <w:left w:val="none" w:sz="0" w:space="0" w:color="auto"/>
        <w:bottom w:val="none" w:sz="0" w:space="0" w:color="auto"/>
        <w:right w:val="none" w:sz="0" w:space="0" w:color="auto"/>
      </w:divBdr>
    </w:div>
    <w:div w:id="1629319718">
      <w:bodyDiv w:val="1"/>
      <w:marLeft w:val="0"/>
      <w:marRight w:val="0"/>
      <w:marTop w:val="0"/>
      <w:marBottom w:val="0"/>
      <w:divBdr>
        <w:top w:val="none" w:sz="0" w:space="0" w:color="auto"/>
        <w:left w:val="none" w:sz="0" w:space="0" w:color="auto"/>
        <w:bottom w:val="none" w:sz="0" w:space="0" w:color="auto"/>
        <w:right w:val="none" w:sz="0" w:space="0" w:color="auto"/>
      </w:divBdr>
    </w:div>
    <w:div w:id="1652368750">
      <w:bodyDiv w:val="1"/>
      <w:marLeft w:val="0"/>
      <w:marRight w:val="0"/>
      <w:marTop w:val="0"/>
      <w:marBottom w:val="0"/>
      <w:divBdr>
        <w:top w:val="none" w:sz="0" w:space="0" w:color="auto"/>
        <w:left w:val="none" w:sz="0" w:space="0" w:color="auto"/>
        <w:bottom w:val="none" w:sz="0" w:space="0" w:color="auto"/>
        <w:right w:val="none" w:sz="0" w:space="0" w:color="auto"/>
      </w:divBdr>
    </w:div>
    <w:div w:id="1666588867">
      <w:bodyDiv w:val="1"/>
      <w:marLeft w:val="0"/>
      <w:marRight w:val="0"/>
      <w:marTop w:val="0"/>
      <w:marBottom w:val="0"/>
      <w:divBdr>
        <w:top w:val="none" w:sz="0" w:space="0" w:color="auto"/>
        <w:left w:val="none" w:sz="0" w:space="0" w:color="auto"/>
        <w:bottom w:val="none" w:sz="0" w:space="0" w:color="auto"/>
        <w:right w:val="none" w:sz="0" w:space="0" w:color="auto"/>
      </w:divBdr>
    </w:div>
    <w:div w:id="1673069369">
      <w:bodyDiv w:val="1"/>
      <w:marLeft w:val="0"/>
      <w:marRight w:val="0"/>
      <w:marTop w:val="0"/>
      <w:marBottom w:val="0"/>
      <w:divBdr>
        <w:top w:val="none" w:sz="0" w:space="0" w:color="auto"/>
        <w:left w:val="none" w:sz="0" w:space="0" w:color="auto"/>
        <w:bottom w:val="none" w:sz="0" w:space="0" w:color="auto"/>
        <w:right w:val="none" w:sz="0" w:space="0" w:color="auto"/>
      </w:divBdr>
    </w:div>
    <w:div w:id="1682858250">
      <w:bodyDiv w:val="1"/>
      <w:marLeft w:val="0"/>
      <w:marRight w:val="0"/>
      <w:marTop w:val="0"/>
      <w:marBottom w:val="0"/>
      <w:divBdr>
        <w:top w:val="none" w:sz="0" w:space="0" w:color="auto"/>
        <w:left w:val="none" w:sz="0" w:space="0" w:color="auto"/>
        <w:bottom w:val="none" w:sz="0" w:space="0" w:color="auto"/>
        <w:right w:val="none" w:sz="0" w:space="0" w:color="auto"/>
      </w:divBdr>
    </w:div>
    <w:div w:id="1700659469">
      <w:bodyDiv w:val="1"/>
      <w:marLeft w:val="0"/>
      <w:marRight w:val="0"/>
      <w:marTop w:val="0"/>
      <w:marBottom w:val="0"/>
      <w:divBdr>
        <w:top w:val="none" w:sz="0" w:space="0" w:color="auto"/>
        <w:left w:val="none" w:sz="0" w:space="0" w:color="auto"/>
        <w:bottom w:val="none" w:sz="0" w:space="0" w:color="auto"/>
        <w:right w:val="none" w:sz="0" w:space="0" w:color="auto"/>
      </w:divBdr>
    </w:div>
    <w:div w:id="1757824010">
      <w:bodyDiv w:val="1"/>
      <w:marLeft w:val="0"/>
      <w:marRight w:val="0"/>
      <w:marTop w:val="0"/>
      <w:marBottom w:val="0"/>
      <w:divBdr>
        <w:top w:val="none" w:sz="0" w:space="0" w:color="auto"/>
        <w:left w:val="none" w:sz="0" w:space="0" w:color="auto"/>
        <w:bottom w:val="none" w:sz="0" w:space="0" w:color="auto"/>
        <w:right w:val="none" w:sz="0" w:space="0" w:color="auto"/>
      </w:divBdr>
    </w:div>
    <w:div w:id="1772238970">
      <w:bodyDiv w:val="1"/>
      <w:marLeft w:val="0"/>
      <w:marRight w:val="0"/>
      <w:marTop w:val="0"/>
      <w:marBottom w:val="0"/>
      <w:divBdr>
        <w:top w:val="none" w:sz="0" w:space="0" w:color="auto"/>
        <w:left w:val="none" w:sz="0" w:space="0" w:color="auto"/>
        <w:bottom w:val="none" w:sz="0" w:space="0" w:color="auto"/>
        <w:right w:val="none" w:sz="0" w:space="0" w:color="auto"/>
      </w:divBdr>
    </w:div>
    <w:div w:id="1814907810">
      <w:bodyDiv w:val="1"/>
      <w:marLeft w:val="0"/>
      <w:marRight w:val="0"/>
      <w:marTop w:val="0"/>
      <w:marBottom w:val="0"/>
      <w:divBdr>
        <w:top w:val="none" w:sz="0" w:space="0" w:color="auto"/>
        <w:left w:val="none" w:sz="0" w:space="0" w:color="auto"/>
        <w:bottom w:val="none" w:sz="0" w:space="0" w:color="auto"/>
        <w:right w:val="none" w:sz="0" w:space="0" w:color="auto"/>
      </w:divBdr>
    </w:div>
    <w:div w:id="1831944419">
      <w:bodyDiv w:val="1"/>
      <w:marLeft w:val="0"/>
      <w:marRight w:val="0"/>
      <w:marTop w:val="0"/>
      <w:marBottom w:val="0"/>
      <w:divBdr>
        <w:top w:val="none" w:sz="0" w:space="0" w:color="auto"/>
        <w:left w:val="none" w:sz="0" w:space="0" w:color="auto"/>
        <w:bottom w:val="none" w:sz="0" w:space="0" w:color="auto"/>
        <w:right w:val="none" w:sz="0" w:space="0" w:color="auto"/>
      </w:divBdr>
    </w:div>
    <w:div w:id="1843202521">
      <w:bodyDiv w:val="1"/>
      <w:marLeft w:val="0"/>
      <w:marRight w:val="0"/>
      <w:marTop w:val="0"/>
      <w:marBottom w:val="0"/>
      <w:divBdr>
        <w:top w:val="none" w:sz="0" w:space="0" w:color="auto"/>
        <w:left w:val="none" w:sz="0" w:space="0" w:color="auto"/>
        <w:bottom w:val="none" w:sz="0" w:space="0" w:color="auto"/>
        <w:right w:val="none" w:sz="0" w:space="0" w:color="auto"/>
      </w:divBdr>
    </w:div>
    <w:div w:id="1856797015">
      <w:bodyDiv w:val="1"/>
      <w:marLeft w:val="0"/>
      <w:marRight w:val="0"/>
      <w:marTop w:val="0"/>
      <w:marBottom w:val="0"/>
      <w:divBdr>
        <w:top w:val="none" w:sz="0" w:space="0" w:color="auto"/>
        <w:left w:val="none" w:sz="0" w:space="0" w:color="auto"/>
        <w:bottom w:val="none" w:sz="0" w:space="0" w:color="auto"/>
        <w:right w:val="none" w:sz="0" w:space="0" w:color="auto"/>
      </w:divBdr>
    </w:div>
    <w:div w:id="1869442371">
      <w:bodyDiv w:val="1"/>
      <w:marLeft w:val="0"/>
      <w:marRight w:val="0"/>
      <w:marTop w:val="0"/>
      <w:marBottom w:val="0"/>
      <w:divBdr>
        <w:top w:val="none" w:sz="0" w:space="0" w:color="auto"/>
        <w:left w:val="none" w:sz="0" w:space="0" w:color="auto"/>
        <w:bottom w:val="none" w:sz="0" w:space="0" w:color="auto"/>
        <w:right w:val="none" w:sz="0" w:space="0" w:color="auto"/>
      </w:divBdr>
    </w:div>
    <w:div w:id="2008635269">
      <w:bodyDiv w:val="1"/>
      <w:marLeft w:val="0"/>
      <w:marRight w:val="0"/>
      <w:marTop w:val="0"/>
      <w:marBottom w:val="0"/>
      <w:divBdr>
        <w:top w:val="none" w:sz="0" w:space="0" w:color="auto"/>
        <w:left w:val="none" w:sz="0" w:space="0" w:color="auto"/>
        <w:bottom w:val="none" w:sz="0" w:space="0" w:color="auto"/>
        <w:right w:val="none" w:sz="0" w:space="0" w:color="auto"/>
      </w:divBdr>
    </w:div>
    <w:div w:id="2105883944">
      <w:bodyDiv w:val="1"/>
      <w:marLeft w:val="0"/>
      <w:marRight w:val="0"/>
      <w:marTop w:val="0"/>
      <w:marBottom w:val="0"/>
      <w:divBdr>
        <w:top w:val="none" w:sz="0" w:space="0" w:color="auto"/>
        <w:left w:val="none" w:sz="0" w:space="0" w:color="auto"/>
        <w:bottom w:val="none" w:sz="0" w:space="0" w:color="auto"/>
        <w:right w:val="none" w:sz="0" w:space="0" w:color="auto"/>
      </w:divBdr>
    </w:div>
    <w:div w:id="2108647004">
      <w:bodyDiv w:val="1"/>
      <w:marLeft w:val="0"/>
      <w:marRight w:val="0"/>
      <w:marTop w:val="0"/>
      <w:marBottom w:val="0"/>
      <w:divBdr>
        <w:top w:val="none" w:sz="0" w:space="0" w:color="auto"/>
        <w:left w:val="none" w:sz="0" w:space="0" w:color="auto"/>
        <w:bottom w:val="none" w:sz="0" w:space="0" w:color="auto"/>
        <w:right w:val="none" w:sz="0" w:space="0" w:color="auto"/>
      </w:divBdr>
    </w:div>
    <w:div w:id="21189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npa.priv\NPAGROUPS\HQ%20Wootton%20Hall\finance\Documents\Fire\Treasury\TM%20Strategy\25-26\FIRE%20TM%20Strategy%20Tables%20for%20TM%20Strategy%2025-26%20DRAFT%20V2%20Dec%20Acc%20boar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Cash Balances: </a:t>
            </a:r>
          </a:p>
          <a:p>
            <a:pPr>
              <a:defRPr/>
            </a:pPr>
            <a:r>
              <a:rPr lang="en-GB" baseline="0"/>
              <a:t>Forecast to Current Year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'Cashflow Graph 24-25 '!$T$40</c:f>
              <c:strCache>
                <c:ptCount val="1"/>
                <c:pt idx="0">
                  <c:v>2024/25</c:v>
                </c:pt>
              </c:strCache>
            </c:strRef>
          </c:tx>
          <c:spPr>
            <a:ln w="28575" cap="rnd">
              <a:solidFill>
                <a:srgbClr val="C00000"/>
              </a:solidFill>
              <a:round/>
            </a:ln>
            <a:effectLst/>
          </c:spPr>
          <c:marker>
            <c:symbol val="none"/>
          </c:marker>
          <c:cat>
            <c:strRef>
              <c:f>'Cashflow Graph 24-25 '!$U$39:$AF$39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'Cashflow Graph 24-25 '!$U$40:$AF$40</c:f>
              <c:numCache>
                <c:formatCode>#,##0</c:formatCode>
                <c:ptCount val="12"/>
                <c:pt idx="0">
                  <c:v>1941</c:v>
                </c:pt>
                <c:pt idx="1">
                  <c:v>1071</c:v>
                </c:pt>
                <c:pt idx="2">
                  <c:v>2511</c:v>
                </c:pt>
                <c:pt idx="3">
                  <c:v>12085</c:v>
                </c:pt>
                <c:pt idx="4">
                  <c:v>14337</c:v>
                </c:pt>
                <c:pt idx="5">
                  <c:v>13927</c:v>
                </c:pt>
                <c:pt idx="6">
                  <c:v>13865</c:v>
                </c:pt>
                <c:pt idx="7">
                  <c:v>14283</c:v>
                </c:pt>
                <c:pt idx="8">
                  <c:v>13140</c:v>
                </c:pt>
                <c:pt idx="9">
                  <c:v>12661</c:v>
                </c:pt>
                <c:pt idx="10">
                  <c:v>8717</c:v>
                </c:pt>
                <c:pt idx="11">
                  <c:v>3979</c:v>
                </c:pt>
              </c:numCache>
            </c:numRef>
          </c:val>
          <c:smooth val="0"/>
          <c:extLst>
            <c:ext xmlns:c16="http://schemas.microsoft.com/office/drawing/2014/chart" uri="{C3380CC4-5D6E-409C-BE32-E72D297353CC}">
              <c16:uniqueId val="{00000000-3B14-42B7-AB29-8DDED31AE927}"/>
            </c:ext>
          </c:extLst>
        </c:ser>
        <c:ser>
          <c:idx val="1"/>
          <c:order val="1"/>
          <c:tx>
            <c:strRef>
              <c:f>'Cashflow Graph 24-25 '!$T$41</c:f>
              <c:strCache>
                <c:ptCount val="1"/>
                <c:pt idx="0">
                  <c:v>2025/26</c:v>
                </c:pt>
              </c:strCache>
            </c:strRef>
          </c:tx>
          <c:spPr>
            <a:ln w="28575" cap="rnd">
              <a:solidFill>
                <a:schemeClr val="bg1">
                  <a:lumMod val="50000"/>
                </a:schemeClr>
              </a:solidFill>
              <a:round/>
            </a:ln>
            <a:effectLst/>
          </c:spPr>
          <c:marker>
            <c:symbol val="none"/>
          </c:marker>
          <c:cat>
            <c:strRef>
              <c:f>'Cashflow Graph 24-25 '!$U$39:$AF$39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'Cashflow Graph 24-25 '!$U$41:$AF$41</c:f>
              <c:numCache>
                <c:formatCode>#,##0</c:formatCode>
                <c:ptCount val="12"/>
                <c:pt idx="0">
                  <c:v>3638</c:v>
                </c:pt>
                <c:pt idx="1">
                  <c:v>4500</c:v>
                </c:pt>
                <c:pt idx="2">
                  <c:v>4159</c:v>
                </c:pt>
                <c:pt idx="3">
                  <c:v>3091</c:v>
                </c:pt>
                <c:pt idx="4">
                  <c:v>8349</c:v>
                </c:pt>
                <c:pt idx="5">
                  <c:v>7451</c:v>
                </c:pt>
                <c:pt idx="6">
                  <c:v>6383</c:v>
                </c:pt>
                <c:pt idx="7">
                  <c:v>6042</c:v>
                </c:pt>
                <c:pt idx="8">
                  <c:v>5181</c:v>
                </c:pt>
                <c:pt idx="9">
                  <c:v>4113</c:v>
                </c:pt>
                <c:pt idx="10">
                  <c:v>4063</c:v>
                </c:pt>
                <c:pt idx="11">
                  <c:v>1618</c:v>
                </c:pt>
              </c:numCache>
            </c:numRef>
          </c:val>
          <c:smooth val="0"/>
          <c:extLst>
            <c:ext xmlns:c16="http://schemas.microsoft.com/office/drawing/2014/chart" uri="{C3380CC4-5D6E-409C-BE32-E72D297353CC}">
              <c16:uniqueId val="{00000001-3B14-42B7-AB29-8DDED31AE927}"/>
            </c:ext>
          </c:extLst>
        </c:ser>
        <c:dLbls>
          <c:showLegendKey val="0"/>
          <c:showVal val="0"/>
          <c:showCatName val="0"/>
          <c:showSerName val="0"/>
          <c:showPercent val="0"/>
          <c:showBubbleSize val="0"/>
        </c:dLbls>
        <c:smooth val="0"/>
        <c:axId val="118751712"/>
        <c:axId val="2117588255"/>
      </c:lineChart>
      <c:catAx>
        <c:axId val="118751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588255"/>
        <c:crosses val="autoZero"/>
        <c:auto val="1"/>
        <c:lblAlgn val="ctr"/>
        <c:lblOffset val="100"/>
        <c:noMultiLvlLbl val="0"/>
      </c:catAx>
      <c:valAx>
        <c:axId val="2117588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75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55BC-2788-4025-8437-8A356BCB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6653</Words>
  <Characters>37927</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Vaughan</dc:creator>
  <cp:keywords/>
  <dc:description/>
  <cp:lastModifiedBy>Osborne Kate</cp:lastModifiedBy>
  <cp:revision>3</cp:revision>
  <dcterms:created xsi:type="dcterms:W3CDTF">2025-03-10T09:18:00Z</dcterms:created>
  <dcterms:modified xsi:type="dcterms:W3CDTF">2025-03-10T09:41:00Z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Denise.Langford@northants.police.uk</vt:lpwstr>
  </property>
  <property fmtid="{D5CDD505-2E9C-101B-9397-08002B2CF9AE}" pid="5" name="MSIP_Label_d9cd4a6a-7014-48d6-b119-9b8b87129a7e_SetDate">
    <vt:lpwstr>2021-12-21T14:58:21.5352645Z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